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2E05D5">
        <w:t>3</w:t>
      </w:r>
      <w:r w:rsidR="00876143">
        <w:t>9</w:t>
      </w:r>
    </w:p>
    <w:p w:rsidR="00426301" w:rsidRDefault="00E240CC" w:rsidP="009A3C29">
      <w:pPr>
        <w:spacing w:line="480" w:lineRule="auto"/>
      </w:pPr>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D2AF1">
        <w:t>Freshwater carbon and</w:t>
      </w:r>
      <w:r>
        <w:t xml:space="preserve"> nutrient cycles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927BFD">
        <w:t>Much of the biogeochemical cycling in freshwater is mediated by microbes</w:t>
      </w:r>
      <w:r>
        <w:t xml:space="preserve">. However, categories of carbon and nutrients currently used in models of freshwater biogeochemical cycling are too broad to be relevant on a microbial scale. </w:t>
      </w:r>
      <w:r w:rsidR="00C46A39">
        <w:t>Incorporating microbial data</w:t>
      </w:r>
      <w:r>
        <w:t xml:space="preserve"> would significantly improve the predictive power of these models. In this research, we analyze both genes and genomes from multiple metagenomic time series to propose </w:t>
      </w:r>
      <w:r w:rsidR="00C46A39">
        <w:t>specific roles in freshwater biogeochemical cycl</w:t>
      </w:r>
      <w:r w:rsidR="00927BFD">
        <w:t xml:space="preserve">es for </w:t>
      </w:r>
      <w:r w:rsidR="00C46A39">
        <w:t xml:space="preserve">microbial taxa. Our metagenomic time series span multiple years and were sequenced from a eutrophic lake and a </w:t>
      </w:r>
      <w:proofErr w:type="spellStart"/>
      <w:r w:rsidR="00C46A39">
        <w:t>humic</w:t>
      </w:r>
      <w:proofErr w:type="spellEnd"/>
      <w:r w:rsidR="00C46A39">
        <w:t xml:space="preserve"> lake with contrasting water chemistry. We used data from these time series to enlighten the role of polyamines in the nitrogen cycle, the diversity of diazotrophs in our study sites, </w:t>
      </w:r>
      <w:r w:rsidR="00927BFD">
        <w:t>the balance of assimilatory versus</w:t>
      </w:r>
      <w:r w:rsidR="00C46A39">
        <w:t xml:space="preserve"> dissimilatory sulfate reduction in freshwater, the various types of </w:t>
      </w:r>
      <w:proofErr w:type="spellStart"/>
      <w:r w:rsidR="00C46A39">
        <w:t>phototrophy</w:t>
      </w:r>
      <w:proofErr w:type="spellEnd"/>
      <w:r w:rsidR="00C46A39">
        <w:t xml:space="preserve"> and their associations with carbon fixation, and the density and diversity of glycoside hydrolases in freshwater microbes. </w:t>
      </w:r>
      <w:r w:rsidR="00395B94">
        <w:t xml:space="preserve">We also investigated aspects of central metabolism such as hydrogen metabolism, oxidative phosphorylation, methylotrophy, and sugar degradation. Finally, we analyzed dynamics over time in nitrogen fixation genes and </w:t>
      </w:r>
      <w:r w:rsidR="00395B94">
        <w:rPr>
          <w:i/>
        </w:rPr>
        <w:t xml:space="preserve">Cyanobacteria </w:t>
      </w:r>
      <w:r w:rsidR="00395B94">
        <w:t>genomes, revealing how the potential for nitrogen fixation is linked to specific populations in Lake Mendota. This paper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 xml:space="preserve">Approximately half of the carbon received by freshwater ecosystems from the terrestrial landscape is emitted as carbon dioxide (0.2 </w:t>
      </w:r>
      <w:proofErr w:type="spellStart"/>
      <w:r w:rsidR="00EE7138" w:rsidRPr="00797487">
        <w:rPr>
          <w:color w:val="000000"/>
        </w:rPr>
        <w:t>Pg</w:t>
      </w:r>
      <w:proofErr w:type="spellEnd"/>
      <w:r w:rsidR="00EE7138" w:rsidRPr="00797487">
        <w:rPr>
          <w:color w:val="000000"/>
        </w:rPr>
        <w:t xml:space="preserve"> C/year) or stored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Because of these globally relevant contributions to carbon and nutrient cycling, understanding how these elements are processed in freshwater through methods such as models and budgets is an important area of research.</w:t>
      </w:r>
    </w:p>
    <w:p w:rsidR="00C66CEF" w:rsidRPr="00797487" w:rsidRDefault="00EE7138" w:rsidP="00797487">
      <w:pPr>
        <w:spacing w:line="480" w:lineRule="auto"/>
        <w:jc w:val="both"/>
      </w:pPr>
      <w:r w:rsidRPr="00797487">
        <w:rPr>
          <w:color w:val="000000"/>
        </w:rPr>
        <w:tab/>
      </w:r>
      <w:r w:rsidRPr="00797487">
        <w:t>Much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Pr="00797487">
        <w:t xml:space="preserve">. However, </w:t>
      </w:r>
      <w:r w:rsidR="008C05EA" w:rsidRPr="00797487">
        <w:t>the categories of carbon and nutrients often included in models of freshwater biogeochemical cycling are too broad to be used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using such broad categorizations masks much of the complexity of microbial substrate use. Similarly, elements such as nitrogen and phosphorus are often classified as simply organic or inorganic.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 functions is a challenging task. Previous research has investigated substrate use by freshwater taxa using cultured isolates</w:t>
      </w:r>
      <w:r w:rsidR="00797487" w:rsidRPr="00797487">
        <w:t xml:space="preserve"> or microscopy techniques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xml:space="preserve">. While this work is highly </w:t>
      </w:r>
      <w:r w:rsidRPr="00797487">
        <w:lastRenderedPageBreak/>
        <w:t xml:space="preserve">informative, it cannot be </w:t>
      </w:r>
      <w:r w:rsidR="00751D88" w:rsidRPr="00797487">
        <w:t>scaled</w:t>
      </w:r>
      <w:r w:rsidRPr="00797487">
        <w:t xml:space="preserve"> to investigate many community members simultaneously. Genomics techniques can be applied at the community level, and although any functional predictions from genomic data are merely predictions, they are still powerful tools for analyzing microbial communities.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797487" w:rsidRPr="00797487">
        <w:t xml:space="preserve">hwater taxa </w:t>
      </w:r>
      <w:r w:rsidR="00797487" w:rsidRPr="00797487">
        <w:fldChar w:fldCharType="begin" w:fldLock="1"/>
      </w:r>
      <w:r w:rsidR="009D38A1">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2017)","previouslyFormattedCitation":"(Hamilton et al., 2017)"},"properties":{"noteIndex":0},"schema":"https://github.com/citation-style-language/schema/raw/master/csl-citation.json"}</w:instrText>
      </w:r>
      <w:r w:rsidR="00797487" w:rsidRPr="00797487">
        <w:fldChar w:fldCharType="separate"/>
      </w:r>
      <w:r w:rsidR="00797487" w:rsidRPr="00797487">
        <w:rPr>
          <w:noProof/>
        </w:rPr>
        <w:t>(Hamilton et al., 2017)</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 insights from both genes and genomes in multiple freshwater metagenomic time series to link function to taxonomy on at the community level.</w:t>
      </w:r>
      <w:r w:rsidR="003C46E1" w:rsidRPr="00797487">
        <w:t xml:space="preserve"> Our metagenomic time series include multiple years of sampling for microbial DNA from two lakes in Wisconsin, USA: Lake Mendota, a large eutrophic lake, and Trout Bog, a small </w:t>
      </w:r>
      <w:proofErr w:type="spellStart"/>
      <w:r w:rsidR="003C46E1" w:rsidRPr="00797487">
        <w:t>humic</w:t>
      </w:r>
      <w:proofErr w:type="spellEnd"/>
      <w:r w:rsidR="003C46E1" w:rsidRPr="00797487">
        <w:t xml:space="preserve"> lake. Lake Mendota and Trout Bog are ideal sites for comparative time series metagenomics because of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3C46E1"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w:t>
      </w:r>
      <w:r w:rsidR="00862FC8" w:rsidRPr="00797487">
        <w:lastRenderedPageBreak/>
        <w:t xml:space="preserve">systems. We split the broader category of primary production into different types of </w:t>
      </w:r>
      <w:proofErr w:type="spellStart"/>
      <w:r w:rsidR="00862FC8" w:rsidRPr="00797487">
        <w:t>phototrophy</w:t>
      </w:r>
      <w:proofErr w:type="spellEnd"/>
      <w:r w:rsidR="00862FC8" w:rsidRPr="00797487">
        <w:t>, including photosynthesis performed by Cyanobacteria, green sulfur bacteria, and aerobic anoxygenic phototrophs, and analyzed their associated carbon fixation pathways (when present). Using annotations of carbohydrate-active enzymes, we compared the potential for complex carbon degradation and found</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xml:space="preserve">.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F851C8" w:rsidRPr="00797487" w:rsidRDefault="00F851C8" w:rsidP="00CD78E2">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rsidR="00C9735A">
        <w:t>e at &lt;</w:t>
      </w:r>
      <w:r w:rsidR="00C9735A" w:rsidRPr="00C9735A">
        <w:t xml:space="preserve"> </w:t>
      </w:r>
      <w:r w:rsidR="00C9735A" w:rsidRPr="002C4D58">
        <w:t>https://github.com/McMahonLab/MAGstravaganza</w:t>
      </w:r>
      <w:r w:rsidR="00C9735A" w:rsidRPr="00797487">
        <w:t xml:space="preserve"> </w:t>
      </w:r>
      <w:r w:rsidR="00A572C8" w:rsidRPr="00797487">
        <w:t>&gt;. The results of this study can be used to guide efforts to build microbially-resolved mo</w:t>
      </w:r>
      <w:r w:rsidR="00395B94">
        <w:t>dels of freshwater carbon and nutrient</w:t>
      </w:r>
      <w:r w:rsidR="00A572C8" w:rsidRPr="00797487">
        <w:t xml:space="preserve"> cycles with better predictive power.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 xml:space="preserve">Samples were collected from Lake Mendota and Trout Bog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xml:space="preserve">. Briefly, integrated samples of the water column were collected during the ice-free periods of 2007-2009 in Trout Bog and 2008-2012 in Lake Mendota. In Lake Mendota, the top 12 meters of the water column were sampled, approximating the epilimnion (upper, </w:t>
      </w:r>
      <w:r w:rsidRPr="00797487">
        <w:lastRenderedPageBreak/>
        <w:t>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Lake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CC48A4" w:rsidRPr="00797487">
        <w:t xml:space="preserve"> This data is available under </w:t>
      </w:r>
      <w:r w:rsidR="002E05D5" w:rsidRPr="00797487">
        <w:t xml:space="preserve">DOE JGI </w:t>
      </w:r>
      <w:r w:rsidR="00CC48A4" w:rsidRPr="00797487">
        <w:t>project IDs 1078703 and 1018581 for Trout Bog and Lake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w:t>
      </w:r>
      <w:r w:rsidR="00CC48A4" w:rsidRPr="00797487">
        <w:lastRenderedPageBreak/>
        <w:t xml:space="preserve">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Lake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025EB1">
        <w:t>,</w:t>
      </w:r>
      <w:r w:rsidR="00D66DE0" w:rsidRPr="00797487">
        <w:t xml:space="preserve"> unique sequences were </w:t>
      </w:r>
      <w:r w:rsidR="00003A33" w:rsidRPr="00797487">
        <w:t>classified</w:t>
      </w:r>
      <w:r w:rsidR="00D66DE0" w:rsidRPr="00797487">
        <w:t xml:space="preserve"> using </w:t>
      </w:r>
      <w:r w:rsidR="00C854FD" w:rsidRPr="00797487">
        <w:t>a custom 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180B02" w:rsidRPr="00797487">
        <w:t xml:space="preserve">from </w:t>
      </w:r>
      <w:proofErr w:type="spellStart"/>
      <w:r w:rsidR="00180B02" w:rsidRPr="00797487">
        <w:t>unpooled</w:t>
      </w:r>
      <w:proofErr w:type="spellEnd"/>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w:t>
      </w:r>
      <w:r w:rsidR="00B32BF2" w:rsidRPr="00797487">
        <w:lastRenderedPageBreak/>
        <w:t>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025EB1" w:rsidRPr="002C4D58">
        <w:t xml:space="preserve">Only MAGs </w:t>
      </w:r>
      <w:r w:rsidR="00025EB1">
        <w:t xml:space="preserve">that were </w:t>
      </w:r>
      <w:r w:rsidR="00025EB1" w:rsidRPr="002C4D58">
        <w:t>at least 50% complete with less than 10% estimated contamination (meeting the MIMARKS definition of a medium</w:t>
      </w:r>
      <w:r w:rsidR="00025EB1">
        <w:t xml:space="preserve"> or high</w:t>
      </w:r>
      <w:r w:rsidR="00025EB1" w:rsidRPr="002C4D58">
        <w:t xml:space="preserve"> quality MAG) were included in this study</w:t>
      </w:r>
      <w:r w:rsidR="00025EB1">
        <w:t xml:space="preserve"> </w:t>
      </w:r>
      <w:r w:rsidR="00025EB1">
        <w:fldChar w:fldCharType="begin" w:fldLock="1"/>
      </w:r>
      <w:r w:rsidR="00025EB1">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025EB1">
        <w:fldChar w:fldCharType="separate"/>
      </w:r>
      <w:r w:rsidR="00025EB1" w:rsidRPr="001D2345">
        <w:rPr>
          <w:noProof/>
        </w:rPr>
        <w:t>(Bowers et al., 2017)</w:t>
      </w:r>
      <w:r w:rsidR="00025EB1">
        <w:fldChar w:fldCharType="end"/>
      </w:r>
      <w:r w:rsidR="00025EB1" w:rsidRPr="002C4D58">
        <w:t xml:space="preserve">.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Lake Mendota: 99 from Lake Mendota, 31 from Trout Bog’s epilimnion, and 63 from </w:t>
      </w:r>
      <w:r w:rsidR="005A48DD">
        <w:t>Trout Bog’s hypolimnion (Data S2</w:t>
      </w:r>
      <w:r>
        <w:t xml:space="preserve">). These population genomes ranged in estimated completeness from 50 to 99% based on </w:t>
      </w:r>
      <w:proofErr w:type="spellStart"/>
      <w:r>
        <w:t>CheckM</w:t>
      </w:r>
      <w:proofErr w:type="spellEnd"/>
      <w:r>
        <w:t xml:space="preserve"> estimate</w:t>
      </w:r>
      <w:r w:rsidR="00C25D9B">
        <w:t>s</w:t>
      </w:r>
      <w:r>
        <w:t>. Several MAGs from Trout Bog’s epilimnion and hypolimnion appeared to belong to the same population based on average nucleotide identities greater than 99% calculated using D</w:t>
      </w:r>
      <w:r w:rsidR="005A48DD">
        <w:t>OE JGI’s ANI calculator (Data S3</w:t>
      </w:r>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w:t>
      </w:r>
      <w:r w:rsidR="005A48DD">
        <w:t>rence protein sequences (Data S4</w:t>
      </w:r>
      <w:r w:rsidRPr="00797487">
        <w:t>)</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w:t>
      </w:r>
      <w:proofErr w:type="spellStart"/>
      <w:r w:rsidR="00C25D9B">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xml:space="preserve">. Read abundance was normalized by metagenome size for plotting. We chose to perform this </w:t>
      </w:r>
      <w:r w:rsidRPr="00797487">
        <w:lastRenderedPageBreak/>
        <w:t>analysis because gene content in unassembled metagenomes is likely more quantitative and more representative of the entire microbial community than gene content in the MAGs.</w:t>
      </w:r>
    </w:p>
    <w:p w:rsidR="00842DE0" w:rsidRPr="00797487" w:rsidRDefault="00842DE0" w:rsidP="003D2AF1">
      <w:pPr>
        <w:spacing w:line="480" w:lineRule="auto"/>
        <w:ind w:firstLine="720"/>
        <w:jc w:val="both"/>
      </w:pPr>
      <w:r>
        <w:t xml:space="preserve">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 xml:space="preserve">Putative pathway </w:t>
      </w:r>
      <w:proofErr w:type="spellStart"/>
      <w:r w:rsidR="00C25D9B">
        <w:t>presen</w:t>
      </w:r>
      <w:proofErr w:type="spellEnd"/>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 xml:space="preserve">H. Wickham. ggplot2: </w:t>
      </w:r>
      <w:r w:rsidR="00751BEC" w:rsidRPr="002C4D58">
        <w:rPr>
          <w:rStyle w:val="gnkrckgcgsb"/>
          <w:color w:val="000000"/>
          <w:bdr w:val="none" w:sz="0" w:space="0" w:color="auto" w:frame="1"/>
        </w:rPr>
        <w:lastRenderedPageBreak/>
        <w:t>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8853A5" w:rsidRDefault="00046BFF" w:rsidP="009077A1">
      <w:pPr>
        <w:spacing w:line="480" w:lineRule="auto"/>
        <w:jc w:val="both"/>
      </w:pPr>
      <w:r>
        <w:tab/>
      </w:r>
      <w:r w:rsidR="00C9735A">
        <w:t xml:space="preserve">Because Lake Mendota and Trout Bog have contrasting water chemistry,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842DE0" w:rsidP="009077A1">
      <w:pPr>
        <w:pStyle w:val="Heading2"/>
      </w:pPr>
      <w:r>
        <w:t>Overview of the MAGs D</w:t>
      </w:r>
      <w:r w:rsidR="009077A1">
        <w:t>ataset</w:t>
      </w:r>
    </w:p>
    <w:p w:rsidR="008853A5" w:rsidRDefault="00443746" w:rsidP="009077A1">
      <w:pPr>
        <w:spacing w:line="480" w:lineRule="auto"/>
        <w:ind w:firstLine="720"/>
        <w:jc w:val="both"/>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9077A1" w:rsidP="009077A1">
      <w:pPr>
        <w:spacing w:line="480" w:lineRule="auto"/>
        <w:ind w:firstLine="720"/>
        <w:jc w:val="both"/>
      </w:pPr>
      <w:r>
        <w:t>We also performed 16S rRNA gene amplicon sequencing on the same DNA samples used for metagenomic sequencing to confirm that the microbial community composition for these lakes and years was not “abnormal” compared to previous published studies (Figure S3</w:t>
      </w:r>
      <w:r w:rsidR="00DE23D2">
        <w:t>, Data S5</w:t>
      </w:r>
      <w:r>
        <w:t xml:space="preserve">). The observed taxonomic compositions are consistent with what is known about these lakes </w:t>
      </w:r>
      <w:r>
        <w:fldChar w:fldCharType="begin" w:fldLock="1"/>
      </w:r>
      <w:r>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fldChar w:fldCharType="separate"/>
      </w:r>
      <w:r w:rsidRPr="00EE19EF">
        <w:rPr>
          <w:noProof/>
        </w:rPr>
        <w:t>(Linz et al., 2017; Hall et al., 2017)</w:t>
      </w:r>
      <w:r>
        <w:fldChar w:fldCharType="end"/>
      </w:r>
      <w:r>
        <w:t xml:space="preserve"> and about freshwater 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t>.</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n the trophic status of a lake</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99227E">
        <w:t xml:space="preserve">We </w:t>
      </w:r>
      <w:r w:rsidR="00933DA9">
        <w:t xml:space="preserve">analyzed </w:t>
      </w:r>
      <w:r>
        <w:t>nitrogen-related marker genes</w:t>
      </w:r>
      <w:r w:rsidR="0099227E">
        <w:t xml:space="preserve"> and</w:t>
      </w:r>
      <w:r w:rsidR="00933DA9">
        <w:t xml:space="preserve"> MAGs containi</w:t>
      </w:r>
      <w:r w:rsidR="0099227E">
        <w:t>ng nitrogen cycling pathways and</w:t>
      </w:r>
      <w:r w:rsidR="00933DA9">
        <w:t xml:space="preserv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046BFF">
        <w:t xml:space="preserve">, followed by the </w:t>
      </w:r>
      <w:r w:rsidR="00933DA9">
        <w:t>Trout Bog’s epilimnion</w:t>
      </w:r>
      <w:r w:rsidR="00046BFF">
        <w:t xml:space="preserve">, and lastly </w:t>
      </w:r>
      <w:r w:rsidR="00933DA9">
        <w:t xml:space="preserve">by </w:t>
      </w:r>
      <w:r w:rsidR="00046BFF">
        <w:t>Lake 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w:t>
      </w:r>
      <w:r w:rsidR="00046BFF">
        <w:lastRenderedPageBreak/>
        <w:t>the two ecosystems (</w:t>
      </w:r>
      <w:r w:rsidR="00251DEA">
        <w:t>Figure 2</w:t>
      </w:r>
      <w:r w:rsidR="005F572D">
        <w:t xml:space="preserve">, </w:t>
      </w:r>
      <w:r w:rsidR="00046BFF">
        <w:t>Fig</w:t>
      </w:r>
      <w:r w:rsidR="005F572D">
        <w:t>ure S1</w:t>
      </w:r>
      <w:r w:rsidR="00046BFF">
        <w:t xml:space="preserve">). In Lake Mendota, </w:t>
      </w:r>
      <w:r w:rsidR="00933DA9">
        <w:t>two thirds of MAGs encoding</w:t>
      </w:r>
      <w:r w:rsidR="00046BFF">
        <w:t xml:space="preserve"> the nitrogen fixation pathway</w:t>
      </w:r>
      <w:r w:rsidR="00933DA9">
        <w:t xml:space="preserve"> were classified as </w:t>
      </w:r>
      <w:r w:rsidR="00933DA9"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increased diversity of diazotrophs in Trout Bog compared to Lake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We pr</w:t>
      </w:r>
      <w:r>
        <w:t>edicted 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046BFF" w:rsidP="009077A1">
      <w:pPr>
        <w:pStyle w:val="Heading2"/>
      </w:pPr>
      <w:bookmarkStart w:id="2" w:name="_3syggjfxgu8a" w:colFirst="0" w:colLast="0"/>
      <w:bookmarkEnd w:id="2"/>
      <w:r>
        <w:lastRenderedPageBreak/>
        <w:t>Sulfur Cycling</w:t>
      </w:r>
    </w:p>
    <w:p w:rsidR="00992786" w:rsidRDefault="00046BFF" w:rsidP="009077A1">
      <w:pPr>
        <w:spacing w:line="480" w:lineRule="auto"/>
        <w:ind w:firstLine="720"/>
        <w:jc w:val="both"/>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9077A1">
      <w:pPr>
        <w:spacing w:line="480" w:lineRule="auto"/>
        <w:ind w:firstLine="720"/>
        <w:jc w:val="both"/>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w:t>
      </w:r>
      <w:r w:rsidR="00280E6F">
        <w:lastRenderedPageBreak/>
        <w:t xml:space="preserve">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280E6F">
        <w:t xml:space="preserve">These </w:t>
      </w:r>
      <w:r>
        <w:t xml:space="preserve">photoautotrophs </w:t>
      </w:r>
      <w:r w:rsidR="00280E6F">
        <w:t xml:space="preserve">from both lakes </w:t>
      </w:r>
      <w:r>
        <w:t xml:space="preserve">also contained genes potentially encoding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on </w:t>
      </w:r>
      <w:r w:rsidR="00AE1032">
        <w:t>ecosystem scales.</w:t>
      </w:r>
    </w:p>
    <w:p w:rsidR="008853A5" w:rsidRDefault="00046BFF" w:rsidP="009077A1">
      <w:pPr>
        <w:spacing w:line="480" w:lineRule="auto"/>
        <w:ind w:firstLine="720"/>
        <w:jc w:val="both"/>
      </w:pPr>
      <w:r>
        <w:lastRenderedPageBreak/>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AAP, which 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F4EDF" w:rsidP="007679FC">
      <w:pPr>
        <w:pStyle w:val="Heading2"/>
      </w:pPr>
      <w:bookmarkStart w:id="3" w:name="_p43k2jqbpxeg" w:colFirst="0" w:colLast="0"/>
      <w:bookmarkEnd w:id="3"/>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w:t>
      </w:r>
      <w:r w:rsidR="00046BFF">
        <w:lastRenderedPageBreak/>
        <w:t xml:space="preserve">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r w:rsidR="0005062F">
        <w:t xml:space="preserve">Members of </w:t>
      </w:r>
      <w:proofErr w:type="spellStart"/>
      <w:r w:rsidR="0005062F">
        <w:rPr>
          <w:i/>
        </w:rPr>
        <w:t>Verrucomicrobia</w:t>
      </w:r>
      <w:proofErr w:type="spellEnd"/>
      <w:r w:rsidR="0005062F">
        <w:rPr>
          <w:i/>
        </w:rPr>
        <w:t xml:space="preserve">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lastRenderedPageBreak/>
        <w:t>Central Metabolism and Simple Carbon Degradation</w:t>
      </w:r>
    </w:p>
    <w:p w:rsidR="007679FC" w:rsidRDefault="00046BFF" w:rsidP="009077A1">
      <w:pPr>
        <w:spacing w:line="480" w:lineRule="auto"/>
        <w:jc w:val="both"/>
      </w:pPr>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t>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t>algae</w:t>
      </w:r>
      <w:r w:rsidR="001B22A7">
        <w:t>) or allochthonous</w:t>
      </w:r>
      <w:r>
        <w:t xml:space="preserve"> </w:t>
      </w:r>
      <w:r w:rsidR="001B22A7">
        <w:t>(</w:t>
      </w:r>
      <w:r>
        <w:t>cellulose</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B41AF7">
        <w:t>The pathway for mannose</w:t>
      </w:r>
      <w:r w:rsidR="00664D25">
        <w:t xml:space="preserve"> degradation</w:t>
      </w:r>
      <w:r>
        <w:t xml:space="preserve"> </w:t>
      </w:r>
      <w:r w:rsidR="00B41AF7">
        <w:t>was predicted in many MAGs</w:t>
      </w:r>
      <w:r>
        <w:t xml:space="preserve"> in </w:t>
      </w:r>
      <w:r w:rsidR="00B41AF7">
        <w:t>all three sites</w:t>
      </w:r>
      <w:r>
        <w:t xml:space="preserve">. </w:t>
      </w:r>
      <w:r w:rsidR="00B41AF7">
        <w:t xml:space="preserve">Predicted </w:t>
      </w:r>
      <w:r w:rsidR="00B41AF7">
        <w:lastRenderedPageBreak/>
        <w:t>pathways for rhamnose, fucose, and galactose degradation were often found with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Lake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potential carbon source for streamlined 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w:t>
      </w:r>
      <w:r w:rsidR="00987566">
        <w:t>d in our MAGs suggest which low molecular weight compounds</w:t>
      </w:r>
      <w:r w:rsidR="001B22A7">
        <w:t xml:space="preserve"> may be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w:t>
      </w:r>
      <w:r w:rsidR="001B22A7">
        <w:t>, taxa not previously known to be methylotrophic</w:t>
      </w:r>
      <w:r>
        <w:t xml:space="preserve">. Given the rapid rate at which we are discovering methylotrophy in microorganisms not thought to be capable of this </w:t>
      </w:r>
      <w:r>
        <w:lastRenderedPageBreak/>
        <w:t xml:space="preserve">process, </w:t>
      </w:r>
      <w:r w:rsidR="0074129B">
        <w:t>identifying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known to be highly variable over time in Lake Mendota</w:t>
      </w:r>
      <w:r w:rsidR="00CE56F8">
        <w:t xml:space="preserve"> (Figure 4</w:t>
      </w:r>
      <w:r w:rsidR="008E64BD">
        <w:t>, A-E)</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only is plotted for each year.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CB7A65">
        <w:t>),</w:t>
      </w:r>
      <w:r w:rsidR="004C37A3">
        <w:t xml:space="preserve">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C37A3">
        <w:t xml:space="preserve">We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A649C9">
        <w:t xml:space="preserve">The numbers of hits for the nitrogenase marker genes in 2009 and 2010 were an order of magnitude lower than the numbers of hits in 2008 and 2012. </w:t>
      </w:r>
      <w:r w:rsidR="004C37A3">
        <w:t xml:space="preserve">While genome incompleteness precludes us from </w:t>
      </w:r>
      <w:r w:rsidR="00A649C9">
        <w:t xml:space="preserve">concluding that the potential for nitrogen fixation in Lake Mendota based on metagenomic gene content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p>
    <w:p w:rsidR="008853A5" w:rsidRDefault="00046BFF" w:rsidP="009077A1">
      <w:pPr>
        <w:pStyle w:val="Heading2"/>
      </w:pPr>
      <w:bookmarkStart w:id="5" w:name="_gjdgxs" w:colFirst="0" w:colLast="0"/>
      <w:bookmarkEnd w:id="5"/>
      <w:r>
        <w:t>Conclusions</w:t>
      </w:r>
    </w:p>
    <w:p w:rsidR="008853A5" w:rsidRDefault="003C7C82" w:rsidP="008F74E5">
      <w:pPr>
        <w:spacing w:line="480" w:lineRule="auto"/>
        <w:ind w:firstLine="720"/>
        <w:jc w:val="both"/>
      </w:pPr>
      <w:r>
        <w:lastRenderedPageBreak/>
        <w:t xml:space="preserve">Our analysis of functional marker genes indicated potentially significant difference in microbial biogeochemical cycling between Lake Mendota’s epilimnion, Trout Bog’s epilimnion, and Trout Bog’s hypolimnion. </w:t>
      </w:r>
      <w:r w:rsidR="00D17260">
        <w:t>We</w:t>
      </w:r>
      <w:r w:rsidR="00927BFD">
        <w:t xml:space="preserve"> </w:t>
      </w:r>
      <w:r>
        <w:t xml:space="preserve">next </w:t>
      </w:r>
      <w:r w:rsidR="00927BFD">
        <w:t xml:space="preserve">used </w:t>
      </w:r>
      <w:r>
        <w:t xml:space="preserve">MAGs from </w:t>
      </w:r>
      <w:r w:rsidR="00D17260">
        <w:t xml:space="preserve">multi-year </w:t>
      </w:r>
      <w:r w:rsidR="00927BFD">
        <w:t xml:space="preserve">metagenomic time series to 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4E1C58">
        <w:t>measured</w:t>
      </w:r>
      <w:r w:rsidR="00D17260">
        <w:t xml:space="preserve"> an association between nitrogen fixation and </w:t>
      </w:r>
      <w:r w:rsidR="00D17260">
        <w:rPr>
          <w:i/>
        </w:rPr>
        <w:t xml:space="preserve">Cyanobacteria </w:t>
      </w:r>
      <w:r w:rsidR="00D17260">
        <w:t xml:space="preserve">in Lake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4E1C58">
        <w:t>phototrophy</w:t>
      </w:r>
      <w:proofErr w:type="spellEnd"/>
      <w:r w:rsidR="004E1C58">
        <w:t xml:space="preserve">, which in some but not all genomes co-occurred with carbon fixation via the Calvin Cycle or the reductive TCA cycle. </w:t>
      </w:r>
      <w:r w:rsidR="00706F18">
        <w:t>T</w:t>
      </w:r>
      <w:r w:rsidR="004E1C58">
        <w:t xml:space="preserve">he greatest diversity and density of </w:t>
      </w:r>
      <w:r w:rsidR="00706F18">
        <w:t>glycoside hydrolases</w:t>
      </w:r>
      <w:r w:rsidR="004E1C58">
        <w:t xml:space="preserve"> in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3A1F5F">
        <w:t>d</w:t>
      </w:r>
      <w:r w:rsidR="00046BFF">
        <w:t xml:space="preserve"> insight into the complex</w:t>
      </w:r>
      <w:r w:rsidR="000640AD">
        <w:t xml:space="preserve"> metabolisms underpinning</w:t>
      </w:r>
      <w:r w:rsidR="00046BFF">
        <w:t xml:space="preserve"> freshwater communities and how microbial processes scale to ecosystem functions.</w:t>
      </w:r>
    </w:p>
    <w:p w:rsidR="008853A5" w:rsidRDefault="00046BFF" w:rsidP="009077A1">
      <w:pPr>
        <w:pStyle w:val="Heading3"/>
      </w:pPr>
      <w:bookmarkStart w:id="6" w:name="_m6606topfmb" w:colFirst="0" w:colLast="0"/>
      <w:bookmarkEnd w:id="6"/>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 xml:space="preserve">Finally, we personally thank the individual program </w:t>
      </w:r>
      <w:r w:rsidRPr="008E64BD">
        <w:lastRenderedPageBreak/>
        <w:t>directors and leadership at the National Science Foundation for their commitment to continued support of long-term ecological research.</w:t>
      </w:r>
      <w:r>
        <w:t xml:space="preserve"> </w:t>
      </w:r>
    </w:p>
    <w:p w:rsidR="008853A5" w:rsidRDefault="00046BFF" w:rsidP="00B44E2D">
      <w:pPr>
        <w:pStyle w:val="Heading1"/>
      </w:pPr>
      <w:bookmarkStart w:id="7" w:name="_10g0eg7e0hhu" w:colFirst="0" w:colLast="0"/>
      <w:bookmarkEnd w:id="7"/>
      <w:r>
        <w:t>Figure and Table Legends</w:t>
      </w:r>
    </w:p>
    <w:p w:rsidR="008853A5" w:rsidRDefault="008853A5" w:rsidP="00B44E2D"/>
    <w:p w:rsidR="00166966" w:rsidRDefault="00770B63" w:rsidP="00B44E2D">
      <w:pPr>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BD58CD" w:rsidRPr="005F1EC7" w:rsidRDefault="00BD58CD" w:rsidP="00B44E2D">
      <w:pPr>
        <w:rPr>
          <w:color w:val="000000"/>
        </w:rPr>
      </w:pP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r w:rsidR="005D2D21">
        <w:rPr>
          <w:color w:val="000000"/>
        </w:rPr>
        <w:t>P</w:t>
      </w:r>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w:t>
      </w:r>
      <w:r>
        <w:rPr>
          <w:color w:val="000000"/>
        </w:rPr>
        <w:lastRenderedPageBreak/>
        <w:t xml:space="preserve">assigned </w:t>
      </w:r>
      <w:proofErr w:type="spellStart"/>
      <w:r>
        <w:rPr>
          <w:color w:val="000000"/>
        </w:rPr>
        <w:t>CAZyme</w:t>
      </w:r>
      <w:proofErr w:type="spellEnd"/>
      <w:r>
        <w:rPr>
          <w:color w:val="000000"/>
        </w:rPr>
        <w:t xml:space="preserve"> annotations using dbCAN</w:t>
      </w:r>
      <w:r w:rsidR="005D2D21">
        <w:rPr>
          <w:color w:val="000000"/>
        </w:rPr>
        <w:t>2</w:t>
      </w:r>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w:t>
      </w:r>
      <w:r w:rsidR="005D2D21">
        <w:rPr>
          <w:color w:val="000000"/>
        </w:rPr>
        <w:t xml:space="preserve">92, </w:t>
      </w:r>
      <w:proofErr w:type="gramStart"/>
      <w:r w:rsidR="005D2D21">
        <w:rPr>
          <w:color w:val="000000"/>
        </w:rPr>
        <w:t>p  &lt;</w:t>
      </w:r>
      <w:proofErr w:type="gramEnd"/>
      <w:r w:rsidR="005D2D21">
        <w:rPr>
          <w:color w:val="000000"/>
        </w:rPr>
        <w:t xml:space="preserve"> 2.2</w:t>
      </w:r>
      <w:r>
        <w:rPr>
          <w:color w:val="000000"/>
        </w:rPr>
        <w:t>x10</w:t>
      </w:r>
      <w:r w:rsidRPr="005D2D21">
        <w:rPr>
          <w:color w:val="000000"/>
          <w:vertAlign w:val="superscript"/>
        </w:rPr>
        <w:t>-</w:t>
      </w:r>
      <w:r w:rsidR="005D2D21" w:rsidRPr="005D2D21">
        <w:rPr>
          <w:color w:val="000000"/>
          <w:vertAlign w:val="superscript"/>
        </w:rPr>
        <w:t>16</w:t>
      </w:r>
      <w:r>
        <w:rPr>
          <w:color w:val="000000"/>
        </w:rPr>
        <w:t>).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803A2E">
        <w:rPr>
          <w:color w:val="000000"/>
        </w:rPr>
        <w:t xml:space="preserve">To investigate potential functional changes over time in Lake Mendota, we compared the abundances of </w:t>
      </w:r>
      <w:r w:rsidR="00803A2E" w:rsidRPr="00803A2E">
        <w:rPr>
          <w:i/>
          <w:color w:val="000000"/>
        </w:rPr>
        <w:t>Cyanobacteria</w:t>
      </w:r>
      <w:r w:rsidR="00803A2E">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803A2E" w:rsidRPr="00803A2E">
        <w:rPr>
          <w:i/>
          <w:color w:val="000000"/>
        </w:rPr>
        <w:t>Cyanobacteria</w:t>
      </w:r>
      <w:r w:rsidR="00803A2E">
        <w:rPr>
          <w:color w:val="000000"/>
        </w:rPr>
        <w:t xml:space="preserve"> 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w:t>
      </w:r>
      <w:r w:rsidR="00810B52">
        <w:rPr>
          <w:color w:val="000000"/>
        </w:rPr>
        <w:t xml:space="preserve">significant </w:t>
      </w:r>
      <w:r w:rsidR="00803A2E">
        <w:rPr>
          <w:color w:val="000000"/>
        </w:rPr>
        <w:t xml:space="preserve">correlation, the dominant MAG did not contain genes indicative of the nitrogen fixation pathway. This suggests that </w:t>
      </w:r>
      <w:r w:rsidR="00803A2E" w:rsidRPr="00803A2E">
        <w:rPr>
          <w:i/>
          <w:color w:val="000000"/>
        </w:rPr>
        <w:t xml:space="preserve">Cyanobacteria </w:t>
      </w:r>
      <w:r w:rsidR="00803A2E">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F83FAD" w:rsidRDefault="00F83FAD" w:rsidP="00B44E2D">
      <w:pPr>
        <w:rPr>
          <w:color w:val="000000"/>
        </w:rPr>
      </w:pP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F83FAD" w:rsidRDefault="00F83FAD" w:rsidP="00B44E2D">
      <w:pPr>
        <w:rPr>
          <w:color w:val="000000"/>
        </w:rPr>
      </w:pPr>
    </w:p>
    <w:p w:rsidR="00DE23D2" w:rsidRDefault="00DE23D2" w:rsidP="00DE23D2">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Pr>
          <w:color w:val="000000"/>
        </w:rPr>
        <w:t>medium</w:t>
      </w:r>
      <w:proofErr w:type="gramEnd"/>
      <w:r>
        <w:rPr>
          <w:color w:val="000000"/>
        </w:rPr>
        <w:t xml:space="preserve"> to high quality metagenome-assembled genomes.</w:t>
      </w:r>
    </w:p>
    <w:p w:rsidR="00DE23D2" w:rsidRDefault="00DE23D2" w:rsidP="00B44E2D">
      <w:pPr>
        <w:rPr>
          <w:color w:val="000000"/>
        </w:rPr>
      </w:pPr>
    </w:p>
    <w:p w:rsidR="00876143" w:rsidRDefault="005F1EC7" w:rsidP="00B44E2D">
      <w:r w:rsidRPr="005F1EC7">
        <w:rPr>
          <w:b/>
          <w:color w:val="000000"/>
        </w:rPr>
        <w:t xml:space="preserve">Data S2. </w:t>
      </w:r>
      <w:r w:rsidR="00DE23D2" w:rsidRPr="00AC3224">
        <w:rPr>
          <w:b/>
        </w:rPr>
        <w:t>MAG metadata.</w:t>
      </w:r>
      <w:r w:rsidR="00DE23D2">
        <w:t xml:space="preserve"> Information about the completeness, size, and taxonomy of our MAGs, as well as their IMG OIDs, are presented here. Amino acid use was calculated based on the average number of nitrogen atoms translated gene </w:t>
      </w:r>
      <w:proofErr w:type="spellStart"/>
      <w:r w:rsidR="00DE23D2">
        <w:t>sequences.</w:t>
      </w:r>
      <w:r w:rsidR="00876143">
        <w:t xml:space="preserve"> </w:t>
      </w:r>
    </w:p>
    <w:p w:rsidR="00F83FAD" w:rsidRDefault="00F83FAD" w:rsidP="00B44E2D"/>
    <w:p w:rsidR="00F83FAD" w:rsidRDefault="00F83FAD" w:rsidP="00B44E2D">
      <w:pPr>
        <w:rPr>
          <w:color w:val="000000"/>
        </w:rPr>
      </w:pPr>
    </w:p>
    <w:p w:rsidR="009770A7" w:rsidRDefault="009770A7" w:rsidP="00B44E2D">
      <w:pPr>
        <w:rPr>
          <w:color w:val="000000"/>
        </w:rPr>
      </w:pPr>
      <w:r>
        <w:rPr>
          <w:b/>
          <w:bCs/>
          <w:color w:val="000000"/>
        </w:rPr>
        <w:lastRenderedPageBreak/>
        <w:t xml:space="preserve">Table </w:t>
      </w:r>
      <w:proofErr w:type="spellEnd"/>
      <w:r>
        <w:rPr>
          <w:b/>
          <w:bCs/>
          <w:color w:val="000000"/>
        </w:rPr>
        <w:t xml:space="preserve">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F83FAD" w:rsidRDefault="00F83FAD" w:rsidP="00B44E2D">
      <w:pPr>
        <w:rPr>
          <w:color w:val="000000"/>
        </w:rPr>
      </w:pPr>
    </w:p>
    <w:p w:rsidR="00AC3224" w:rsidRDefault="00F83FAD" w:rsidP="00B44E2D">
      <w:r>
        <w:rPr>
          <w:b/>
        </w:rPr>
        <w:t>Data S3</w:t>
      </w:r>
      <w:r w:rsidR="00AC3224" w:rsidRPr="00AC3224">
        <w:rPr>
          <w:b/>
        </w:rPr>
        <w:t xml:space="preserve">. </w:t>
      </w:r>
      <w:r w:rsidR="00DE23D2" w:rsidRPr="00AC3224">
        <w:rPr>
          <w:b/>
        </w:rPr>
        <w:t>Average nucleotide identity between MAGs.</w:t>
      </w:r>
      <w:r w:rsidR="00DE23D2">
        <w:t xml:space="preserve"> Average nucleotide identity (ANI) was calculated between all MAGs in our dataset. MAGs with extremely high ANIs (&gt;97%) are likely from the same populations.</w:t>
      </w:r>
      <w:bookmarkStart w:id="8" w:name="_GoBack"/>
      <w:bookmarkEnd w:id="8"/>
    </w:p>
    <w:p w:rsidR="00F83FAD" w:rsidRDefault="00F83FAD" w:rsidP="00B44E2D"/>
    <w:p w:rsidR="00F83FAD" w:rsidRDefault="00F83FAD" w:rsidP="00B44E2D">
      <w:r>
        <w:rPr>
          <w:b/>
        </w:rPr>
        <w:t>Data S4</w:t>
      </w:r>
      <w:r w:rsidR="00AC3224" w:rsidRPr="00AC3224">
        <w:rPr>
          <w:b/>
        </w:rPr>
        <w:t xml:space="preserve">. </w:t>
      </w:r>
      <w:r w:rsidR="00DE23D2" w:rsidRPr="005F1EC7">
        <w:rPr>
          <w:b/>
          <w:color w:val="000000"/>
        </w:rPr>
        <w:t>Functional marker genes</w:t>
      </w:r>
      <w:r w:rsidR="00DE23D2">
        <w:rPr>
          <w:b/>
          <w:color w:val="000000"/>
        </w:rPr>
        <w:t xml:space="preserve"> used in this study</w:t>
      </w:r>
      <w:r w:rsidR="00DE23D2" w:rsidRPr="005F1EC7">
        <w:rPr>
          <w:b/>
          <w:color w:val="000000"/>
        </w:rPr>
        <w:t>.</w:t>
      </w:r>
      <w:r w:rsidR="00DE23D2">
        <w:rPr>
          <w:color w:val="000000"/>
        </w:rPr>
        <w:t xml:space="preserve"> </w:t>
      </w:r>
      <w:r w:rsidR="00DE23D2">
        <w:t xml:space="preserve">This dataset lists the TIGRFAM, COG, or PFAM IDs of sequences used as functional marker genes to analyze how gene content differs by site. </w:t>
      </w:r>
    </w:p>
    <w:p w:rsidR="00DE23D2" w:rsidRDefault="00DE23D2" w:rsidP="00B44E2D"/>
    <w:p w:rsidR="00DE23D2" w:rsidRDefault="00DE23D2" w:rsidP="00DE23D2">
      <w:r>
        <w:rPr>
          <w:b/>
        </w:rPr>
        <w:t>Data S5</w:t>
      </w:r>
      <w:r w:rsidRPr="00AC3224">
        <w:rPr>
          <w:b/>
        </w:rPr>
        <w:t>. 16S rRNA amplicon sequencing of our samples.</w:t>
      </w:r>
      <w:r>
        <w:t xml:space="preserve"> 16S sequencing was performed over the time series to assess community composition in our study sites. The resulting OTU tables and taxonomic classifications are presented here.</w:t>
      </w:r>
    </w:p>
    <w:p w:rsidR="00DE23D2" w:rsidRDefault="00DE23D2" w:rsidP="00B44E2D"/>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EC0B3F" w:rsidRDefault="00326033" w:rsidP="00B44E2D">
      <w:pPr>
        <w:rPr>
          <w:color w:val="000000"/>
        </w:rPr>
      </w:pPr>
      <w:r w:rsidRPr="00326033">
        <w:rPr>
          <w:b/>
        </w:rPr>
        <w:t>Figure S2.</w:t>
      </w:r>
      <w:r>
        <w:t xml:space="preserve"> </w:t>
      </w:r>
      <w:r w:rsidR="009D38A1" w:rsidRPr="00EC0B3F">
        <w:rPr>
          <w:b/>
          <w:color w:val="000000"/>
        </w:rPr>
        <w:t>Abundance of phyla by MAG read coverage.</w:t>
      </w:r>
      <w:r w:rsidR="009D38A1">
        <w:rPr>
          <w:b/>
          <w:color w:val="000000"/>
        </w:rPr>
        <w:t xml:space="preserve"> </w:t>
      </w:r>
      <w:r w:rsidR="009D38A1">
        <w:rPr>
          <w:color w:val="000000"/>
        </w:rPr>
        <w:t xml:space="preserve">We used </w:t>
      </w:r>
      <w:proofErr w:type="gramStart"/>
      <w:r w:rsidR="009D38A1">
        <w:rPr>
          <w:color w:val="000000"/>
        </w:rPr>
        <w:t>read</w:t>
      </w:r>
      <w:proofErr w:type="gramEnd"/>
      <w:r w:rsidR="009D38A1">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sidR="009D38A1">
        <w:rPr>
          <w:color w:val="000000"/>
        </w:rPr>
        <w:t>Phylosift</w:t>
      </w:r>
      <w:proofErr w:type="spellEnd"/>
      <w:r w:rsidR="009D38A1">
        <w:rPr>
          <w:color w:val="000000"/>
        </w:rPr>
        <w:t xml:space="preserve">, and </w:t>
      </w:r>
      <w:r w:rsidR="009D38A1" w:rsidRPr="00C72B55">
        <w:rPr>
          <w:i/>
          <w:color w:val="000000"/>
        </w:rPr>
        <w:t>Proteobacteria</w:t>
      </w:r>
      <w:r w:rsidR="009D38A1">
        <w:rPr>
          <w:color w:val="000000"/>
        </w:rPr>
        <w:t xml:space="preserve"> was split into classes due to the high diversity of this phylum. </w:t>
      </w:r>
    </w:p>
    <w:p w:rsidR="00EC0B3F" w:rsidRDefault="00EC0B3F" w:rsidP="00B44E2D">
      <w:pPr>
        <w:rPr>
          <w:color w:val="000000"/>
        </w:rPr>
      </w:pPr>
    </w:p>
    <w:p w:rsidR="00F83FAD" w:rsidRDefault="00EC0B3F" w:rsidP="00B44E2D">
      <w:pPr>
        <w:rPr>
          <w:color w:val="000000"/>
        </w:rPr>
      </w:pPr>
      <w:r w:rsidRPr="00EC0B3F">
        <w:rPr>
          <w:b/>
          <w:color w:val="000000"/>
        </w:rPr>
        <w:t xml:space="preserve">Figure S3. </w:t>
      </w:r>
      <w:r w:rsidR="009D38A1">
        <w:rPr>
          <w:b/>
          <w:bCs/>
          <w:color w:val="000000"/>
        </w:rPr>
        <w:t xml:space="preserve">16S rRNA gene amplicon results. </w:t>
      </w:r>
      <w:r w:rsidR="009D38A1">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rsidR="009D38A1">
        <w:t xml:space="preserve">The 16S V6-V8 region was targeted in Trout Bog, while the V4 region was targeted in Lake Mendota. </w:t>
      </w:r>
      <w:r w:rsidR="009D38A1" w:rsidRPr="00C72B55">
        <w:rPr>
          <w:i/>
          <w:color w:val="000000"/>
        </w:rPr>
        <w:t>Proteobacteria</w:t>
      </w:r>
      <w:r w:rsidR="009D38A1">
        <w:rPr>
          <w:color w:val="000000"/>
        </w:rPr>
        <w:t xml:space="preserve"> was split into classes due to the high diversity of this phylum. </w:t>
      </w:r>
    </w:p>
    <w:p w:rsidR="009D38A1" w:rsidRDefault="009D38A1" w:rsidP="00B44E2D"/>
    <w:p w:rsidR="008853A5" w:rsidRDefault="00046BFF">
      <w:pPr>
        <w:pStyle w:val="Heading1"/>
      </w:pPr>
      <w:r>
        <w:t>References</w:t>
      </w:r>
    </w:p>
    <w:p w:rsidR="001B167B" w:rsidRPr="001B167B" w:rsidRDefault="008E64BD" w:rsidP="001B167B">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1B167B" w:rsidRPr="001B167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1B167B" w:rsidRPr="001B167B">
        <w:rPr>
          <w:i/>
          <w:iCs/>
          <w:noProof/>
        </w:rPr>
        <w:t>Nature Communications</w:t>
      </w:r>
      <w:r w:rsidR="001B167B" w:rsidRPr="001B167B">
        <w:rPr>
          <w:noProof/>
        </w:rPr>
        <w:t xml:space="preserve"> 7:1–11. DOI: 10.1038/ncomms13219.</w:t>
      </w:r>
    </w:p>
    <w:p w:rsidR="001B167B" w:rsidRPr="001B167B" w:rsidRDefault="001B167B" w:rsidP="001B167B">
      <w:pPr>
        <w:widowControl w:val="0"/>
        <w:autoSpaceDE w:val="0"/>
        <w:autoSpaceDN w:val="0"/>
        <w:adjustRightInd w:val="0"/>
        <w:ind w:left="480" w:hanging="480"/>
        <w:rPr>
          <w:noProof/>
        </w:rPr>
      </w:pPr>
      <w:r w:rsidRPr="001B167B">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1B167B">
        <w:rPr>
          <w:i/>
          <w:iCs/>
          <w:noProof/>
        </w:rPr>
        <w:t>The ISME Journal</w:t>
      </w:r>
      <w:r w:rsidRPr="001B167B">
        <w:rPr>
          <w:noProof/>
        </w:rPr>
        <w:t xml:space="preserve"> 10:1589–1601. DOI: 10.1038/ismej.2015.241.</w:t>
      </w:r>
    </w:p>
    <w:p w:rsidR="001B167B" w:rsidRPr="001B167B" w:rsidRDefault="001B167B" w:rsidP="001B167B">
      <w:pPr>
        <w:widowControl w:val="0"/>
        <w:autoSpaceDE w:val="0"/>
        <w:autoSpaceDN w:val="0"/>
        <w:adjustRightInd w:val="0"/>
        <w:ind w:left="480" w:hanging="480"/>
        <w:rPr>
          <w:noProof/>
        </w:rPr>
      </w:pPr>
      <w:r w:rsidRPr="001B167B">
        <w:rPr>
          <w:noProof/>
        </w:rPr>
        <w:t xml:space="preserve">Beversdorf LJ., Miller TR., McMahon KD. 2013. The Role of Nitrogen Fixation in </w:t>
      </w:r>
      <w:r w:rsidRPr="001B167B">
        <w:rPr>
          <w:noProof/>
        </w:rPr>
        <w:lastRenderedPageBreak/>
        <w:t xml:space="preserve">Cyanobacterial Bloom Toxicity in a Temperate , Eutrophic Lake. </w:t>
      </w:r>
      <w:r w:rsidRPr="001B167B">
        <w:rPr>
          <w:i/>
          <w:iCs/>
          <w:noProof/>
        </w:rPr>
        <w:t>PLOS ONE</w:t>
      </w:r>
      <w:r w:rsidRPr="001B167B">
        <w:rPr>
          <w:noProof/>
        </w:rPr>
        <w:t xml:space="preserve"> 8:1–11. DOI: 10.1371/journal.pone.0056103.</w:t>
      </w:r>
    </w:p>
    <w:p w:rsidR="001B167B" w:rsidRPr="001B167B" w:rsidRDefault="001B167B" w:rsidP="001B167B">
      <w:pPr>
        <w:widowControl w:val="0"/>
        <w:autoSpaceDE w:val="0"/>
        <w:autoSpaceDN w:val="0"/>
        <w:adjustRightInd w:val="0"/>
        <w:ind w:left="480" w:hanging="480"/>
        <w:rPr>
          <w:noProof/>
        </w:rPr>
      </w:pPr>
      <w:r w:rsidRPr="001B167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1B167B">
        <w:rPr>
          <w:i/>
          <w:iCs/>
          <w:noProof/>
        </w:rPr>
        <w:t>International Journal of Systematic and Evolutionary Microbiology</w:t>
      </w:r>
      <w:r w:rsidRPr="001B167B">
        <w:rPr>
          <w:noProof/>
        </w:rPr>
        <w:t xml:space="preserve"> 67:1191–1205. DOI: 10.1099/ijsem.0.001927.</w:t>
      </w:r>
    </w:p>
    <w:p w:rsidR="001B167B" w:rsidRPr="001B167B" w:rsidRDefault="001B167B" w:rsidP="001B167B">
      <w:pPr>
        <w:widowControl w:val="0"/>
        <w:autoSpaceDE w:val="0"/>
        <w:autoSpaceDN w:val="0"/>
        <w:adjustRightInd w:val="0"/>
        <w:ind w:left="480" w:hanging="480"/>
        <w:rPr>
          <w:noProof/>
        </w:rPr>
      </w:pPr>
      <w:r w:rsidRPr="001B167B">
        <w:rPr>
          <w:noProof/>
        </w:rPr>
        <w:t xml:space="preserve">Boisvert S., Raymond F., Godzaridis É., Laviolette F., Corbeil J. 2012. Ray Meta: scalable de novo metagenome assembly and profiling. </w:t>
      </w:r>
      <w:r w:rsidRPr="001B167B">
        <w:rPr>
          <w:i/>
          <w:iCs/>
          <w:noProof/>
        </w:rPr>
        <w:t>Genome Biology</w:t>
      </w:r>
      <w:r w:rsidRPr="001B167B">
        <w:rPr>
          <w:noProof/>
        </w:rPr>
        <w:t xml:space="preserve"> 13:1–13. DOI: 10.1186/gb-2012-13-12-r122.</w:t>
      </w:r>
    </w:p>
    <w:p w:rsidR="001B167B" w:rsidRPr="001B167B" w:rsidRDefault="001B167B" w:rsidP="001B167B">
      <w:pPr>
        <w:widowControl w:val="0"/>
        <w:autoSpaceDE w:val="0"/>
        <w:autoSpaceDN w:val="0"/>
        <w:adjustRightInd w:val="0"/>
        <w:ind w:left="480" w:hanging="480"/>
        <w:rPr>
          <w:noProof/>
        </w:rPr>
      </w:pPr>
      <w:r w:rsidRPr="001B167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1B167B">
        <w:rPr>
          <w:i/>
          <w:iCs/>
          <w:noProof/>
        </w:rPr>
        <w:t>Nature Biotechnology</w:t>
      </w:r>
      <w:r w:rsidRPr="001B167B">
        <w:rPr>
          <w:noProof/>
        </w:rPr>
        <w:t xml:space="preserve"> 35:725–731. DOI: 10.1038/nbt.3893.</w:t>
      </w:r>
    </w:p>
    <w:p w:rsidR="001B167B" w:rsidRPr="001B167B" w:rsidRDefault="001B167B" w:rsidP="001B167B">
      <w:pPr>
        <w:widowControl w:val="0"/>
        <w:autoSpaceDE w:val="0"/>
        <w:autoSpaceDN w:val="0"/>
        <w:adjustRightInd w:val="0"/>
        <w:ind w:left="480" w:hanging="480"/>
        <w:rPr>
          <w:noProof/>
        </w:rPr>
      </w:pPr>
      <w:r w:rsidRPr="001B167B">
        <w:rPr>
          <w:noProof/>
        </w:rPr>
        <w:t xml:space="preserve">Bowles MW., Mogollon JM., Kasten S., Zabel M., Hinrichs K-U. 2014. Global rates of marine sulfate reduction and implications for sub-sea-floor metabolic activities. </w:t>
      </w:r>
      <w:r w:rsidRPr="001B167B">
        <w:rPr>
          <w:i/>
          <w:iCs/>
          <w:noProof/>
        </w:rPr>
        <w:t>Science Express Reports</w:t>
      </w:r>
      <w:r w:rsidRPr="001B167B">
        <w:rPr>
          <w:noProof/>
        </w:rPr>
        <w:t>. DOI: 10.1038/35351.</w:t>
      </w:r>
    </w:p>
    <w:p w:rsidR="001B167B" w:rsidRPr="001B167B" w:rsidRDefault="001B167B" w:rsidP="001B167B">
      <w:pPr>
        <w:widowControl w:val="0"/>
        <w:autoSpaceDE w:val="0"/>
        <w:autoSpaceDN w:val="0"/>
        <w:adjustRightInd w:val="0"/>
        <w:ind w:left="480" w:hanging="480"/>
        <w:rPr>
          <w:noProof/>
        </w:rPr>
      </w:pPr>
      <w:r w:rsidRPr="001B167B">
        <w:rPr>
          <w:noProof/>
        </w:rPr>
        <w:t xml:space="preserve">Al Bulushi I., Poole S., Deeth HC., Dykes GA. 2009. Biogenic amines in fish: Roles in intoxication, spoilage, and nitrosamine formation-A review. </w:t>
      </w:r>
      <w:r w:rsidRPr="001B167B">
        <w:rPr>
          <w:i/>
          <w:iCs/>
          <w:noProof/>
        </w:rPr>
        <w:t>Critical Reviews in Food Science and Nutrition</w:t>
      </w:r>
      <w:r w:rsidRPr="001B167B">
        <w:rPr>
          <w:noProof/>
        </w:rPr>
        <w:t xml:space="preserve"> 49:369–377. DOI: 10.1080/10408390802067514.</w:t>
      </w:r>
    </w:p>
    <w:p w:rsidR="001B167B" w:rsidRPr="001B167B" w:rsidRDefault="001B167B" w:rsidP="001B167B">
      <w:pPr>
        <w:widowControl w:val="0"/>
        <w:autoSpaceDE w:val="0"/>
        <w:autoSpaceDN w:val="0"/>
        <w:adjustRightInd w:val="0"/>
        <w:ind w:left="480" w:hanging="480"/>
        <w:rPr>
          <w:noProof/>
        </w:rPr>
      </w:pPr>
      <w:r w:rsidRPr="001B167B">
        <w:rPr>
          <w:noProof/>
        </w:rPr>
        <w:t xml:space="preserve">Butman D., Stackpoole S., Stets E., McDonald CP., Clow DW., Striegl RG. 2015. Aquatic carbon cycling in the conterminous United States and implications for terrestrial carbon accounting. </w:t>
      </w:r>
      <w:r w:rsidRPr="001B167B">
        <w:rPr>
          <w:i/>
          <w:iCs/>
          <w:noProof/>
        </w:rPr>
        <w:t>Proceedings of the National Academy of Sciences</w:t>
      </w:r>
      <w:r w:rsidRPr="001B167B">
        <w:rPr>
          <w:noProof/>
        </w:rPr>
        <w:t>:1–6. DOI: 10.1073/pnas.1512651112.</w:t>
      </w:r>
    </w:p>
    <w:p w:rsidR="001B167B" w:rsidRPr="001B167B" w:rsidRDefault="001B167B" w:rsidP="001B167B">
      <w:pPr>
        <w:widowControl w:val="0"/>
        <w:autoSpaceDE w:val="0"/>
        <w:autoSpaceDN w:val="0"/>
        <w:adjustRightInd w:val="0"/>
        <w:ind w:left="480" w:hanging="480"/>
        <w:rPr>
          <w:noProof/>
        </w:rPr>
      </w:pPr>
      <w:r w:rsidRPr="001B167B">
        <w:rPr>
          <w:noProof/>
        </w:rPr>
        <w:t xml:space="preserve">Camacho C., Coulouris G., Avagyan V., Ma N., Papadopoulos J., Bealer K., Madden TL. 2009. BLAST plus : architecture and applications. </w:t>
      </w:r>
      <w:r w:rsidRPr="001B167B">
        <w:rPr>
          <w:i/>
          <w:iCs/>
          <w:noProof/>
        </w:rPr>
        <w:t>BMC Bioinformatics</w:t>
      </w:r>
      <w:r w:rsidRPr="001B167B">
        <w:rPr>
          <w:noProof/>
        </w:rPr>
        <w:t xml:space="preserve"> 10:1–9. DOI: Artn 421\nDoi 10.1186/1471-2105-10-421.</w:t>
      </w:r>
    </w:p>
    <w:p w:rsidR="001B167B" w:rsidRPr="001B167B" w:rsidRDefault="001B167B" w:rsidP="001B167B">
      <w:pPr>
        <w:widowControl w:val="0"/>
        <w:autoSpaceDE w:val="0"/>
        <w:autoSpaceDN w:val="0"/>
        <w:adjustRightInd w:val="0"/>
        <w:ind w:left="480" w:hanging="480"/>
        <w:rPr>
          <w:noProof/>
        </w:rPr>
      </w:pPr>
      <w:r w:rsidRPr="001B167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1B167B">
        <w:rPr>
          <w:i/>
          <w:iCs/>
          <w:noProof/>
        </w:rPr>
        <w:t>The ISME Journal</w:t>
      </w:r>
      <w:r w:rsidRPr="001B167B">
        <w:rPr>
          <w:noProof/>
        </w:rPr>
        <w:t xml:space="preserve"> 6:1621–1624. DOI: 10.1038/ismej.2012.8.</w:t>
      </w:r>
    </w:p>
    <w:p w:rsidR="001B167B" w:rsidRPr="001B167B" w:rsidRDefault="001B167B" w:rsidP="001B167B">
      <w:pPr>
        <w:widowControl w:val="0"/>
        <w:autoSpaceDE w:val="0"/>
        <w:autoSpaceDN w:val="0"/>
        <w:adjustRightInd w:val="0"/>
        <w:ind w:left="480" w:hanging="480"/>
        <w:rPr>
          <w:noProof/>
        </w:rPr>
      </w:pPr>
      <w:r w:rsidRPr="001B167B">
        <w:rPr>
          <w:noProof/>
        </w:rPr>
        <w:t xml:space="preserve">Chistoserdova L., Kalyuzhnaya MG., Lidstrom ME. 2009. The Expanding World of Methylotrophic Metabolism. </w:t>
      </w:r>
      <w:r w:rsidRPr="001B167B">
        <w:rPr>
          <w:i/>
          <w:iCs/>
          <w:noProof/>
        </w:rPr>
        <w:t>Annual Review of Microbiology</w:t>
      </w:r>
      <w:r w:rsidRPr="001B167B">
        <w:rPr>
          <w:noProof/>
        </w:rPr>
        <w:t xml:space="preserve"> 63:477–499. DOI: 10.1146/annurev.micro.091208.073600.The.</w:t>
      </w:r>
    </w:p>
    <w:p w:rsidR="001B167B" w:rsidRPr="001B167B" w:rsidRDefault="001B167B" w:rsidP="001B167B">
      <w:pPr>
        <w:widowControl w:val="0"/>
        <w:autoSpaceDE w:val="0"/>
        <w:autoSpaceDN w:val="0"/>
        <w:adjustRightInd w:val="0"/>
        <w:ind w:left="480" w:hanging="480"/>
        <w:rPr>
          <w:noProof/>
        </w:rPr>
      </w:pPr>
      <w:r w:rsidRPr="001B167B">
        <w:rPr>
          <w:noProof/>
        </w:rPr>
        <w:t xml:space="preserve">Cole JJ., Prairie YT., Caraco NF., McDowell WH., Tranvik LJ., Striegl RG., Duarte CM., Kortelainen P., Downing JA., Middelburg JJ., Melack J. 2007. Plumbing the Global Carbon Cycle: Integrating Inland Waters into the Terrestrial Carbon Budget. </w:t>
      </w:r>
      <w:r w:rsidRPr="001B167B">
        <w:rPr>
          <w:i/>
          <w:iCs/>
          <w:noProof/>
        </w:rPr>
        <w:t>Ecosystems</w:t>
      </w:r>
      <w:r w:rsidRPr="001B167B">
        <w:rPr>
          <w:noProof/>
        </w:rPr>
        <w:t xml:space="preserve"> 10:172–185. DOI: 10.1007/s10021-006-9013-8.</w:t>
      </w:r>
    </w:p>
    <w:p w:rsidR="001B167B" w:rsidRPr="001B167B" w:rsidRDefault="001B167B" w:rsidP="001B167B">
      <w:pPr>
        <w:widowControl w:val="0"/>
        <w:autoSpaceDE w:val="0"/>
        <w:autoSpaceDN w:val="0"/>
        <w:adjustRightInd w:val="0"/>
        <w:ind w:left="480" w:hanging="480"/>
        <w:rPr>
          <w:noProof/>
        </w:rPr>
      </w:pPr>
      <w:r w:rsidRPr="001B167B">
        <w:rPr>
          <w:noProof/>
        </w:rPr>
        <w:t xml:space="preserve">Darling AE., Jospin G., Lowe E., Matsen FA., Bik HM., Eisen JA. 2014. PhyloSift: phylogenetic </w:t>
      </w:r>
      <w:r w:rsidRPr="001B167B">
        <w:rPr>
          <w:noProof/>
        </w:rPr>
        <w:lastRenderedPageBreak/>
        <w:t xml:space="preserve">analysis of genomes and metagenomes. </w:t>
      </w:r>
      <w:r w:rsidRPr="001B167B">
        <w:rPr>
          <w:i/>
          <w:iCs/>
          <w:noProof/>
        </w:rPr>
        <w:t>PeerJ</w:t>
      </w:r>
      <w:r w:rsidRPr="001B167B">
        <w:rPr>
          <w:noProof/>
        </w:rPr>
        <w:t xml:space="preserve"> 2:e243. DOI: 10.7717/peerj.243.</w:t>
      </w:r>
    </w:p>
    <w:p w:rsidR="001B167B" w:rsidRPr="001B167B" w:rsidRDefault="001B167B" w:rsidP="001B167B">
      <w:pPr>
        <w:widowControl w:val="0"/>
        <w:autoSpaceDE w:val="0"/>
        <w:autoSpaceDN w:val="0"/>
        <w:adjustRightInd w:val="0"/>
        <w:ind w:left="480" w:hanging="480"/>
        <w:rPr>
          <w:noProof/>
        </w:rPr>
      </w:pPr>
      <w:r w:rsidRPr="001B167B">
        <w:rPr>
          <w:noProof/>
        </w:rPr>
        <w:t xml:space="preserve">DeSantis TZ., Hugenholtz P., Larsen N., Rojas M., Brodie EL., Keller K., Huber T., Dalevi D., Hu P., Andersen GL. 2006. Greengenes, a chimera-checked 16S rRNA gene database and workbench compatible with ARB. </w:t>
      </w:r>
      <w:r w:rsidRPr="001B167B">
        <w:rPr>
          <w:i/>
          <w:iCs/>
          <w:noProof/>
        </w:rPr>
        <w:t>Applied and Environmental Microbiology</w:t>
      </w:r>
      <w:r w:rsidRPr="001B167B">
        <w:rPr>
          <w:noProof/>
        </w:rPr>
        <w:t xml:space="preserve"> 72:5069–5072. DOI: 10.1128/AEM.03006-05.</w:t>
      </w:r>
    </w:p>
    <w:p w:rsidR="001B167B" w:rsidRPr="001B167B" w:rsidRDefault="001B167B" w:rsidP="001B167B">
      <w:pPr>
        <w:widowControl w:val="0"/>
        <w:autoSpaceDE w:val="0"/>
        <w:autoSpaceDN w:val="0"/>
        <w:adjustRightInd w:val="0"/>
        <w:ind w:left="480" w:hanging="480"/>
        <w:rPr>
          <w:noProof/>
        </w:rPr>
      </w:pPr>
      <w:r w:rsidRPr="001B167B">
        <w:rPr>
          <w:noProof/>
        </w:rPr>
        <w:t xml:space="preserve">Eiler A., Bertilsson S. 2004. Composition of freshwater bacterial communities associated with cyanobacterial blooms in four Swedish lakes. </w:t>
      </w:r>
      <w:r w:rsidRPr="001B167B">
        <w:rPr>
          <w:i/>
          <w:iCs/>
          <w:noProof/>
        </w:rPr>
        <w:t>Environmental Microbiology</w:t>
      </w:r>
      <w:r w:rsidRPr="001B167B">
        <w:rPr>
          <w:noProof/>
        </w:rPr>
        <w:t xml:space="preserve"> 6:1228–1243. DOI: 10.1111/j.1462-2920.2004.00657.x.</w:t>
      </w:r>
    </w:p>
    <w:p w:rsidR="001B167B" w:rsidRPr="001B167B" w:rsidRDefault="001B167B" w:rsidP="001B167B">
      <w:pPr>
        <w:widowControl w:val="0"/>
        <w:autoSpaceDE w:val="0"/>
        <w:autoSpaceDN w:val="0"/>
        <w:adjustRightInd w:val="0"/>
        <w:ind w:left="480" w:hanging="480"/>
        <w:rPr>
          <w:noProof/>
        </w:rPr>
      </w:pPr>
      <w:r w:rsidRPr="001B167B">
        <w:rPr>
          <w:noProof/>
        </w:rPr>
        <w:t xml:space="preserve">Eiler A., Langenheder S., Bertilsson S., Tranvik LJ. 2003. Heterotrophic bacterial growth efficiency and community structure at different natural organic carbon concentrations. </w:t>
      </w:r>
      <w:r w:rsidRPr="001B167B">
        <w:rPr>
          <w:i/>
          <w:iCs/>
          <w:noProof/>
        </w:rPr>
        <w:t>Applied and environmental microbiology</w:t>
      </w:r>
      <w:r w:rsidRPr="001B167B">
        <w:rPr>
          <w:noProof/>
        </w:rPr>
        <w:t xml:space="preserve"> 69:3701–9. DOI: 10.1128/AEM.69.7.3701-3709.2003.</w:t>
      </w:r>
    </w:p>
    <w:p w:rsidR="001B167B" w:rsidRPr="001B167B" w:rsidRDefault="001B167B" w:rsidP="001B167B">
      <w:pPr>
        <w:widowControl w:val="0"/>
        <w:autoSpaceDE w:val="0"/>
        <w:autoSpaceDN w:val="0"/>
        <w:adjustRightInd w:val="0"/>
        <w:ind w:left="480" w:hanging="480"/>
        <w:rPr>
          <w:noProof/>
        </w:rPr>
      </w:pPr>
      <w:r w:rsidRPr="001B167B">
        <w:rPr>
          <w:noProof/>
        </w:rPr>
        <w:t xml:space="preserve">Engelbrektson AL., Kunin V., Wrighton KC., Zvenigorodsky N., Chen F., Ochman H., Hugenholtz P. 2010. Experimental factors affecting PCR-based estimates of microbial species richness and evenness. </w:t>
      </w:r>
      <w:r w:rsidRPr="001B167B">
        <w:rPr>
          <w:i/>
          <w:iCs/>
          <w:noProof/>
        </w:rPr>
        <w:t>The ISME Journal</w:t>
      </w:r>
      <w:r w:rsidRPr="001B167B">
        <w:rPr>
          <w:noProof/>
        </w:rPr>
        <w:t xml:space="preserve"> 4:642.</w:t>
      </w:r>
    </w:p>
    <w:p w:rsidR="001B167B" w:rsidRPr="001B167B" w:rsidRDefault="001B167B" w:rsidP="001B167B">
      <w:pPr>
        <w:widowControl w:val="0"/>
        <w:autoSpaceDE w:val="0"/>
        <w:autoSpaceDN w:val="0"/>
        <w:adjustRightInd w:val="0"/>
        <w:ind w:left="480" w:hanging="480"/>
        <w:rPr>
          <w:noProof/>
        </w:rPr>
      </w:pPr>
      <w:r w:rsidRPr="001B167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1B167B">
        <w:rPr>
          <w:i/>
          <w:iCs/>
          <w:noProof/>
        </w:rPr>
        <w:t>The ISME Journal</w:t>
      </w:r>
      <w:r w:rsidRPr="001B167B">
        <w:rPr>
          <w:noProof/>
        </w:rPr>
        <w:t xml:space="preserve"> 8:2503–16. DOI: 10.1038/ismej.2014.135.</w:t>
      </w:r>
    </w:p>
    <w:p w:rsidR="001B167B" w:rsidRPr="001B167B" w:rsidRDefault="001B167B" w:rsidP="001B167B">
      <w:pPr>
        <w:widowControl w:val="0"/>
        <w:autoSpaceDE w:val="0"/>
        <w:autoSpaceDN w:val="0"/>
        <w:adjustRightInd w:val="0"/>
        <w:ind w:left="480" w:hanging="480"/>
        <w:rPr>
          <w:noProof/>
        </w:rPr>
      </w:pPr>
      <w:r w:rsidRPr="001B167B">
        <w:rPr>
          <w:noProof/>
        </w:rPr>
        <w:t xml:space="preserve">Giroldo D., Augusto A., Vieira H. 2005. Polymeric and free sugars released by three phytoplanktonic species from a freshwater tropical eutrophic reservoir. </w:t>
      </w:r>
      <w:r w:rsidRPr="001B167B">
        <w:rPr>
          <w:i/>
          <w:iCs/>
          <w:noProof/>
        </w:rPr>
        <w:t>Journal of Plankton Research</w:t>
      </w:r>
      <w:r w:rsidRPr="001B167B">
        <w:rPr>
          <w:noProof/>
        </w:rPr>
        <w:t xml:space="preserve"> 27:695–705. DOI: 10.1093/plankt/fbi043.</w:t>
      </w:r>
    </w:p>
    <w:p w:rsidR="001B167B" w:rsidRPr="001B167B" w:rsidRDefault="001B167B" w:rsidP="001B167B">
      <w:pPr>
        <w:widowControl w:val="0"/>
        <w:autoSpaceDE w:val="0"/>
        <w:autoSpaceDN w:val="0"/>
        <w:adjustRightInd w:val="0"/>
        <w:ind w:left="480" w:hanging="480"/>
        <w:rPr>
          <w:noProof/>
        </w:rPr>
      </w:pPr>
      <w:r w:rsidRPr="001B167B">
        <w:rPr>
          <w:noProof/>
        </w:rPr>
        <w:t xml:space="preserve">Gong X., Garcia-Robledo E., Revsbech N-P., Schramm A. 2018. Gene Expression of Terminal Oxidases in Two Marine Bacterial Strains Exposed to Nanomolar Oxygen Concentrations. </w:t>
      </w:r>
      <w:r w:rsidRPr="001B167B">
        <w:rPr>
          <w:i/>
          <w:iCs/>
          <w:noProof/>
        </w:rPr>
        <w:t>FEMS Microbiology Ecology</w:t>
      </w:r>
      <w:r w:rsidRPr="001B167B">
        <w:rPr>
          <w:noProof/>
        </w:rPr>
        <w:t>. DOI: 10.1093/femsec/fiy072/4983120.</w:t>
      </w:r>
    </w:p>
    <w:p w:rsidR="001B167B" w:rsidRPr="001B167B" w:rsidRDefault="001B167B" w:rsidP="001B167B">
      <w:pPr>
        <w:widowControl w:val="0"/>
        <w:autoSpaceDE w:val="0"/>
        <w:autoSpaceDN w:val="0"/>
        <w:adjustRightInd w:val="0"/>
        <w:ind w:left="480" w:hanging="480"/>
        <w:rPr>
          <w:noProof/>
        </w:rPr>
      </w:pPr>
      <w:r w:rsidRPr="001B167B">
        <w:rPr>
          <w:noProof/>
        </w:rPr>
        <w:t xml:space="preserve">Guillemette F., del Giorgio PA. 2011. Reconstructing the various facets of dissolved organic carbon bioavailability in freshwater ecosystems. </w:t>
      </w:r>
      <w:r w:rsidRPr="001B167B">
        <w:rPr>
          <w:i/>
          <w:iCs/>
          <w:noProof/>
        </w:rPr>
        <w:t>Limnology and Oceanography</w:t>
      </w:r>
      <w:r w:rsidRPr="001B167B">
        <w:rPr>
          <w:noProof/>
        </w:rPr>
        <w:t xml:space="preserve"> 56:734–748. DOI: 10.4319/lo.2011.56.2.0734.</w:t>
      </w:r>
    </w:p>
    <w:p w:rsidR="001B167B" w:rsidRPr="001B167B" w:rsidRDefault="001B167B" w:rsidP="001B167B">
      <w:pPr>
        <w:widowControl w:val="0"/>
        <w:autoSpaceDE w:val="0"/>
        <w:autoSpaceDN w:val="0"/>
        <w:adjustRightInd w:val="0"/>
        <w:ind w:left="480" w:hanging="480"/>
        <w:rPr>
          <w:noProof/>
        </w:rPr>
      </w:pPr>
      <w:r w:rsidRPr="001B167B">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1B167B">
        <w:rPr>
          <w:i/>
          <w:iCs/>
          <w:noProof/>
        </w:rPr>
        <w:t>PLoS ONE</w:t>
      </w:r>
      <w:r w:rsidRPr="001B167B">
        <w:rPr>
          <w:noProof/>
        </w:rPr>
        <w:t xml:space="preserve"> 7:e32772. DOI: 10.1371/journal.pone.0032772.</w:t>
      </w:r>
    </w:p>
    <w:p w:rsidR="001B167B" w:rsidRPr="001B167B" w:rsidRDefault="001B167B" w:rsidP="001B167B">
      <w:pPr>
        <w:widowControl w:val="0"/>
        <w:autoSpaceDE w:val="0"/>
        <w:autoSpaceDN w:val="0"/>
        <w:adjustRightInd w:val="0"/>
        <w:ind w:left="480" w:hanging="480"/>
        <w:rPr>
          <w:noProof/>
        </w:rPr>
      </w:pPr>
      <w:r w:rsidRPr="001B167B">
        <w:rPr>
          <w:noProof/>
        </w:rPr>
        <w:t xml:space="preserve">Hall MW., Rohwer RR., Perrie J., McMahon KD., Beiko RG. 2017. Ananke: temporal clustering reveals ecological dynamics of microbial communities. </w:t>
      </w:r>
      <w:r w:rsidRPr="001B167B">
        <w:rPr>
          <w:i/>
          <w:iCs/>
          <w:noProof/>
        </w:rPr>
        <w:t>PeerJ</w:t>
      </w:r>
      <w:r w:rsidRPr="001B167B">
        <w:rPr>
          <w:noProof/>
        </w:rPr>
        <w:t xml:space="preserve"> 5:e3812. DOI: 10.7717/peerj.3812.</w:t>
      </w:r>
    </w:p>
    <w:p w:rsidR="001B167B" w:rsidRPr="001B167B" w:rsidRDefault="001B167B" w:rsidP="001B167B">
      <w:pPr>
        <w:widowControl w:val="0"/>
        <w:autoSpaceDE w:val="0"/>
        <w:autoSpaceDN w:val="0"/>
        <w:adjustRightInd w:val="0"/>
        <w:ind w:left="480" w:hanging="480"/>
        <w:rPr>
          <w:noProof/>
        </w:rPr>
      </w:pPr>
      <w:r w:rsidRPr="001B167B">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1B167B">
        <w:rPr>
          <w:i/>
          <w:iCs/>
          <w:noProof/>
        </w:rPr>
        <w:t>mSystems</w:t>
      </w:r>
      <w:r w:rsidRPr="001B167B">
        <w:rPr>
          <w:noProof/>
        </w:rPr>
        <w:t xml:space="preserve"> 2:e00091-17. DOI: 10.1128/mSystems.00091-17.</w:t>
      </w:r>
    </w:p>
    <w:p w:rsidR="001B167B" w:rsidRPr="001B167B" w:rsidRDefault="001B167B" w:rsidP="001B167B">
      <w:pPr>
        <w:widowControl w:val="0"/>
        <w:autoSpaceDE w:val="0"/>
        <w:autoSpaceDN w:val="0"/>
        <w:adjustRightInd w:val="0"/>
        <w:ind w:left="480" w:hanging="480"/>
        <w:rPr>
          <w:noProof/>
        </w:rPr>
      </w:pPr>
      <w:r w:rsidRPr="001B167B">
        <w:rPr>
          <w:noProof/>
        </w:rPr>
        <w:t xml:space="preserve">Hanson TE., Tabita FR. 2001. A ribulose-1,5-bisphosphate carboxylase/oxygenase (RubisCO)-like protein from Chlorobium tepidum that is involved with sulfur metabolism and the response to oxidative stress. </w:t>
      </w:r>
      <w:r w:rsidRPr="001B167B">
        <w:rPr>
          <w:i/>
          <w:iCs/>
          <w:noProof/>
        </w:rPr>
        <w:t>Proceedings of the National Academy of Sciences</w:t>
      </w:r>
      <w:r w:rsidRPr="001B167B">
        <w:rPr>
          <w:noProof/>
        </w:rPr>
        <w:t xml:space="preserve"> 98:4397–4402. DOI: 10.1073/pnas.081610398.</w:t>
      </w:r>
    </w:p>
    <w:p w:rsidR="001B167B" w:rsidRPr="001B167B" w:rsidRDefault="001B167B" w:rsidP="001B167B">
      <w:pPr>
        <w:widowControl w:val="0"/>
        <w:autoSpaceDE w:val="0"/>
        <w:autoSpaceDN w:val="0"/>
        <w:adjustRightInd w:val="0"/>
        <w:ind w:left="480" w:hanging="480"/>
        <w:rPr>
          <w:noProof/>
        </w:rPr>
      </w:pPr>
      <w:r w:rsidRPr="001B167B">
        <w:rPr>
          <w:noProof/>
        </w:rPr>
        <w:t xml:space="preserve">He S., Stevens SLR., Chan L-K., Bertilsson S., Glavina Del Rio T., Tringe SG., Malmstrom RR., </w:t>
      </w:r>
      <w:r w:rsidRPr="001B167B">
        <w:rPr>
          <w:noProof/>
        </w:rPr>
        <w:lastRenderedPageBreak/>
        <w:t xml:space="preserve">McMahon KD. 2017. Ecophysiology of Freshwater Verrucomicrobia Inferred from Metagenome-Assembled Genomes. </w:t>
      </w:r>
      <w:r w:rsidRPr="001B167B">
        <w:rPr>
          <w:i/>
          <w:iCs/>
          <w:noProof/>
        </w:rPr>
        <w:t>mSphere</w:t>
      </w:r>
      <w:r w:rsidRPr="001B167B">
        <w:rPr>
          <w:noProof/>
        </w:rPr>
        <w:t xml:space="preserve"> 2:e00277-17. DOI: 10.1128/mSphere.00277-17.</w:t>
      </w:r>
    </w:p>
    <w:p w:rsidR="001B167B" w:rsidRPr="001B167B" w:rsidRDefault="001B167B" w:rsidP="001B167B">
      <w:pPr>
        <w:widowControl w:val="0"/>
        <w:autoSpaceDE w:val="0"/>
        <w:autoSpaceDN w:val="0"/>
        <w:adjustRightInd w:val="0"/>
        <w:ind w:left="480" w:hanging="480"/>
        <w:rPr>
          <w:noProof/>
        </w:rPr>
      </w:pPr>
      <w:r w:rsidRPr="001B167B">
        <w:rPr>
          <w:noProof/>
        </w:rPr>
        <w:t xml:space="preserve">Henrissat B., Davies G. 1997. Structural and sequence-based classification of glycoside hydrolases. </w:t>
      </w:r>
      <w:r w:rsidRPr="001B167B">
        <w:rPr>
          <w:i/>
          <w:iCs/>
          <w:noProof/>
        </w:rPr>
        <w:t>Current Opinion in Structural Biology</w:t>
      </w:r>
      <w:r w:rsidRPr="001B167B">
        <w:rPr>
          <w:noProof/>
        </w:rPr>
        <w:t xml:space="preserve"> 7:637–644. DOI: 10.1016/S0959-440X(97)80072-3.</w:t>
      </w:r>
    </w:p>
    <w:p w:rsidR="001B167B" w:rsidRPr="001B167B" w:rsidRDefault="001B167B" w:rsidP="001B167B">
      <w:pPr>
        <w:widowControl w:val="0"/>
        <w:autoSpaceDE w:val="0"/>
        <w:autoSpaceDN w:val="0"/>
        <w:adjustRightInd w:val="0"/>
        <w:ind w:left="480" w:hanging="480"/>
        <w:rPr>
          <w:noProof/>
        </w:rPr>
      </w:pPr>
      <w:r w:rsidRPr="001B167B">
        <w:rPr>
          <w:noProof/>
        </w:rPr>
        <w:t xml:space="preserve">Holkenbrink C., Barbas SO., Mellerup A., Otaki H., Frigaard NU. 2011. Sulfur globule oxidation in green sulfur bacteria is dependent on the dissimilatory sulfite reductase system. </w:t>
      </w:r>
      <w:r w:rsidRPr="001B167B">
        <w:rPr>
          <w:i/>
          <w:iCs/>
          <w:noProof/>
        </w:rPr>
        <w:t>Microbiology</w:t>
      </w:r>
      <w:r w:rsidRPr="001B167B">
        <w:rPr>
          <w:noProof/>
        </w:rPr>
        <w:t xml:space="preserve"> 157:1229–1239. DOI: 10.1099/mic.0.044669-0.</w:t>
      </w:r>
    </w:p>
    <w:p w:rsidR="001B167B" w:rsidRPr="001B167B" w:rsidRDefault="001B167B" w:rsidP="001B167B">
      <w:pPr>
        <w:widowControl w:val="0"/>
        <w:autoSpaceDE w:val="0"/>
        <w:autoSpaceDN w:val="0"/>
        <w:adjustRightInd w:val="0"/>
        <w:ind w:left="480" w:hanging="480"/>
        <w:rPr>
          <w:noProof/>
        </w:rPr>
      </w:pPr>
      <w:r w:rsidRPr="001B167B">
        <w:rPr>
          <w:noProof/>
        </w:rPr>
        <w:t xml:space="preserve">Hyatt D., Chen GL., LoCascio PF., Land ML., Larimer FW., Hauser LJ. 2010. Prodigal: Prokaryotic gene recognition and translation initiation site identification. </w:t>
      </w:r>
      <w:r w:rsidRPr="001B167B">
        <w:rPr>
          <w:i/>
          <w:iCs/>
          <w:noProof/>
        </w:rPr>
        <w:t>BMC Bioinformatics</w:t>
      </w:r>
      <w:r w:rsidRPr="001B167B">
        <w:rPr>
          <w:noProof/>
        </w:rPr>
        <w:t xml:space="preserve"> 11. DOI: 10.1186/1471-2105-11-119.</w:t>
      </w:r>
    </w:p>
    <w:p w:rsidR="001B167B" w:rsidRPr="001B167B" w:rsidRDefault="001B167B" w:rsidP="001B167B">
      <w:pPr>
        <w:widowControl w:val="0"/>
        <w:autoSpaceDE w:val="0"/>
        <w:autoSpaceDN w:val="0"/>
        <w:adjustRightInd w:val="0"/>
        <w:ind w:left="480" w:hanging="480"/>
        <w:rPr>
          <w:noProof/>
        </w:rPr>
      </w:pPr>
      <w:r w:rsidRPr="001B167B">
        <w:rPr>
          <w:noProof/>
        </w:rPr>
        <w:t xml:space="preserve">Igarashi K., Kashiwagi K. 1999. Polyamine transport in bacteria and yeast. </w:t>
      </w:r>
      <w:r w:rsidRPr="001B167B">
        <w:rPr>
          <w:i/>
          <w:iCs/>
          <w:noProof/>
        </w:rPr>
        <w:t>Biochem. J.</w:t>
      </w:r>
      <w:r w:rsidRPr="001B167B">
        <w:rPr>
          <w:noProof/>
        </w:rPr>
        <w:t xml:space="preserve"> 344:633–642.</w:t>
      </w:r>
    </w:p>
    <w:p w:rsidR="001B167B" w:rsidRPr="001B167B" w:rsidRDefault="001B167B" w:rsidP="001B167B">
      <w:pPr>
        <w:widowControl w:val="0"/>
        <w:autoSpaceDE w:val="0"/>
        <w:autoSpaceDN w:val="0"/>
        <w:adjustRightInd w:val="0"/>
        <w:ind w:left="480" w:hanging="480"/>
        <w:rPr>
          <w:noProof/>
        </w:rPr>
      </w:pPr>
      <w:r w:rsidRPr="001B167B">
        <w:rPr>
          <w:noProof/>
        </w:rPr>
        <w:t xml:space="preserve">Jonsson A., Meili M., Bergström A-K., Jansson M. 2001. Whole-lake mineralization of allochthonous and autochthonous organic carbon in a large humic lake (örträsket, N. Sweden). </w:t>
      </w:r>
      <w:r w:rsidRPr="001B167B">
        <w:rPr>
          <w:i/>
          <w:iCs/>
          <w:noProof/>
        </w:rPr>
        <w:t>Limnology and Oceanography</w:t>
      </w:r>
      <w:r w:rsidRPr="001B167B">
        <w:rPr>
          <w:noProof/>
        </w:rPr>
        <w:t xml:space="preserve"> 46:1691–1700. DOI: 10.4319/lo.2001.46.7.1691.</w:t>
      </w:r>
    </w:p>
    <w:p w:rsidR="001B167B" w:rsidRPr="001B167B" w:rsidRDefault="001B167B" w:rsidP="001B167B">
      <w:pPr>
        <w:widowControl w:val="0"/>
        <w:autoSpaceDE w:val="0"/>
        <w:autoSpaceDN w:val="0"/>
        <w:adjustRightInd w:val="0"/>
        <w:ind w:left="480" w:hanging="480"/>
        <w:rPr>
          <w:noProof/>
        </w:rPr>
      </w:pPr>
      <w:r w:rsidRPr="001B167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1B167B">
        <w:rPr>
          <w:i/>
          <w:iCs/>
          <w:noProof/>
        </w:rPr>
        <w:t>International Journal of Systematic and Evolutionary Microbiology</w:t>
      </w:r>
      <w:r w:rsidRPr="001B167B">
        <w:rPr>
          <w:noProof/>
        </w:rPr>
        <w:t xml:space="preserve"> 62:106–111. DOI: 10.1099/ijs.0.029165-0.</w:t>
      </w:r>
    </w:p>
    <w:p w:rsidR="001B167B" w:rsidRPr="001B167B" w:rsidRDefault="001B167B" w:rsidP="001B167B">
      <w:pPr>
        <w:widowControl w:val="0"/>
        <w:autoSpaceDE w:val="0"/>
        <w:autoSpaceDN w:val="0"/>
        <w:adjustRightInd w:val="0"/>
        <w:ind w:left="480" w:hanging="480"/>
        <w:rPr>
          <w:noProof/>
        </w:rPr>
      </w:pPr>
      <w:r w:rsidRPr="001B167B">
        <w:rPr>
          <w:noProof/>
        </w:rPr>
        <w:t xml:space="preserve">Kanao T., Kawamura M., Fukui T., Atomi H., Imanaka T. 2002. Characterization of isocitrate dehydrogenase from the green sulfur bacterium chlorobium limicola: A carbon dioxide-fixing enzyme in the reductive tricarboxylic acid cycle. </w:t>
      </w:r>
      <w:r w:rsidRPr="001B167B">
        <w:rPr>
          <w:i/>
          <w:iCs/>
          <w:noProof/>
        </w:rPr>
        <w:t>European Journal of Biochemistry</w:t>
      </w:r>
      <w:r w:rsidRPr="001B167B">
        <w:rPr>
          <w:noProof/>
        </w:rPr>
        <w:t xml:space="preserve"> 269:1926–1931. DOI: 10.1046/j.1432-1327.2002.02849.x.</w:t>
      </w:r>
    </w:p>
    <w:p w:rsidR="001B167B" w:rsidRPr="001B167B" w:rsidRDefault="001B167B" w:rsidP="001B167B">
      <w:pPr>
        <w:widowControl w:val="0"/>
        <w:autoSpaceDE w:val="0"/>
        <w:autoSpaceDN w:val="0"/>
        <w:adjustRightInd w:val="0"/>
        <w:ind w:left="480" w:hanging="480"/>
        <w:rPr>
          <w:noProof/>
        </w:rPr>
      </w:pPr>
      <w:r w:rsidRPr="001B167B">
        <w:rPr>
          <w:noProof/>
        </w:rPr>
        <w:t xml:space="preserve">Kang DD., Froula J., Egan R., Wang Z. 2015. MetaBAT, an efficient tool for accurately reconstructing single genomes from complex microbial communities. </w:t>
      </w:r>
      <w:r w:rsidRPr="001B167B">
        <w:rPr>
          <w:i/>
          <w:iCs/>
          <w:noProof/>
        </w:rPr>
        <w:t>PeerJ</w:t>
      </w:r>
      <w:r w:rsidRPr="001B167B">
        <w:rPr>
          <w:noProof/>
        </w:rPr>
        <w:t xml:space="preserve"> 3:e1165. DOI: 10.7717/peerj.1165.</w:t>
      </w:r>
    </w:p>
    <w:p w:rsidR="001B167B" w:rsidRPr="001B167B" w:rsidRDefault="001B167B" w:rsidP="001B167B">
      <w:pPr>
        <w:widowControl w:val="0"/>
        <w:autoSpaceDE w:val="0"/>
        <w:autoSpaceDN w:val="0"/>
        <w:adjustRightInd w:val="0"/>
        <w:ind w:left="480" w:hanging="480"/>
        <w:rPr>
          <w:noProof/>
        </w:rPr>
      </w:pPr>
      <w:r w:rsidRPr="001B167B">
        <w:rPr>
          <w:noProof/>
        </w:rPr>
        <w:t xml:space="preserve">Karhunen J., Arvola L., Peura S., Tiirola M. 2013. Green sulphur bacteria as a component of the photosynthetic plankton community in small dimictic humic lakes with an anoxic hypolimnion. </w:t>
      </w:r>
      <w:r w:rsidRPr="001B167B">
        <w:rPr>
          <w:i/>
          <w:iCs/>
          <w:noProof/>
        </w:rPr>
        <w:t>Aquatic Microbial Ecology</w:t>
      </w:r>
      <w:r w:rsidRPr="001B167B">
        <w:rPr>
          <w:noProof/>
        </w:rPr>
        <w:t xml:space="preserve"> 68:267–272. DOI: 10.3354/ame01620.</w:t>
      </w:r>
    </w:p>
    <w:p w:rsidR="001B167B" w:rsidRPr="001B167B" w:rsidRDefault="001B167B" w:rsidP="001B167B">
      <w:pPr>
        <w:widowControl w:val="0"/>
        <w:autoSpaceDE w:val="0"/>
        <w:autoSpaceDN w:val="0"/>
        <w:adjustRightInd w:val="0"/>
        <w:ind w:left="480" w:hanging="480"/>
        <w:rPr>
          <w:noProof/>
        </w:rPr>
      </w:pPr>
      <w:r w:rsidRPr="001B167B">
        <w:rPr>
          <w:noProof/>
        </w:rPr>
        <w:t xml:space="preserve">Kritzberg ES., Cole JJ., Pace ML., Granéli W., Bade DL. 2004. Autochthonous versus allochthonous carbon sources of bacteria: Results from whole-lake </w:t>
      </w:r>
      <w:r w:rsidRPr="001B167B">
        <w:rPr>
          <w:noProof/>
          <w:vertAlign w:val="superscript"/>
        </w:rPr>
        <w:t>13</w:t>
      </w:r>
      <w:r w:rsidRPr="001B167B">
        <w:rPr>
          <w:noProof/>
        </w:rPr>
        <w:t xml:space="preserve"> C addition experiments. </w:t>
      </w:r>
      <w:r w:rsidRPr="001B167B">
        <w:rPr>
          <w:i/>
          <w:iCs/>
          <w:noProof/>
        </w:rPr>
        <w:t>Limnology and Oceanography</w:t>
      </w:r>
      <w:r w:rsidRPr="001B167B">
        <w:rPr>
          <w:noProof/>
        </w:rPr>
        <w:t xml:space="preserve"> 49:588–596. DOI: 10.4319/lo.2004.49.2.0588.</w:t>
      </w:r>
    </w:p>
    <w:p w:rsidR="001B167B" w:rsidRPr="001B167B" w:rsidRDefault="001B167B" w:rsidP="001B167B">
      <w:pPr>
        <w:widowControl w:val="0"/>
        <w:autoSpaceDE w:val="0"/>
        <w:autoSpaceDN w:val="0"/>
        <w:adjustRightInd w:val="0"/>
        <w:ind w:left="480" w:hanging="480"/>
        <w:rPr>
          <w:noProof/>
        </w:rPr>
      </w:pPr>
      <w:r w:rsidRPr="001B167B">
        <w:rPr>
          <w:noProof/>
        </w:rPr>
        <w:t xml:space="preserve">Li H., Durbin R. 2010. Fast and accurate long-read alignment with Burrows-Wheeler transform. </w:t>
      </w:r>
      <w:r w:rsidRPr="001B167B">
        <w:rPr>
          <w:i/>
          <w:iCs/>
          <w:noProof/>
        </w:rPr>
        <w:t>Bioinformatics</w:t>
      </w:r>
      <w:r w:rsidRPr="001B167B">
        <w:rPr>
          <w:noProof/>
        </w:rPr>
        <w:t xml:space="preserve"> 26:589–595. DOI: 10.1093/bioinformatics/btp698.</w:t>
      </w:r>
    </w:p>
    <w:p w:rsidR="001B167B" w:rsidRPr="001B167B" w:rsidRDefault="001B167B" w:rsidP="001B167B">
      <w:pPr>
        <w:widowControl w:val="0"/>
        <w:autoSpaceDE w:val="0"/>
        <w:autoSpaceDN w:val="0"/>
        <w:adjustRightInd w:val="0"/>
        <w:ind w:left="480" w:hanging="480"/>
        <w:rPr>
          <w:noProof/>
        </w:rPr>
      </w:pPr>
      <w:r w:rsidRPr="001B167B">
        <w:rPr>
          <w:noProof/>
        </w:rPr>
        <w:t xml:space="preserve">Linz AM., Crary BC., Shade A., Owens S., Gilbert JA., Knight R., McMahon KD. 2017. Bacterial Community Composition and Dynamics Spanning Five Years in Freshwater Bog Lakes. </w:t>
      </w:r>
      <w:r w:rsidRPr="001B167B">
        <w:rPr>
          <w:i/>
          <w:iCs/>
          <w:noProof/>
        </w:rPr>
        <w:t>mSphere</w:t>
      </w:r>
      <w:r w:rsidRPr="001B167B">
        <w:rPr>
          <w:noProof/>
        </w:rPr>
        <w:t xml:space="preserve"> 2:1–15. DOI: e00169-17.</w:t>
      </w:r>
    </w:p>
    <w:p w:rsidR="001B167B" w:rsidRPr="001B167B" w:rsidRDefault="001B167B" w:rsidP="001B167B">
      <w:pPr>
        <w:widowControl w:val="0"/>
        <w:autoSpaceDE w:val="0"/>
        <w:autoSpaceDN w:val="0"/>
        <w:adjustRightInd w:val="0"/>
        <w:ind w:left="480" w:hanging="480"/>
        <w:rPr>
          <w:noProof/>
        </w:rPr>
      </w:pPr>
      <w:r w:rsidRPr="001B167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1B167B">
        <w:rPr>
          <w:i/>
          <w:iCs/>
          <w:noProof/>
        </w:rPr>
        <w:t>GigaScience</w:t>
      </w:r>
      <w:r w:rsidRPr="001B167B">
        <w:rPr>
          <w:noProof/>
        </w:rPr>
        <w:t xml:space="preserve"> 1:1–6. DOI: 10.1186/2047-217X-1-18.</w:t>
      </w:r>
    </w:p>
    <w:p w:rsidR="001B167B" w:rsidRPr="001B167B" w:rsidRDefault="001B167B" w:rsidP="001B167B">
      <w:pPr>
        <w:widowControl w:val="0"/>
        <w:autoSpaceDE w:val="0"/>
        <w:autoSpaceDN w:val="0"/>
        <w:adjustRightInd w:val="0"/>
        <w:ind w:left="480" w:hanging="480"/>
        <w:rPr>
          <w:noProof/>
        </w:rPr>
      </w:pPr>
      <w:r w:rsidRPr="001B167B">
        <w:rPr>
          <w:noProof/>
        </w:rPr>
        <w:t xml:space="preserve">Magooc T., Salzberg SL. 2011. FLASH: Fast length adjustment of short reads to improve </w:t>
      </w:r>
      <w:r w:rsidRPr="001B167B">
        <w:rPr>
          <w:noProof/>
        </w:rPr>
        <w:lastRenderedPageBreak/>
        <w:t xml:space="preserve">genome assemblies. </w:t>
      </w:r>
      <w:r w:rsidRPr="001B167B">
        <w:rPr>
          <w:i/>
          <w:iCs/>
          <w:noProof/>
        </w:rPr>
        <w:t>Bioinformatics</w:t>
      </w:r>
      <w:r w:rsidRPr="001B167B">
        <w:rPr>
          <w:noProof/>
        </w:rPr>
        <w:t xml:space="preserve"> 27:2957–2963. DOI: 10.1093/bioinformatics/btr507.</w:t>
      </w:r>
    </w:p>
    <w:p w:rsidR="001B167B" w:rsidRPr="001B167B" w:rsidRDefault="001B167B" w:rsidP="001B167B">
      <w:pPr>
        <w:widowControl w:val="0"/>
        <w:autoSpaceDE w:val="0"/>
        <w:autoSpaceDN w:val="0"/>
        <w:adjustRightInd w:val="0"/>
        <w:ind w:left="480" w:hanging="480"/>
        <w:rPr>
          <w:noProof/>
        </w:rPr>
      </w:pPr>
      <w:r w:rsidRPr="001B167B">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1B167B">
        <w:rPr>
          <w:i/>
          <w:iCs/>
          <w:noProof/>
        </w:rPr>
        <w:t>Nucleic Acids Research</w:t>
      </w:r>
      <w:r w:rsidRPr="001B167B">
        <w:rPr>
          <w:noProof/>
        </w:rPr>
        <w:t xml:space="preserve"> 40:115–122. DOI: 10.1093/nar/gkr1044.</w:t>
      </w:r>
    </w:p>
    <w:p w:rsidR="001B167B" w:rsidRPr="001B167B" w:rsidRDefault="001B167B" w:rsidP="001B167B">
      <w:pPr>
        <w:widowControl w:val="0"/>
        <w:autoSpaceDE w:val="0"/>
        <w:autoSpaceDN w:val="0"/>
        <w:adjustRightInd w:val="0"/>
        <w:ind w:left="480" w:hanging="480"/>
        <w:rPr>
          <w:noProof/>
        </w:rPr>
      </w:pPr>
      <w:r w:rsidRPr="001B167B">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1B167B">
        <w:rPr>
          <w:i/>
          <w:iCs/>
          <w:noProof/>
        </w:rPr>
        <w:t>PLoS ONE</w:t>
      </w:r>
      <w:r w:rsidRPr="001B167B">
        <w:rPr>
          <w:noProof/>
        </w:rPr>
        <w:t xml:space="preserve"> 7:e35314. DOI: 10.1371/journal.pone.0035314.</w:t>
      </w:r>
    </w:p>
    <w:p w:rsidR="001B167B" w:rsidRPr="001B167B" w:rsidRDefault="001B167B" w:rsidP="001B167B">
      <w:pPr>
        <w:widowControl w:val="0"/>
        <w:autoSpaceDE w:val="0"/>
        <w:autoSpaceDN w:val="0"/>
        <w:adjustRightInd w:val="0"/>
        <w:ind w:left="480" w:hanging="480"/>
        <w:rPr>
          <w:noProof/>
        </w:rPr>
      </w:pPr>
      <w:r w:rsidRPr="001B167B">
        <w:rPr>
          <w:noProof/>
        </w:rPr>
        <w:t xml:space="preserve">Martinez-Garcia M., Swan BK., Poulton NJ., Gomez ML., Masland D., Sieracki ME., Stepanauskas R. 2012b. High-throughput single-cell sequencing identifies photoheterotrophs and chemoautotrophs in freshwater bacterioplankton. </w:t>
      </w:r>
      <w:r w:rsidRPr="001B167B">
        <w:rPr>
          <w:i/>
          <w:iCs/>
          <w:noProof/>
        </w:rPr>
        <w:t>The ISME Journal</w:t>
      </w:r>
      <w:r w:rsidRPr="001B167B">
        <w:rPr>
          <w:noProof/>
        </w:rPr>
        <w:t xml:space="preserve"> 6:113–123. DOI: 10.1038/ismej.2011.84.</w:t>
      </w:r>
    </w:p>
    <w:p w:rsidR="001B167B" w:rsidRPr="001B167B" w:rsidRDefault="001B167B" w:rsidP="001B167B">
      <w:pPr>
        <w:widowControl w:val="0"/>
        <w:autoSpaceDE w:val="0"/>
        <w:autoSpaceDN w:val="0"/>
        <w:adjustRightInd w:val="0"/>
        <w:ind w:left="480" w:hanging="480"/>
        <w:rPr>
          <w:noProof/>
        </w:rPr>
      </w:pPr>
      <w:r w:rsidRPr="001B167B">
        <w:rPr>
          <w:noProof/>
        </w:rPr>
        <w:t xml:space="preserve">Mou X., Vila-Costa M., Sun S., Zhao W., Sharma S., Moran MA. 2011. Metatranscriptomic signature of exogenous polyamine utilization by coastal bacterioplankton. </w:t>
      </w:r>
      <w:r w:rsidRPr="001B167B">
        <w:rPr>
          <w:i/>
          <w:iCs/>
          <w:noProof/>
        </w:rPr>
        <w:t>Environmental Microbiology</w:t>
      </w:r>
      <w:r w:rsidRPr="001B167B">
        <w:rPr>
          <w:noProof/>
        </w:rPr>
        <w:t xml:space="preserve"> 3:798–806. DOI: 10.1111/j.1758-2229.2011.00289.x.</w:t>
      </w:r>
    </w:p>
    <w:p w:rsidR="001B167B" w:rsidRPr="001B167B" w:rsidRDefault="001B167B" w:rsidP="001B167B">
      <w:pPr>
        <w:widowControl w:val="0"/>
        <w:autoSpaceDE w:val="0"/>
        <w:autoSpaceDN w:val="0"/>
        <w:adjustRightInd w:val="0"/>
        <w:ind w:left="480" w:hanging="480"/>
        <w:rPr>
          <w:noProof/>
        </w:rPr>
      </w:pPr>
      <w:r w:rsidRPr="001B167B">
        <w:rPr>
          <w:noProof/>
        </w:rPr>
        <w:t xml:space="preserve">Newton RJ., Jones SE., Eiler A., McMahon KD., Bertilsson S. 2011. A guide to the natural history of freshwater lake bacteria. </w:t>
      </w:r>
      <w:r w:rsidRPr="001B167B">
        <w:rPr>
          <w:i/>
          <w:iCs/>
          <w:noProof/>
        </w:rPr>
        <w:t>Microbiology and Molecular Biology Reviews</w:t>
      </w:r>
      <w:r w:rsidRPr="001B167B">
        <w:rPr>
          <w:noProof/>
        </w:rPr>
        <w:t xml:space="preserve"> 75:14–49. DOI: 10.1128/MMBR.00028-10.</w:t>
      </w:r>
    </w:p>
    <w:p w:rsidR="001B167B" w:rsidRPr="001B167B" w:rsidRDefault="001B167B" w:rsidP="001B167B">
      <w:pPr>
        <w:widowControl w:val="0"/>
        <w:autoSpaceDE w:val="0"/>
        <w:autoSpaceDN w:val="0"/>
        <w:adjustRightInd w:val="0"/>
        <w:ind w:left="480" w:hanging="480"/>
        <w:rPr>
          <w:noProof/>
        </w:rPr>
      </w:pPr>
      <w:r w:rsidRPr="001B167B">
        <w:rPr>
          <w:noProof/>
        </w:rPr>
        <w:t xml:space="preserve">Parks DH., Imelfort M., Skennerton CT., Hugenholtz P., Tyson GW. 2015. CheckM: assessing the quality of microbial genomes recovered from isolates, single cells, and metagenomes. </w:t>
      </w:r>
      <w:r w:rsidRPr="001B167B">
        <w:rPr>
          <w:i/>
          <w:iCs/>
          <w:noProof/>
        </w:rPr>
        <w:t>Genome Research</w:t>
      </w:r>
      <w:r w:rsidRPr="001B167B">
        <w:rPr>
          <w:noProof/>
        </w:rPr>
        <w:t xml:space="preserve"> 25:1043–1055.</w:t>
      </w:r>
    </w:p>
    <w:p w:rsidR="001B167B" w:rsidRPr="001B167B" w:rsidRDefault="001B167B" w:rsidP="001B167B">
      <w:pPr>
        <w:widowControl w:val="0"/>
        <w:autoSpaceDE w:val="0"/>
        <w:autoSpaceDN w:val="0"/>
        <w:adjustRightInd w:val="0"/>
        <w:ind w:left="480" w:hanging="480"/>
        <w:rPr>
          <w:noProof/>
        </w:rPr>
      </w:pPr>
      <w:r w:rsidRPr="001B167B">
        <w:rPr>
          <w:noProof/>
        </w:rPr>
        <w:t xml:space="preserve">Paver SF., Kent AD. 2017. Temporal Patterns in Glycolate-Utilizing Bacterial Community Composition Correlate with Phytoplankton Population Dynamics in Humic Lakes. </w:t>
      </w:r>
      <w:r w:rsidRPr="001B167B">
        <w:rPr>
          <w:i/>
          <w:iCs/>
          <w:noProof/>
        </w:rPr>
        <w:t>Microbial Ecology</w:t>
      </w:r>
      <w:r w:rsidRPr="001B167B">
        <w:rPr>
          <w:noProof/>
        </w:rPr>
        <w:t xml:space="preserve"> 60:406–418. DOI: 10.1007/S00248-0.</w:t>
      </w:r>
    </w:p>
    <w:p w:rsidR="001B167B" w:rsidRPr="001B167B" w:rsidRDefault="001B167B" w:rsidP="001B167B">
      <w:pPr>
        <w:widowControl w:val="0"/>
        <w:autoSpaceDE w:val="0"/>
        <w:autoSpaceDN w:val="0"/>
        <w:adjustRightInd w:val="0"/>
        <w:ind w:left="480" w:hanging="480"/>
        <w:rPr>
          <w:noProof/>
        </w:rPr>
      </w:pPr>
      <w:r w:rsidRPr="001B167B">
        <w:rPr>
          <w:noProof/>
        </w:rPr>
        <w:t xml:space="preserve">Peters JW., Schut GJ., Boyd ES., Mulder DW., Shepard EM., Broderick JB., King PW., Adams MWW. 2015. [FeFe]- and [NiFe]-hydrogenase diversity, mechanism, and maturation. </w:t>
      </w:r>
      <w:r w:rsidRPr="001B167B">
        <w:rPr>
          <w:i/>
          <w:iCs/>
          <w:noProof/>
        </w:rPr>
        <w:t>Biochimica et Biophysica Acta - Molecular Cell Research</w:t>
      </w:r>
      <w:r w:rsidRPr="001B167B">
        <w:rPr>
          <w:noProof/>
        </w:rPr>
        <w:t xml:space="preserve"> 1853:1350–1369. DOI: 10.1016/j.bbamcr.2014.11.021.</w:t>
      </w:r>
    </w:p>
    <w:p w:rsidR="001B167B" w:rsidRPr="001B167B" w:rsidRDefault="001B167B" w:rsidP="001B167B">
      <w:pPr>
        <w:widowControl w:val="0"/>
        <w:autoSpaceDE w:val="0"/>
        <w:autoSpaceDN w:val="0"/>
        <w:adjustRightInd w:val="0"/>
        <w:ind w:left="480" w:hanging="480"/>
        <w:rPr>
          <w:noProof/>
        </w:rPr>
      </w:pPr>
      <w:r w:rsidRPr="001B167B">
        <w:rPr>
          <w:noProof/>
        </w:rPr>
        <w:t xml:space="preserve">Peura S., Eiler A., Bertilsson S., Nykänen H., Tiirola M., Jones RI. 2012. Distinct and diverse anaerobic bacterial communities in boreal lakes dominated by candidate division OD1. </w:t>
      </w:r>
      <w:r w:rsidRPr="001B167B">
        <w:rPr>
          <w:i/>
          <w:iCs/>
          <w:noProof/>
        </w:rPr>
        <w:t>The ISME journal</w:t>
      </w:r>
      <w:r w:rsidRPr="001B167B">
        <w:rPr>
          <w:noProof/>
        </w:rPr>
        <w:t xml:space="preserve"> 6:1640–52. DOI: 10.1038/ismej.2012.21.</w:t>
      </w:r>
    </w:p>
    <w:p w:rsidR="001B167B" w:rsidRPr="001B167B" w:rsidRDefault="001B167B" w:rsidP="001B167B">
      <w:pPr>
        <w:widowControl w:val="0"/>
        <w:autoSpaceDE w:val="0"/>
        <w:autoSpaceDN w:val="0"/>
        <w:adjustRightInd w:val="0"/>
        <w:ind w:left="480" w:hanging="480"/>
        <w:rPr>
          <w:noProof/>
        </w:rPr>
      </w:pPr>
      <w:r w:rsidRPr="001B167B">
        <w:rPr>
          <w:noProof/>
        </w:rPr>
        <w:t xml:space="preserve">Peura S., Sinclair L., Bertilsson S., Eiler A. 2015. Metagenomic insights into strategies of aerobic and anaerobic carbon and nitrogen transformation in boreal lakes. </w:t>
      </w:r>
      <w:r w:rsidRPr="001B167B">
        <w:rPr>
          <w:i/>
          <w:iCs/>
          <w:noProof/>
        </w:rPr>
        <w:t>Scientific Reports</w:t>
      </w:r>
      <w:r w:rsidRPr="001B167B">
        <w:rPr>
          <w:noProof/>
        </w:rPr>
        <w:t xml:space="preserve"> 5:12102. DOI: 10.1038/srep12102.</w:t>
      </w:r>
    </w:p>
    <w:p w:rsidR="001B167B" w:rsidRPr="001B167B" w:rsidRDefault="001B167B" w:rsidP="001B167B">
      <w:pPr>
        <w:widowControl w:val="0"/>
        <w:autoSpaceDE w:val="0"/>
        <w:autoSpaceDN w:val="0"/>
        <w:adjustRightInd w:val="0"/>
        <w:ind w:left="480" w:hanging="480"/>
        <w:rPr>
          <w:noProof/>
        </w:rPr>
      </w:pPr>
      <w:r w:rsidRPr="001B167B">
        <w:rPr>
          <w:noProof/>
        </w:rPr>
        <w:t xml:space="preserve">Price MN., Dehal PS., Arkin AP. 2010. FastTree 2 - Approximately maximum-likelihood trees for large alignments. </w:t>
      </w:r>
      <w:r w:rsidRPr="001B167B">
        <w:rPr>
          <w:i/>
          <w:iCs/>
          <w:noProof/>
        </w:rPr>
        <w:t>PLOS ONE</w:t>
      </w:r>
      <w:r w:rsidRPr="001B167B">
        <w:rPr>
          <w:noProof/>
        </w:rPr>
        <w:t xml:space="preserve"> 5. DOI: 10.1371/journal.pone.0009490.</w:t>
      </w:r>
    </w:p>
    <w:p w:rsidR="001B167B" w:rsidRPr="001B167B" w:rsidRDefault="001B167B" w:rsidP="001B167B">
      <w:pPr>
        <w:widowControl w:val="0"/>
        <w:autoSpaceDE w:val="0"/>
        <w:autoSpaceDN w:val="0"/>
        <w:adjustRightInd w:val="0"/>
        <w:ind w:left="480" w:hanging="480"/>
        <w:rPr>
          <w:noProof/>
        </w:rPr>
      </w:pPr>
      <w:r w:rsidRPr="001B167B">
        <w:rPr>
          <w:noProof/>
        </w:rPr>
        <w:t xml:space="preserve">Ramachandran A., Walsh DA. 2015. Investigation of XoxF methanol dehydrogenases reveals new methylotrophic bacteria in pelagic marine and freshwater ecosystems. </w:t>
      </w:r>
      <w:r w:rsidRPr="001B167B">
        <w:rPr>
          <w:i/>
          <w:iCs/>
          <w:noProof/>
        </w:rPr>
        <w:t>FEMS Microbiology Ecology</w:t>
      </w:r>
      <w:r w:rsidRPr="001B167B">
        <w:rPr>
          <w:noProof/>
        </w:rPr>
        <w:t xml:space="preserve"> 91:fiv105. DOI: 10.1093/femsec/fiv105.</w:t>
      </w:r>
    </w:p>
    <w:p w:rsidR="001B167B" w:rsidRPr="001B167B" w:rsidRDefault="001B167B" w:rsidP="001B167B">
      <w:pPr>
        <w:widowControl w:val="0"/>
        <w:autoSpaceDE w:val="0"/>
        <w:autoSpaceDN w:val="0"/>
        <w:adjustRightInd w:val="0"/>
        <w:ind w:left="480" w:hanging="480"/>
        <w:rPr>
          <w:noProof/>
        </w:rPr>
      </w:pPr>
      <w:r w:rsidRPr="001B167B">
        <w:rPr>
          <w:noProof/>
        </w:rPr>
        <w:t xml:space="preserve">Ramanan R., Kim B-H., Cho D-H., Oh H-M., Kim H-S. 2015. Algae–bacteria interactions: evolution, ecology and emerging applications. </w:t>
      </w:r>
      <w:r w:rsidRPr="001B167B">
        <w:rPr>
          <w:i/>
          <w:iCs/>
          <w:noProof/>
        </w:rPr>
        <w:t>Biotechnology Advances</w:t>
      </w:r>
      <w:r w:rsidRPr="001B167B">
        <w:rPr>
          <w:noProof/>
        </w:rPr>
        <w:t>. DOI: 10.1016/j.biotechadv.2015.12.003.</w:t>
      </w:r>
    </w:p>
    <w:p w:rsidR="001B167B" w:rsidRPr="001B167B" w:rsidRDefault="001B167B" w:rsidP="001B167B">
      <w:pPr>
        <w:widowControl w:val="0"/>
        <w:autoSpaceDE w:val="0"/>
        <w:autoSpaceDN w:val="0"/>
        <w:adjustRightInd w:val="0"/>
        <w:ind w:left="480" w:hanging="480"/>
        <w:rPr>
          <w:noProof/>
        </w:rPr>
      </w:pPr>
      <w:r w:rsidRPr="001B167B">
        <w:rPr>
          <w:noProof/>
        </w:rPr>
        <w:t xml:space="preserve">Rinke C., Schwientek P., Sczyrba A., Ivanova NN., Anderson IJ., Cheng J-F., Darling AE., Malfatti S., Swan BK., Gies E a., Dodsworth J a., Hedlund BP., Tsiamis G., Sievert SM., </w:t>
      </w:r>
      <w:r w:rsidRPr="001B167B">
        <w:rPr>
          <w:noProof/>
        </w:rPr>
        <w:lastRenderedPageBreak/>
        <w:t xml:space="preserve">Liu W-T., Eisen J a., Hallam SJ., Kyrpides NC., Stepanauskas R., Rubin EM., Hugenholtz P., Woyke T. 2013. Insights into the phylogeny and coding potential of microbial dark matter. </w:t>
      </w:r>
      <w:r w:rsidRPr="001B167B">
        <w:rPr>
          <w:i/>
          <w:iCs/>
          <w:noProof/>
        </w:rPr>
        <w:t>Nature</w:t>
      </w:r>
      <w:r w:rsidRPr="001B167B">
        <w:rPr>
          <w:noProof/>
        </w:rPr>
        <w:t xml:space="preserve"> 499:431–437. DOI: 10.1038/nature12352.</w:t>
      </w:r>
    </w:p>
    <w:p w:rsidR="001B167B" w:rsidRPr="001B167B" w:rsidRDefault="001B167B" w:rsidP="001B167B">
      <w:pPr>
        <w:widowControl w:val="0"/>
        <w:autoSpaceDE w:val="0"/>
        <w:autoSpaceDN w:val="0"/>
        <w:adjustRightInd w:val="0"/>
        <w:ind w:left="480" w:hanging="480"/>
        <w:rPr>
          <w:noProof/>
        </w:rPr>
      </w:pPr>
      <w:r w:rsidRPr="001B167B">
        <w:rPr>
          <w:noProof/>
        </w:rPr>
        <w:t xml:space="preserve">Rognes T., Flouri T., Nichols B., Quince C., Mahé F. 2016. VSEARCH: a versatile open source tool for metagenomics. </w:t>
      </w:r>
      <w:r w:rsidRPr="001B167B">
        <w:rPr>
          <w:i/>
          <w:iCs/>
          <w:noProof/>
        </w:rPr>
        <w:t>PeerJ</w:t>
      </w:r>
      <w:r w:rsidRPr="001B167B">
        <w:rPr>
          <w:noProof/>
        </w:rPr>
        <w:t xml:space="preserve"> 4:1–18. DOI: 10.7717/peerj.2584.</w:t>
      </w:r>
    </w:p>
    <w:p w:rsidR="001B167B" w:rsidRPr="001B167B" w:rsidRDefault="001B167B" w:rsidP="001B167B">
      <w:pPr>
        <w:widowControl w:val="0"/>
        <w:autoSpaceDE w:val="0"/>
        <w:autoSpaceDN w:val="0"/>
        <w:adjustRightInd w:val="0"/>
        <w:ind w:left="480" w:hanging="480"/>
        <w:rPr>
          <w:noProof/>
        </w:rPr>
      </w:pPr>
      <w:r w:rsidRPr="001B167B">
        <w:rPr>
          <w:noProof/>
        </w:rPr>
        <w:t xml:space="preserve">Rohwer RR., Hamilton JJ., Newton RJ., McMahon KD. 2018. TaxAss: Leveraging a Custom Freshwater Database Achieves Fine-Scale Taxonomic Resolution. </w:t>
      </w:r>
      <w:r w:rsidRPr="001B167B">
        <w:rPr>
          <w:i/>
          <w:iCs/>
          <w:noProof/>
        </w:rPr>
        <w:t>mSphere</w:t>
      </w:r>
      <w:r w:rsidRPr="001B167B">
        <w:rPr>
          <w:noProof/>
        </w:rPr>
        <w:t xml:space="preserve"> 3. DOI: 10.1128/mSphere.00327-18.</w:t>
      </w:r>
    </w:p>
    <w:p w:rsidR="001B167B" w:rsidRPr="001B167B" w:rsidRDefault="001B167B" w:rsidP="001B167B">
      <w:pPr>
        <w:widowControl w:val="0"/>
        <w:autoSpaceDE w:val="0"/>
        <w:autoSpaceDN w:val="0"/>
        <w:adjustRightInd w:val="0"/>
        <w:ind w:left="480" w:hanging="480"/>
        <w:rPr>
          <w:noProof/>
        </w:rPr>
      </w:pPr>
      <w:r w:rsidRPr="001B167B">
        <w:rPr>
          <w:noProof/>
        </w:rPr>
        <w:t xml:space="preserve">Roux S., Chan LK., Egan R., Malmstrom RR., McMahon KD., Sullivan MB. 2017. Ecogenomics of virophages and their giant virus hosts assessed through time series metagenomics. </w:t>
      </w:r>
      <w:r w:rsidRPr="001B167B">
        <w:rPr>
          <w:i/>
          <w:iCs/>
          <w:noProof/>
        </w:rPr>
        <w:t>Nature Communications</w:t>
      </w:r>
      <w:r w:rsidRPr="001B167B">
        <w:rPr>
          <w:noProof/>
        </w:rPr>
        <w:t xml:space="preserve"> 8. DOI: 10.1038/s41467-017-01086-2.</w:t>
      </w:r>
    </w:p>
    <w:p w:rsidR="001B167B" w:rsidRPr="001B167B" w:rsidRDefault="001B167B" w:rsidP="001B167B">
      <w:pPr>
        <w:widowControl w:val="0"/>
        <w:autoSpaceDE w:val="0"/>
        <w:autoSpaceDN w:val="0"/>
        <w:adjustRightInd w:val="0"/>
        <w:ind w:left="480" w:hanging="480"/>
        <w:rPr>
          <w:noProof/>
        </w:rPr>
      </w:pPr>
      <w:r w:rsidRPr="001B167B">
        <w:rPr>
          <w:noProof/>
        </w:rPr>
        <w:t xml:space="preserve">Salcher MM., Neuenschwander SM., Posch T., Pernthaler J. 2015. The ecology of pelagic freshwater methylotrophs assessed by a high-resolution monitoring and isolation campaign. </w:t>
      </w:r>
      <w:r w:rsidRPr="001B167B">
        <w:rPr>
          <w:i/>
          <w:iCs/>
          <w:noProof/>
        </w:rPr>
        <w:t>The ISME Journal</w:t>
      </w:r>
      <w:r w:rsidRPr="001B167B">
        <w:rPr>
          <w:noProof/>
        </w:rPr>
        <w:t xml:space="preserve"> 9:2442–2453. DOI: 10.1038/ismej.2015.55.</w:t>
      </w:r>
    </w:p>
    <w:p w:rsidR="001B167B" w:rsidRPr="001B167B" w:rsidRDefault="001B167B" w:rsidP="001B167B">
      <w:pPr>
        <w:widowControl w:val="0"/>
        <w:autoSpaceDE w:val="0"/>
        <w:autoSpaceDN w:val="0"/>
        <w:adjustRightInd w:val="0"/>
        <w:ind w:left="480" w:hanging="480"/>
        <w:rPr>
          <w:noProof/>
        </w:rPr>
      </w:pPr>
      <w:r w:rsidRPr="001B167B">
        <w:rPr>
          <w:noProof/>
        </w:rPr>
        <w:t xml:space="preserve">Salcher MM., Posch T., Pernthaler J. 2013. In situ substrate preferences of abundant bacterioplankton populations in a prealpine freshwater lake. </w:t>
      </w:r>
      <w:r w:rsidRPr="001B167B">
        <w:rPr>
          <w:i/>
          <w:iCs/>
          <w:noProof/>
        </w:rPr>
        <w:t>The ISME Journal</w:t>
      </w:r>
      <w:r w:rsidRPr="001B167B">
        <w:rPr>
          <w:noProof/>
        </w:rPr>
        <w:t xml:space="preserve"> 7:896–907. DOI: 10.1038/ismej.2012.162.</w:t>
      </w:r>
    </w:p>
    <w:p w:rsidR="001B167B" w:rsidRPr="001B167B" w:rsidRDefault="001B167B" w:rsidP="001B167B">
      <w:pPr>
        <w:widowControl w:val="0"/>
        <w:autoSpaceDE w:val="0"/>
        <w:autoSpaceDN w:val="0"/>
        <w:adjustRightInd w:val="0"/>
        <w:ind w:left="480" w:hanging="480"/>
        <w:rPr>
          <w:noProof/>
        </w:rPr>
      </w:pPr>
      <w:r w:rsidRPr="001B167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1B167B">
        <w:rPr>
          <w:i/>
          <w:iCs/>
          <w:noProof/>
        </w:rPr>
        <w:t>Applied and Environmental Microbiology</w:t>
      </w:r>
      <w:r w:rsidRPr="001B167B">
        <w:rPr>
          <w:noProof/>
        </w:rPr>
        <w:t xml:space="preserve"> 75:7537–7541. DOI: 10.1128/AEM.01541-09.</w:t>
      </w:r>
    </w:p>
    <w:p w:rsidR="001B167B" w:rsidRPr="001B167B" w:rsidRDefault="001B167B" w:rsidP="001B167B">
      <w:pPr>
        <w:widowControl w:val="0"/>
        <w:autoSpaceDE w:val="0"/>
        <w:autoSpaceDN w:val="0"/>
        <w:adjustRightInd w:val="0"/>
        <w:ind w:left="480" w:hanging="480"/>
        <w:rPr>
          <w:noProof/>
        </w:rPr>
      </w:pPr>
      <w:r w:rsidRPr="001B167B">
        <w:rPr>
          <w:noProof/>
        </w:rPr>
        <w:t xml:space="preserve">Seitzinger S., Harrison JA., Böhlke JK., Bouwman AF., Lowrance R., Peterson B., Tobias C., Drecht G Van. 2006. DENITRIFICATION ACROSS LANDSCAPES AND WATERSCAPES: A SYNTHESIS. </w:t>
      </w:r>
      <w:r w:rsidRPr="001B167B">
        <w:rPr>
          <w:i/>
          <w:iCs/>
          <w:noProof/>
        </w:rPr>
        <w:t>Ecological Applications</w:t>
      </w:r>
      <w:r w:rsidRPr="001B167B">
        <w:rPr>
          <w:noProof/>
        </w:rPr>
        <w:t xml:space="preserve"> 16:2064–2090. DOI: 10.1890/1051-0761(2006)016[2064:DALAWA]2.0.CO;2.</w:t>
      </w:r>
    </w:p>
    <w:p w:rsidR="001B167B" w:rsidRPr="001B167B" w:rsidRDefault="001B167B" w:rsidP="001B167B">
      <w:pPr>
        <w:widowControl w:val="0"/>
        <w:autoSpaceDE w:val="0"/>
        <w:autoSpaceDN w:val="0"/>
        <w:adjustRightInd w:val="0"/>
        <w:ind w:left="480" w:hanging="480"/>
        <w:rPr>
          <w:noProof/>
        </w:rPr>
      </w:pPr>
      <w:r w:rsidRPr="001B167B">
        <w:rPr>
          <w:noProof/>
        </w:rPr>
        <w:t xml:space="preserve">Smith VH. 2003. Eutrophication of freshwater and coastal marine ecosystems a global problem. </w:t>
      </w:r>
      <w:r w:rsidRPr="001B167B">
        <w:rPr>
          <w:i/>
          <w:iCs/>
          <w:noProof/>
        </w:rPr>
        <w:t>Environmental Science and Pollution Research</w:t>
      </w:r>
      <w:r w:rsidRPr="001B167B">
        <w:rPr>
          <w:noProof/>
        </w:rPr>
        <w:t xml:space="preserve"> 10:126–139. DOI: 10.1065/espr2002.12.142.</w:t>
      </w:r>
    </w:p>
    <w:p w:rsidR="001B167B" w:rsidRPr="001B167B" w:rsidRDefault="001B167B" w:rsidP="001B167B">
      <w:pPr>
        <w:widowControl w:val="0"/>
        <w:autoSpaceDE w:val="0"/>
        <w:autoSpaceDN w:val="0"/>
        <w:adjustRightInd w:val="0"/>
        <w:ind w:left="480" w:hanging="480"/>
        <w:rPr>
          <w:noProof/>
        </w:rPr>
      </w:pPr>
      <w:r w:rsidRPr="001B167B">
        <w:rPr>
          <w:noProof/>
        </w:rPr>
        <w:t xml:space="preserve">Sommer DD., Delcher AL., Salzberg SL., Pop M. 2007. Minimus: a fast, lightweight genome assembler. </w:t>
      </w:r>
      <w:r w:rsidRPr="001B167B">
        <w:rPr>
          <w:i/>
          <w:iCs/>
          <w:noProof/>
        </w:rPr>
        <w:t>BMC Bioinformatics</w:t>
      </w:r>
      <w:r w:rsidRPr="001B167B">
        <w:rPr>
          <w:noProof/>
        </w:rPr>
        <w:t xml:space="preserve"> 8:64. DOI: 10.1186/1471-2105-8-64.</w:t>
      </w:r>
    </w:p>
    <w:p w:rsidR="001B167B" w:rsidRPr="001B167B" w:rsidRDefault="001B167B" w:rsidP="001B167B">
      <w:pPr>
        <w:widowControl w:val="0"/>
        <w:autoSpaceDE w:val="0"/>
        <w:autoSpaceDN w:val="0"/>
        <w:adjustRightInd w:val="0"/>
        <w:ind w:left="480" w:hanging="480"/>
        <w:rPr>
          <w:noProof/>
        </w:rPr>
      </w:pPr>
      <w:r w:rsidRPr="001B167B">
        <w:rPr>
          <w:noProof/>
        </w:rPr>
        <w:t xml:space="preserve">Tang KH., Blankenship RE. 2010. Both forward and reverse TCA cycles operate in green sulfur bacteria. </w:t>
      </w:r>
      <w:r w:rsidRPr="001B167B">
        <w:rPr>
          <w:i/>
          <w:iCs/>
          <w:noProof/>
        </w:rPr>
        <w:t>Journal of Biological Chemistry</w:t>
      </w:r>
      <w:r w:rsidRPr="001B167B">
        <w:rPr>
          <w:noProof/>
        </w:rPr>
        <w:t xml:space="preserve"> 285:35848–35854. DOI: 10.1074/jbc.M110.157834.</w:t>
      </w:r>
    </w:p>
    <w:p w:rsidR="001B167B" w:rsidRPr="001B167B" w:rsidRDefault="001B167B" w:rsidP="001B167B">
      <w:pPr>
        <w:widowControl w:val="0"/>
        <w:autoSpaceDE w:val="0"/>
        <w:autoSpaceDN w:val="0"/>
        <w:adjustRightInd w:val="0"/>
        <w:ind w:left="480" w:hanging="480"/>
        <w:rPr>
          <w:noProof/>
        </w:rPr>
      </w:pPr>
      <w:r w:rsidRPr="001B167B">
        <w:rPr>
          <w:noProof/>
        </w:rPr>
        <w:t xml:space="preserve">Varghese NJ., Mukherjee S., Ivanova N., Konstantinidis KT., Mavrommatis K., Kyrpides NC., Pati A. 2015. Microbial species delineation using whole genome sequences. </w:t>
      </w:r>
      <w:r w:rsidRPr="001B167B">
        <w:rPr>
          <w:i/>
          <w:iCs/>
          <w:noProof/>
        </w:rPr>
        <w:t>Nucleic Acids Research</w:t>
      </w:r>
      <w:r w:rsidRPr="001B167B">
        <w:rPr>
          <w:noProof/>
        </w:rPr>
        <w:t xml:space="preserve"> 43:gkv657-. DOI: 10.1093/nar/gkv657.</w:t>
      </w:r>
    </w:p>
    <w:p w:rsidR="001B167B" w:rsidRPr="001B167B" w:rsidRDefault="001B167B" w:rsidP="001B167B">
      <w:pPr>
        <w:widowControl w:val="0"/>
        <w:autoSpaceDE w:val="0"/>
        <w:autoSpaceDN w:val="0"/>
        <w:adjustRightInd w:val="0"/>
        <w:ind w:left="480" w:hanging="480"/>
        <w:rPr>
          <w:noProof/>
        </w:rPr>
      </w:pPr>
      <w:r w:rsidRPr="001B167B">
        <w:rPr>
          <w:noProof/>
        </w:rPr>
        <w:t xml:space="preserve">Williamson CE., Dodds W., Kratz TK., Palmer MA. 2008. Lakes and streams as sentinels of environmental change in terrestrial and atmospheric processes. </w:t>
      </w:r>
      <w:r w:rsidRPr="001B167B">
        <w:rPr>
          <w:i/>
          <w:iCs/>
          <w:noProof/>
        </w:rPr>
        <w:t>Frontiers in Ecology and the Environment</w:t>
      </w:r>
      <w:r w:rsidRPr="001B167B">
        <w:rPr>
          <w:noProof/>
        </w:rPr>
        <w:t xml:space="preserve"> 6:247–254. DOI: 10.1890/070140.</w:t>
      </w:r>
    </w:p>
    <w:p w:rsidR="001B167B" w:rsidRPr="001B167B" w:rsidRDefault="001B167B" w:rsidP="001B167B">
      <w:pPr>
        <w:widowControl w:val="0"/>
        <w:autoSpaceDE w:val="0"/>
        <w:autoSpaceDN w:val="0"/>
        <w:adjustRightInd w:val="0"/>
        <w:ind w:left="480" w:hanging="480"/>
        <w:rPr>
          <w:noProof/>
        </w:rPr>
      </w:pPr>
      <w:r w:rsidRPr="001B167B">
        <w:rPr>
          <w:noProof/>
        </w:rPr>
        <w:t xml:space="preserve">Zhang H., Yohe T., Huang L., Entwistle S., Wu P., Yang Z., Busk PK., Xu Y., Yin Y. 2018. dbCAN2: a meta server for automated carbohydrate-active enzyme annotation. </w:t>
      </w:r>
      <w:r w:rsidRPr="001B167B">
        <w:rPr>
          <w:i/>
          <w:iCs/>
          <w:noProof/>
        </w:rPr>
        <w:t>Nucleic Acids Research</w:t>
      </w:r>
      <w:r w:rsidRPr="001B167B">
        <w:rPr>
          <w:noProof/>
        </w:rPr>
        <w:t xml:space="preserve"> 46:W95–W101. DOI: 10.1093/nar/gky418.</w:t>
      </w:r>
    </w:p>
    <w:p w:rsidR="008853A5" w:rsidRDefault="008E64BD" w:rsidP="001B167B">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0EB" w:rsidRDefault="00E140EB" w:rsidP="00426301">
      <w:r>
        <w:separator/>
      </w:r>
    </w:p>
  </w:endnote>
  <w:endnote w:type="continuationSeparator" w:id="0">
    <w:p w:rsidR="00E140EB" w:rsidRDefault="00E140EB"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F5B40" w:rsidRDefault="002F5B40">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F5B40" w:rsidRDefault="002F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0EB" w:rsidRDefault="00E140EB" w:rsidP="00426301">
      <w:r>
        <w:separator/>
      </w:r>
    </w:p>
  </w:footnote>
  <w:footnote w:type="continuationSeparator" w:id="0">
    <w:p w:rsidR="00E140EB" w:rsidRDefault="00E140EB"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F405C"/>
    <w:rsid w:val="000F4EDF"/>
    <w:rsid w:val="001359E8"/>
    <w:rsid w:val="00142B1E"/>
    <w:rsid w:val="00166966"/>
    <w:rsid w:val="00180B02"/>
    <w:rsid w:val="001B167B"/>
    <w:rsid w:val="001B22A7"/>
    <w:rsid w:val="001B35EB"/>
    <w:rsid w:val="001C2988"/>
    <w:rsid w:val="001D1459"/>
    <w:rsid w:val="001D2345"/>
    <w:rsid w:val="001F4332"/>
    <w:rsid w:val="00204AC0"/>
    <w:rsid w:val="00251DEA"/>
    <w:rsid w:val="00256028"/>
    <w:rsid w:val="00280E6F"/>
    <w:rsid w:val="00292634"/>
    <w:rsid w:val="00295464"/>
    <w:rsid w:val="00297B75"/>
    <w:rsid w:val="002C4D58"/>
    <w:rsid w:val="002D0511"/>
    <w:rsid w:val="002E05D5"/>
    <w:rsid w:val="002F5B40"/>
    <w:rsid w:val="00326033"/>
    <w:rsid w:val="00395B94"/>
    <w:rsid w:val="003A1F5F"/>
    <w:rsid w:val="003C46E1"/>
    <w:rsid w:val="003C7C82"/>
    <w:rsid w:val="003D102A"/>
    <w:rsid w:val="003D1D4E"/>
    <w:rsid w:val="003D2AF1"/>
    <w:rsid w:val="003F0487"/>
    <w:rsid w:val="00412BD0"/>
    <w:rsid w:val="00420BB0"/>
    <w:rsid w:val="00426301"/>
    <w:rsid w:val="004339D2"/>
    <w:rsid w:val="00443746"/>
    <w:rsid w:val="0047621E"/>
    <w:rsid w:val="004929C6"/>
    <w:rsid w:val="00495B23"/>
    <w:rsid w:val="004B181C"/>
    <w:rsid w:val="004B4153"/>
    <w:rsid w:val="004B56AB"/>
    <w:rsid w:val="004C37A3"/>
    <w:rsid w:val="004C3850"/>
    <w:rsid w:val="004D4F24"/>
    <w:rsid w:val="004E1C58"/>
    <w:rsid w:val="004F46CA"/>
    <w:rsid w:val="004F4FB8"/>
    <w:rsid w:val="005555E0"/>
    <w:rsid w:val="00564BB8"/>
    <w:rsid w:val="005A48DD"/>
    <w:rsid w:val="005B0399"/>
    <w:rsid w:val="005D0472"/>
    <w:rsid w:val="005D2D21"/>
    <w:rsid w:val="005F1EC7"/>
    <w:rsid w:val="005F572D"/>
    <w:rsid w:val="00613B0C"/>
    <w:rsid w:val="00622EC1"/>
    <w:rsid w:val="00641BC1"/>
    <w:rsid w:val="00647D2F"/>
    <w:rsid w:val="006618AC"/>
    <w:rsid w:val="00664D25"/>
    <w:rsid w:val="00670A2E"/>
    <w:rsid w:val="00674A96"/>
    <w:rsid w:val="0069102D"/>
    <w:rsid w:val="00695D3E"/>
    <w:rsid w:val="00696017"/>
    <w:rsid w:val="006E2BB8"/>
    <w:rsid w:val="00702D24"/>
    <w:rsid w:val="00706F18"/>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7E6641"/>
    <w:rsid w:val="008002E4"/>
    <w:rsid w:val="00803A2E"/>
    <w:rsid w:val="00810B52"/>
    <w:rsid w:val="0082115A"/>
    <w:rsid w:val="00823BEA"/>
    <w:rsid w:val="00825EF9"/>
    <w:rsid w:val="00832F7B"/>
    <w:rsid w:val="00842DE0"/>
    <w:rsid w:val="00862FC8"/>
    <w:rsid w:val="00873AF2"/>
    <w:rsid w:val="00876143"/>
    <w:rsid w:val="008853A5"/>
    <w:rsid w:val="00893C86"/>
    <w:rsid w:val="008C05EA"/>
    <w:rsid w:val="008C1648"/>
    <w:rsid w:val="008C29DF"/>
    <w:rsid w:val="008D12A9"/>
    <w:rsid w:val="008E64BD"/>
    <w:rsid w:val="008F3E06"/>
    <w:rsid w:val="008F74E5"/>
    <w:rsid w:val="009077A1"/>
    <w:rsid w:val="009115A6"/>
    <w:rsid w:val="00927BFD"/>
    <w:rsid w:val="00931E14"/>
    <w:rsid w:val="00933DA9"/>
    <w:rsid w:val="00936094"/>
    <w:rsid w:val="00972BFC"/>
    <w:rsid w:val="009770A7"/>
    <w:rsid w:val="00987566"/>
    <w:rsid w:val="0099227E"/>
    <w:rsid w:val="00992786"/>
    <w:rsid w:val="009A3C29"/>
    <w:rsid w:val="009D38A1"/>
    <w:rsid w:val="009E1F39"/>
    <w:rsid w:val="009E6A17"/>
    <w:rsid w:val="00A10669"/>
    <w:rsid w:val="00A15AC4"/>
    <w:rsid w:val="00A33EF6"/>
    <w:rsid w:val="00A46658"/>
    <w:rsid w:val="00A572C8"/>
    <w:rsid w:val="00A649C9"/>
    <w:rsid w:val="00A87224"/>
    <w:rsid w:val="00A917DD"/>
    <w:rsid w:val="00AA5B67"/>
    <w:rsid w:val="00AB5EA3"/>
    <w:rsid w:val="00AC3224"/>
    <w:rsid w:val="00AD71F6"/>
    <w:rsid w:val="00AD7709"/>
    <w:rsid w:val="00AE1032"/>
    <w:rsid w:val="00B32BF2"/>
    <w:rsid w:val="00B353E1"/>
    <w:rsid w:val="00B41AF7"/>
    <w:rsid w:val="00B44E2D"/>
    <w:rsid w:val="00B47A76"/>
    <w:rsid w:val="00B5094B"/>
    <w:rsid w:val="00B54087"/>
    <w:rsid w:val="00B73579"/>
    <w:rsid w:val="00B844B8"/>
    <w:rsid w:val="00B849E7"/>
    <w:rsid w:val="00B913AB"/>
    <w:rsid w:val="00BA4CB8"/>
    <w:rsid w:val="00BD58CD"/>
    <w:rsid w:val="00BE7E33"/>
    <w:rsid w:val="00BF2DF6"/>
    <w:rsid w:val="00C136D4"/>
    <w:rsid w:val="00C14ABA"/>
    <w:rsid w:val="00C160CB"/>
    <w:rsid w:val="00C17572"/>
    <w:rsid w:val="00C25D9B"/>
    <w:rsid w:val="00C46A39"/>
    <w:rsid w:val="00C50BFC"/>
    <w:rsid w:val="00C60627"/>
    <w:rsid w:val="00C66CEF"/>
    <w:rsid w:val="00C70A26"/>
    <w:rsid w:val="00C72B55"/>
    <w:rsid w:val="00C74C9F"/>
    <w:rsid w:val="00C854FD"/>
    <w:rsid w:val="00C92784"/>
    <w:rsid w:val="00C9735A"/>
    <w:rsid w:val="00CA5281"/>
    <w:rsid w:val="00CB4C7D"/>
    <w:rsid w:val="00CB7A65"/>
    <w:rsid w:val="00CC48A4"/>
    <w:rsid w:val="00CC5549"/>
    <w:rsid w:val="00CD78E2"/>
    <w:rsid w:val="00CE56F8"/>
    <w:rsid w:val="00D04A5D"/>
    <w:rsid w:val="00D05772"/>
    <w:rsid w:val="00D115FB"/>
    <w:rsid w:val="00D17260"/>
    <w:rsid w:val="00D345B4"/>
    <w:rsid w:val="00D43F04"/>
    <w:rsid w:val="00D66DE0"/>
    <w:rsid w:val="00D81AA1"/>
    <w:rsid w:val="00DB387B"/>
    <w:rsid w:val="00DC019D"/>
    <w:rsid w:val="00DC3B2C"/>
    <w:rsid w:val="00DC5F61"/>
    <w:rsid w:val="00DE23D2"/>
    <w:rsid w:val="00DE2F1A"/>
    <w:rsid w:val="00DF28FD"/>
    <w:rsid w:val="00E013C5"/>
    <w:rsid w:val="00E067DC"/>
    <w:rsid w:val="00E140EB"/>
    <w:rsid w:val="00E240CC"/>
    <w:rsid w:val="00E5221C"/>
    <w:rsid w:val="00E55A24"/>
    <w:rsid w:val="00E84246"/>
    <w:rsid w:val="00E94C90"/>
    <w:rsid w:val="00EC0B3F"/>
    <w:rsid w:val="00EE19EF"/>
    <w:rsid w:val="00EE7138"/>
    <w:rsid w:val="00F02C6D"/>
    <w:rsid w:val="00F433E3"/>
    <w:rsid w:val="00F46B90"/>
    <w:rsid w:val="00F82001"/>
    <w:rsid w:val="00F83FAD"/>
    <w:rsid w:val="00F851C8"/>
    <w:rsid w:val="00F8701D"/>
    <w:rsid w:val="00F90674"/>
    <w:rsid w:val="00F91AC0"/>
    <w:rsid w:val="00F95A52"/>
    <w:rsid w:val="00F9672B"/>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2A3D6"/>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FAA28-6E13-D44B-9555-3EF23223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28</Pages>
  <Words>39883</Words>
  <Characters>227339</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25</cp:revision>
  <dcterms:created xsi:type="dcterms:W3CDTF">2018-09-11T21:51:00Z</dcterms:created>
  <dcterms:modified xsi:type="dcterms:W3CDTF">2018-09-25T20:57:00Z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