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75F400BA" w:rsidR="003F2F8C" w:rsidRDefault="003F2F8C" w:rsidP="004A6010">
      <w:pPr>
        <w:spacing w:line="360" w:lineRule="auto"/>
        <w:jc w:val="both"/>
      </w:pPr>
      <w:r>
        <w:tab/>
        <w:t>Freshwater lakes are important to global nutrient cycling. Lakes act as integrat</w:t>
      </w:r>
      <w:r w:rsidR="00F80C19">
        <w:t xml:space="preserve">ors of their surrounding landscapes, collecting nutrients from terrestrial ecosystems (cite). This makes lakes “hotspots” in the landscape, particularly in carbon cycling (cite). The contributions to nutrient cycling by lakes are significant on a global scale (cite) and are likely to change under warming conditions (cite), making the study of freshwater nutrient cycling </w:t>
      </w:r>
      <w:r w:rsidR="00EB63E9">
        <w:t>an important area of research.</w:t>
      </w:r>
    </w:p>
    <w:p w14:paraId="6291298D" w14:textId="5E7E5817" w:rsidR="00EB63E9" w:rsidRDefault="00EB63E9" w:rsidP="004A6010">
      <w:pPr>
        <w:spacing w:line="360" w:lineRule="auto"/>
        <w:jc w:val="both"/>
      </w:pPr>
      <w:r>
        <w:tab/>
        <w:t xml:space="preserve">Nutrient cycling in lakes has been previously thought of in terms of primary production vs. respiration, </w:t>
      </w:r>
      <w:proofErr w:type="spellStart"/>
      <w:r>
        <w:t>allochthonous</w:t>
      </w:r>
      <w:proofErr w:type="spellEnd"/>
      <w:r>
        <w:t xml:space="preserve">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82A3E7"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freshwater microbes (cite </w:t>
      </w:r>
      <w:proofErr w:type="spellStart"/>
      <w:r w:rsidR="00242EB5">
        <w:t>Eiler</w:t>
      </w:r>
      <w:proofErr w:type="spellEnd"/>
      <w:r w:rsidR="00242EB5">
        <w:t xml:space="preserve">), to identify important functions in </w:t>
      </w:r>
      <w:proofErr w:type="spellStart"/>
      <w:r w:rsidR="00242EB5">
        <w:t>humic</w:t>
      </w:r>
      <w:proofErr w:type="spellEnd"/>
      <w:r w:rsidR="00242EB5">
        <w:t xml:space="preserve"> lakes (cite </w:t>
      </w:r>
      <w:proofErr w:type="spellStart"/>
      <w:r w:rsidR="00242EB5">
        <w:t>Eiler</w:t>
      </w:r>
      <w:proofErr w:type="spellEnd"/>
      <w:r w:rsidR="00242EB5">
        <w:t xml:space="preserve">), and to compare microbial communities on a global scale (cite Tara). However, many metagenomics-based studies take a gene-centric approach to investigating microbial functions. In this study, we use metagenome-assembled genomes (MAGs) to compare microbial functions between two lakes of different </w:t>
      </w:r>
      <w:r w:rsidR="00242EB5">
        <w:lastRenderedPageBreak/>
        <w:t>trophic statuses with an organism-centric approach instead. Analyzing genomes rather than genes provides better insight into the ecological roles of specific microbes within freshwater communities.</w:t>
      </w:r>
    </w:p>
    <w:p w14:paraId="24EF6CB0" w14:textId="3A2F931D"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w:t>
      </w:r>
      <w:proofErr w:type="spellStart"/>
      <w:r>
        <w:t>allochthonous</w:t>
      </w:r>
      <w:proofErr w:type="spellEnd"/>
      <w:r>
        <w:t xml:space="preserve"> carbon, and biases towards certain steps in the nitrogen and sulfur cycles based on the availability of these inorganic compounds. </w:t>
      </w:r>
      <w:r w:rsidR="0094429B">
        <w:t xml:space="preserve">Our analysis of 205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0800" w:type="dxa"/>
        <w:tblLook w:val="04A0" w:firstRow="1" w:lastRow="0" w:firstColumn="1" w:lastColumn="0" w:noHBand="0" w:noVBand="1"/>
      </w:tblPr>
      <w:tblGrid>
        <w:gridCol w:w="3505"/>
        <w:gridCol w:w="1980"/>
        <w:gridCol w:w="2610"/>
        <w:gridCol w:w="2705"/>
      </w:tblGrid>
      <w:tr w:rsidR="00704B80" w14:paraId="1B0A7CB4" w14:textId="77777777" w:rsidTr="00704B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05"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Epilimnion</w:t>
            </w:r>
            <w:proofErr w:type="spellEnd"/>
          </w:p>
        </w:tc>
        <w:tc>
          <w:tcPr>
            <w:tcW w:w="2705"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Hypolimnion</w:t>
            </w:r>
            <w:proofErr w:type="spellEnd"/>
          </w:p>
        </w:tc>
      </w:tr>
      <w:tr w:rsidR="00704B80" w14:paraId="5C5721E5"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705"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705"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705"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705"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705"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705"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705"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705"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705"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705"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705"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705"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705"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704B80">
        <w:tc>
          <w:tcPr>
            <w:cnfStyle w:val="001000000000" w:firstRow="0" w:lastRow="0" w:firstColumn="1" w:lastColumn="0" w:oddVBand="0" w:evenVBand="0" w:oddHBand="0" w:evenHBand="0" w:firstRowFirstColumn="0" w:firstRowLastColumn="0" w:lastRowFirstColumn="0" w:lastRowLastColumn="0"/>
            <w:tcW w:w="3505"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705"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704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705"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02294320" w14:textId="554E40A0" w:rsidR="006412FF" w:rsidRPr="00704B80" w:rsidRDefault="00704B80" w:rsidP="004A6010">
      <w:pPr>
        <w:spacing w:line="360" w:lineRule="auto"/>
        <w:jc w:val="both"/>
      </w:pPr>
      <w:r w:rsidRPr="00704B80">
        <w:rPr>
          <w:b/>
        </w:rPr>
        <w:lastRenderedPageBreak/>
        <w:t xml:space="preserve">Table 1. Chemical Limnology of Lake Mendota and Trout Bog. </w:t>
      </w:r>
      <w:r w:rsidR="0038091D">
        <w:t xml:space="preserve">Trout Bog and Lake Mendota, two North Temperate Lakes - Long Term Ecological Research sites, were chosen for this analysis due to their extensive environmental data and contrasting chemistry. </w:t>
      </w:r>
      <w:bookmarkStart w:id="0" w:name="_GoBack"/>
      <w:bookmarkEnd w:id="0"/>
    </w:p>
    <w:p w14:paraId="04D7CE07" w14:textId="77777777" w:rsidR="006412FF" w:rsidRDefault="006412FF" w:rsidP="004A6010">
      <w:pPr>
        <w:spacing w:line="360" w:lineRule="auto"/>
        <w:jc w:val="both"/>
      </w:pPr>
    </w:p>
    <w:p w14:paraId="458E8C08" w14:textId="77777777" w:rsidR="006412FF" w:rsidRDefault="006412FF" w:rsidP="004A6010">
      <w:pPr>
        <w:spacing w:line="360" w:lineRule="auto"/>
        <w:jc w:val="both"/>
      </w:pPr>
    </w:p>
    <w:p w14:paraId="60B12C13" w14:textId="77777777" w:rsidR="00C64D38" w:rsidRDefault="00C64D38" w:rsidP="004A6010">
      <w:pPr>
        <w:spacing w:line="360" w:lineRule="auto"/>
        <w:jc w:val="both"/>
      </w:pPr>
      <w:r>
        <w:t>Description of study sites</w:t>
      </w:r>
    </w:p>
    <w:p w14:paraId="07F4AC1F" w14:textId="13005785" w:rsidR="00C64D38" w:rsidRDefault="00C64D38" w:rsidP="004A6010">
      <w:pPr>
        <w:spacing w:line="360" w:lineRule="auto"/>
        <w:jc w:val="both"/>
      </w:pPr>
      <w:r>
        <w:t>How can metagenomic/genome analysis shed light on ecosystems?</w:t>
      </w:r>
      <w:r w:rsidR="000178B6">
        <w:t xml:space="preserve"> Or how much did we not know or take for granted about how microbes cycle C?</w:t>
      </w:r>
      <w:r w:rsidR="00793164">
        <w:t xml:space="preserve"> consistent with textbooks or surprises?</w:t>
      </w:r>
    </w:p>
    <w:p w14:paraId="0F2A4E7B" w14:textId="454864D7" w:rsidR="00C93A65" w:rsidRDefault="00C93A65" w:rsidP="004A6010">
      <w:pPr>
        <w:spacing w:line="360" w:lineRule="auto"/>
        <w:jc w:val="both"/>
      </w:pPr>
      <w:r>
        <w:fldChar w:fldCharType="begin" w:fldLock="1"/>
      </w:r>
      <w:r>
        <w:instrText>ADDIN CSL_CITATION { "citationItems" : [ { "id" : "ITEM-1", "itemData" : { "author" : [ { "dropping-particle" : "", "family" : "Cole", "given" : "Jonathan J", "non-dropping-particle" : "", "parse-names" : false, "suffix" : "" }, { "dropping-particle" : "", "family" : "Caraco", "given" : "Nina F", "non-dropping-particle" : "", "parse-names" : false, "suffix" : "" } ], "container-title" : "Marine and Freshwater Research", "id" : "ITEM-1", "issued" : { "date-parts" : [ [ "2001" ] ] }, "page" : "101-10", "title" : "Carbon in catchments: connecting terrestrial carbon losses with aquatic metabolism", "type" : "article-journal", "volume" : "52" }, "uris" : [ "http://www.mendeley.com/documents/?uuid=e68636bb-57e8-4c8e-955f-57e1124ab455" ] } ], "mendeley" : { "formattedCitation" : "(Cole and Caraco 2001)", "plainTextFormattedCitation" : "(Cole and Caraco 2001)", "previouslyFormattedCitation" : "(Cole and Caraco 2001)" }, "properties" : { "noteIndex" : 1 }, "schema" : "https://github.com/citation-style-language/schema/raw/master/csl-citation.json" }</w:instrText>
      </w:r>
      <w:r>
        <w:fldChar w:fldCharType="separate"/>
      </w:r>
      <w:r w:rsidRPr="00C93A65">
        <w:rPr>
          <w:noProof/>
        </w:rPr>
        <w:t>(Cole and Caraco 2001)</w:t>
      </w:r>
      <w:r>
        <w:fldChar w:fldCharType="end"/>
      </w:r>
    </w:p>
    <w:p w14:paraId="507BE539" w14:textId="5968730B" w:rsidR="00C64D38" w:rsidRDefault="00793164" w:rsidP="004A6010">
      <w:pPr>
        <w:spacing w:line="360" w:lineRule="auto"/>
        <w:jc w:val="both"/>
      </w:pPr>
      <w:r>
        <w:t>Acknowledge other papers that have use genomic data (</w:t>
      </w:r>
      <w:proofErr w:type="spellStart"/>
      <w:r>
        <w:t>Eiler</w:t>
      </w:r>
      <w:proofErr w:type="spellEnd"/>
      <w:r>
        <w:t xml:space="preserve"> fresh vs salt, bogs) much previous work done gene-centric vs genome centric</w:t>
      </w:r>
    </w:p>
    <w:p w14:paraId="23734024" w14:textId="77777777" w:rsidR="00701B59" w:rsidRDefault="00701B59" w:rsidP="004A6010">
      <w:pPr>
        <w:spacing w:line="360" w:lineRule="auto"/>
        <w:jc w:val="both"/>
      </w:pPr>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w:t>
      </w:r>
      <w:r w:rsidR="00F17423">
        <w:lastRenderedPageBreak/>
        <w:t xml:space="preserve">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both lakes, </w:t>
      </w:r>
      <w:proofErr w:type="spellStart"/>
      <w:r>
        <w:rPr>
          <w:rFonts w:cs="Times New Roman"/>
          <w:szCs w:val="24"/>
        </w:rPr>
        <w:t>Bacteroidetes</w:t>
      </w:r>
      <w:proofErr w:type="spellEnd"/>
      <w:r>
        <w:rPr>
          <w:rFonts w:cs="Times New Roman"/>
          <w:szCs w:val="24"/>
        </w:rPr>
        <w:t xml:space="preserve"> and </w:t>
      </w:r>
      <w:proofErr w:type="spellStart"/>
      <w:r>
        <w:rPr>
          <w:rFonts w:cs="Times New Roman"/>
          <w:szCs w:val="24"/>
        </w:rPr>
        <w:t>Verrucomicrobia</w:t>
      </w:r>
      <w:proofErr w:type="spellEnd"/>
      <w:r>
        <w:rPr>
          <w:rFonts w:cs="Times New Roman"/>
          <w:szCs w:val="24"/>
        </w:rPr>
        <w:t xml:space="preserve"> MAGs contained genes encoding </w:t>
      </w:r>
      <w:proofErr w:type="spellStart"/>
      <w:r>
        <w:rPr>
          <w:rFonts w:cs="Times New Roman"/>
          <w:szCs w:val="24"/>
        </w:rPr>
        <w:t>cellulases</w:t>
      </w:r>
      <w:proofErr w:type="spellEnd"/>
      <w:r>
        <w:rPr>
          <w:rFonts w:cs="Times New Roman"/>
          <w:szCs w:val="24"/>
        </w:rPr>
        <w:t xml:space="preserve">,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Actinobacteria</w:t>
      </w:r>
      <w:proofErr w:type="spellEnd"/>
      <w:r>
        <w:rPr>
          <w:rFonts w:cs="Times New Roman"/>
          <w:szCs w:val="24"/>
        </w:rPr>
        <w:t xml:space="preserve">, and </w:t>
      </w:r>
      <w:proofErr w:type="spellStart"/>
      <w:r>
        <w:rPr>
          <w:rFonts w:cs="Times New Roman"/>
          <w:szCs w:val="24"/>
        </w:rPr>
        <w:t>Methylococcales</w:t>
      </w:r>
      <w:proofErr w:type="spellEnd"/>
      <w:r>
        <w:rPr>
          <w:rFonts w:cs="Times New Roman"/>
          <w:szCs w:val="24"/>
        </w:rPr>
        <w:t xml:space="preserve"> in Trout Bog. Genes relating to the degradation of </w:t>
      </w:r>
      <w:proofErr w:type="spellStart"/>
      <w:r>
        <w:rPr>
          <w:rFonts w:cs="Times New Roman"/>
          <w:szCs w:val="24"/>
        </w:rPr>
        <w:t>cellobiose</w:t>
      </w:r>
      <w:proofErr w:type="spellEnd"/>
      <w:r>
        <w:rPr>
          <w:rFonts w:cs="Times New Roman"/>
          <w:szCs w:val="24"/>
        </w:rPr>
        <w:t xml:space="preserv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w:t>
      </w:r>
      <w:r>
        <w:lastRenderedPageBreak/>
        <w:t xml:space="preserve">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w:t>
      </w:r>
      <w:proofErr w:type="spellStart"/>
      <w:r>
        <w:t>raffinose</w:t>
      </w:r>
      <w:proofErr w:type="spellEnd"/>
      <w:r>
        <w:t xml:space="preserve">, </w:t>
      </w:r>
      <w:proofErr w:type="spellStart"/>
      <w:r>
        <w:t>trehalose</w:t>
      </w:r>
      <w:proofErr w:type="spellEnd"/>
      <w:r>
        <w:t xml:space="preserve">, lactose, and </w:t>
      </w:r>
      <w:proofErr w:type="spellStart"/>
      <w:r>
        <w:t>melibiose</w:t>
      </w:r>
      <w:proofErr w:type="spellEnd"/>
      <w:r>
        <w:t xml:space="preserve">) were identified in MAGs classified as </w:t>
      </w:r>
      <w:proofErr w:type="spellStart"/>
      <w:r>
        <w:t>Bacteroidetes</w:t>
      </w:r>
      <w:proofErr w:type="spellEnd"/>
      <w:r>
        <w:t xml:space="preserve">, </w:t>
      </w:r>
      <w:proofErr w:type="spellStart"/>
      <w:r>
        <w:t>Verrucomicrobia</w:t>
      </w:r>
      <w:proofErr w:type="spellEnd"/>
      <w:r>
        <w:t xml:space="preserve">, and </w:t>
      </w:r>
      <w:proofErr w:type="spellStart"/>
      <w:r>
        <w:t>Actinobacteria</w:t>
      </w:r>
      <w:proofErr w:type="spellEnd"/>
      <w:r>
        <w:t xml:space="preserve">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w:t>
      </w:r>
      <w:proofErr w:type="spellStart"/>
      <w:r w:rsidR="00222B88">
        <w:rPr>
          <w:rFonts w:cs="Times New Roman"/>
          <w:szCs w:val="24"/>
        </w:rPr>
        <w:t>methylotrophs</w:t>
      </w:r>
      <w:proofErr w:type="spellEnd"/>
      <w:r w:rsidR="00222B88">
        <w:rPr>
          <w:rFonts w:cs="Times New Roman"/>
          <w:szCs w:val="24"/>
        </w:rPr>
        <w:t xml:space="preserve">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w:t>
      </w:r>
      <w:proofErr w:type="spellStart"/>
      <w:r w:rsidR="00222B88">
        <w:rPr>
          <w:rFonts w:cs="Times New Roman"/>
          <w:szCs w:val="24"/>
        </w:rPr>
        <w:t>methylotrophs</w:t>
      </w:r>
      <w:proofErr w:type="spellEnd"/>
      <w:r w:rsidR="00222B88">
        <w:rPr>
          <w:rFonts w:cs="Times New Roman"/>
          <w:szCs w:val="24"/>
        </w:rPr>
        <w:t xml:space="preserve">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w:t>
      </w:r>
      <w:proofErr w:type="spellStart"/>
      <w:r w:rsidR="00737662">
        <w:rPr>
          <w:rFonts w:cs="Times New Roman"/>
          <w:szCs w:val="24"/>
        </w:rPr>
        <w:t>methylotrophs</w:t>
      </w:r>
      <w:proofErr w:type="spellEnd"/>
      <w:r w:rsidR="00737662">
        <w:rPr>
          <w:rFonts w:cs="Times New Roman"/>
          <w:szCs w:val="24"/>
        </w:rPr>
        <w:t xml:space="preserve">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7">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2"/>
      <w:r w:rsidR="00C12FD2">
        <w:t>between</w:t>
      </w:r>
      <w:commentRangeEnd w:id="2"/>
      <w:r w:rsidR="003F2F8C">
        <w:rPr>
          <w:rStyle w:val="CommentReference"/>
        </w:rPr>
        <w:commentReference w:id="2"/>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w:t>
      </w:r>
      <w:r>
        <w:rPr>
          <w:rFonts w:cs="Times New Roman"/>
          <w:szCs w:val="24"/>
        </w:rPr>
        <w:lastRenderedPageBreak/>
        <w:t xml:space="preserve">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proofErr w:type="spellStart"/>
      <w:r>
        <w:rPr>
          <w:rFonts w:cs="Times New Roman"/>
          <w:szCs w:val="24"/>
        </w:rPr>
        <w:t>methanotroph</w:t>
      </w:r>
      <w:proofErr w:type="spellEnd"/>
      <w:r>
        <w:rPr>
          <w:rFonts w:cs="Times New Roman"/>
          <w:szCs w:val="24"/>
        </w:rPr>
        <w:t xml:space="preserve">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lastRenderedPageBreak/>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 xml:space="preserve">Sulfate </w:t>
      </w:r>
      <w:commentRangeStart w:id="7"/>
      <w:r w:rsidR="004A6010">
        <w:t>reduction</w:t>
      </w:r>
      <w:commentRangeEnd w:id="7"/>
      <w:r w:rsidR="0028221F">
        <w:rPr>
          <w:rStyle w:val="CommentReference"/>
        </w:rPr>
        <w:commentReference w:id="7"/>
      </w:r>
      <w:r w:rsidR="004A6010">
        <w:t xml:space="preserve">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t>
      </w:r>
      <w:r>
        <w:lastRenderedPageBreak/>
        <w:t xml:space="preserve">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r w:rsidR="000178B6">
        <w:rPr>
          <w:rStyle w:val="CommentReference"/>
          <w:rFonts w:cstheme="minorBidi"/>
          <w:b w:val="0"/>
        </w:rPr>
        <w:commentReference w:id="8"/>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2C1BED46" w14:textId="7459D797" w:rsidR="00C93A65" w:rsidRPr="00C93A65" w:rsidRDefault="00C9067D" w:rsidP="00C93A6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93A65" w:rsidRPr="00C93A65">
        <w:rPr>
          <w:rFonts w:cs="Times New Roman"/>
          <w:noProof/>
          <w:szCs w:val="24"/>
        </w:rPr>
        <w:t xml:space="preserve">Beck, David a.C. et al. 2013. “A Metagenomic Insight into Freshwater Methane-Utilizing Communities and Evidence for Cooperation between the Methylococcaceae and the Methylophilaceae.” </w:t>
      </w:r>
      <w:r w:rsidR="00C93A65" w:rsidRPr="00C93A65">
        <w:rPr>
          <w:rFonts w:cs="Times New Roman"/>
          <w:i/>
          <w:iCs/>
          <w:noProof/>
          <w:szCs w:val="24"/>
        </w:rPr>
        <w:t>PeerJ</w:t>
      </w:r>
      <w:r w:rsidR="00C93A65" w:rsidRPr="00C93A65">
        <w:rPr>
          <w:rFonts w:cs="Times New Roman"/>
          <w:noProof/>
          <w:szCs w:val="24"/>
        </w:rPr>
        <w:t xml:space="preserve"> 1: e23. http://www.pubmedcentral.nih.gov/articlerender.fcgi?artid=3628875&amp;tool=pmcentrez&amp;rendertype=abstract.</w:t>
      </w:r>
    </w:p>
    <w:p w14:paraId="466A725E"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Bendall, Matthew L et al. 2016. “Genome-Wide Selective Sweeps and Gene-Specific Sweeps in Natural Bacterial Populations.” </w:t>
      </w:r>
      <w:r w:rsidRPr="00C93A65">
        <w:rPr>
          <w:rFonts w:cs="Times New Roman"/>
          <w:i/>
          <w:iCs/>
          <w:noProof/>
          <w:szCs w:val="24"/>
        </w:rPr>
        <w:t>ISME journal</w:t>
      </w:r>
      <w:r w:rsidRPr="00C93A65">
        <w:rPr>
          <w:rFonts w:cs="Times New Roman"/>
          <w:noProof/>
          <w:szCs w:val="24"/>
        </w:rPr>
        <w:t xml:space="preserve"> 10: 1589–1601. http://dx.doi.org/10.1038/ismej.2015.241.</w:t>
      </w:r>
    </w:p>
    <w:p w14:paraId="7CB25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Beversdorf, Lucas J, Todd R Miller, and Katherine D McMahon. 2013. “The Role of Nitrogen Fixation in Cyanobacterial Bloom Toxicity in a Temperate , Eutrophic Lake.” </w:t>
      </w:r>
      <w:r w:rsidRPr="00C93A65">
        <w:rPr>
          <w:rFonts w:cs="Times New Roman"/>
          <w:i/>
          <w:iCs/>
          <w:noProof/>
          <w:szCs w:val="24"/>
        </w:rPr>
        <w:t>PloS one</w:t>
      </w:r>
      <w:r w:rsidRPr="00C93A65">
        <w:rPr>
          <w:rFonts w:cs="Times New Roman"/>
          <w:noProof/>
          <w:szCs w:val="24"/>
        </w:rPr>
        <w:t xml:space="preserve"> 8(2): 1–11.</w:t>
      </w:r>
    </w:p>
    <w:p w14:paraId="607838F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Chistoserdova, Ludmila, Marina G. Kalyuzhnaya, and Mary E. Lidstrom. 2009. “The Expanding World of Methylotrophic Metabolism.” </w:t>
      </w:r>
      <w:r w:rsidRPr="00C93A65">
        <w:rPr>
          <w:rFonts w:cs="Times New Roman"/>
          <w:i/>
          <w:iCs/>
          <w:noProof/>
          <w:szCs w:val="24"/>
        </w:rPr>
        <w:t>Annual review of microbiology</w:t>
      </w:r>
      <w:r w:rsidRPr="00C93A65">
        <w:rPr>
          <w:rFonts w:cs="Times New Roman"/>
          <w:noProof/>
          <w:szCs w:val="24"/>
        </w:rPr>
        <w:t xml:space="preserve"> 63: 477–99.</w:t>
      </w:r>
    </w:p>
    <w:p w14:paraId="7F2F1A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Cole, Jonathan J, and Nina F Caraco. 2001. “Carbon in Catchments: Connecting Terrestrial Carbon Losses with Aquatic Metabolism.” </w:t>
      </w:r>
      <w:r w:rsidRPr="00C93A65">
        <w:rPr>
          <w:rFonts w:cs="Times New Roman"/>
          <w:i/>
          <w:iCs/>
          <w:noProof/>
          <w:szCs w:val="24"/>
        </w:rPr>
        <w:t>Marine and Freshwater Research</w:t>
      </w:r>
      <w:r w:rsidRPr="00C93A65">
        <w:rPr>
          <w:rFonts w:cs="Times New Roman"/>
          <w:noProof/>
          <w:szCs w:val="24"/>
        </w:rPr>
        <w:t xml:space="preserve"> 52: 101–10.</w:t>
      </w:r>
    </w:p>
    <w:p w14:paraId="4D2028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Descy, Jean-Pierre et al. 2000. “PIGMENT RATIOS AND PHYTOPLANKTON ASSESSMENT IN NORTHERN WISCONSIN LAKES.” </w:t>
      </w:r>
      <w:r w:rsidRPr="00C93A65">
        <w:rPr>
          <w:rFonts w:cs="Times New Roman"/>
          <w:i/>
          <w:iCs/>
          <w:noProof/>
          <w:szCs w:val="24"/>
        </w:rPr>
        <w:t>Journal of Phycology</w:t>
      </w:r>
      <w:r w:rsidRPr="00C93A65">
        <w:rPr>
          <w:rFonts w:cs="Times New Roman"/>
          <w:noProof/>
          <w:szCs w:val="24"/>
        </w:rPr>
        <w:t xml:space="preserve"> 36: 274–86.</w:t>
      </w:r>
    </w:p>
    <w:p w14:paraId="65B44C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Giroldo, Danilo, Armando Augusto, and Henriques Vieira. 2005. “Polymeric and Free Sugars Released by Three Phytoplanktonic Species from a Freshwater Tropical Eutrophic Reservoir.” </w:t>
      </w:r>
      <w:r w:rsidRPr="00C93A65">
        <w:rPr>
          <w:rFonts w:cs="Times New Roman"/>
          <w:i/>
          <w:iCs/>
          <w:noProof/>
          <w:szCs w:val="24"/>
        </w:rPr>
        <w:t>Journal of Plankton Research</w:t>
      </w:r>
      <w:r w:rsidRPr="00C93A65">
        <w:rPr>
          <w:rFonts w:cs="Times New Roman"/>
          <w:noProof/>
          <w:szCs w:val="24"/>
        </w:rPr>
        <w:t xml:space="preserve"> 27(7): 695–705.</w:t>
      </w:r>
    </w:p>
    <w:p w14:paraId="50DA638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Hall, Michael W et al. 2017. “Ananke : Temporal Clustering Reveals Ecological Dynamics of Microbial Communities.” </w:t>
      </w:r>
      <w:r w:rsidRPr="00C93A65">
        <w:rPr>
          <w:rFonts w:cs="Times New Roman"/>
          <w:i/>
          <w:iCs/>
          <w:noProof/>
          <w:szCs w:val="24"/>
        </w:rPr>
        <w:t>PeerJ</w:t>
      </w:r>
      <w:r w:rsidRPr="00C93A65">
        <w:rPr>
          <w:rFonts w:cs="Times New Roman"/>
          <w:noProof/>
          <w:szCs w:val="24"/>
        </w:rPr>
        <w:t xml:space="preserve"> 5(e3812): 1–19.</w:t>
      </w:r>
    </w:p>
    <w:p w14:paraId="65286F4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 Shaomei et al. 2017. “Ecophysiology of Freshwater Verrucomicrobia Inferred from Metagenome-Assembled Genomes.” </w:t>
      </w:r>
      <w:r w:rsidRPr="00C93A65">
        <w:rPr>
          <w:rFonts w:cs="Times New Roman"/>
          <w:i/>
          <w:iCs/>
          <w:noProof/>
          <w:szCs w:val="24"/>
        </w:rPr>
        <w:t>mSphere</w:t>
      </w:r>
      <w:r w:rsidRPr="00C93A65">
        <w:rPr>
          <w:rFonts w:cs="Times New Roman"/>
          <w:noProof/>
          <w:szCs w:val="24"/>
        </w:rPr>
        <w:t xml:space="preserve"> 2(5): 1–17.</w:t>
      </w:r>
    </w:p>
    <w:p w14:paraId="5B41FD1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Daniel P R, Oliver Geissinger, and Andreas Brune. 2007. “The Termite Group I Phylum Is Highly Diverse and Widespread in the Environment.” </w:t>
      </w:r>
      <w:r w:rsidRPr="00C93A65">
        <w:rPr>
          <w:rFonts w:cs="Times New Roman"/>
          <w:i/>
          <w:iCs/>
          <w:noProof/>
          <w:szCs w:val="24"/>
        </w:rPr>
        <w:t>Applied and Environmental Microbiology</w:t>
      </w:r>
      <w:r w:rsidRPr="00C93A65">
        <w:rPr>
          <w:rFonts w:cs="Times New Roman"/>
          <w:noProof/>
          <w:szCs w:val="24"/>
        </w:rPr>
        <w:t xml:space="preserve"> 73(20): 6682–85.</w:t>
      </w:r>
    </w:p>
    <w:p w14:paraId="0D963BD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 P R et al. 2009. “Genomic Analysis of ‘ Elusimicrobium Minutum ,’ the First Cultivated Representative of the Phylum ‘ Elusimicrobia ’ ( Formerly Termite Group 1 ).” </w:t>
      </w:r>
      <w:r w:rsidRPr="00C93A65">
        <w:rPr>
          <w:rFonts w:cs="Times New Roman"/>
          <w:i/>
          <w:iCs/>
          <w:noProof/>
          <w:szCs w:val="24"/>
        </w:rPr>
        <w:t>Applied and Environmental Microbiology</w:t>
      </w:r>
      <w:r w:rsidRPr="00C93A65">
        <w:rPr>
          <w:rFonts w:cs="Times New Roman"/>
          <w:noProof/>
          <w:szCs w:val="24"/>
        </w:rPr>
        <w:t xml:space="preserve"> 75(9): 2841–49.</w:t>
      </w:r>
    </w:p>
    <w:p w14:paraId="57823F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Hurley, James P, and David E Armstrong. 1990. “Fluxes and Transformations of Aquatic Pigments in Lake Mendota , Wisconsin.” </w:t>
      </w:r>
      <w:r w:rsidRPr="00C93A65">
        <w:rPr>
          <w:rFonts w:cs="Times New Roman"/>
          <w:i/>
          <w:iCs/>
          <w:noProof/>
          <w:szCs w:val="24"/>
        </w:rPr>
        <w:t>Limnology and Oceanography</w:t>
      </w:r>
      <w:r w:rsidRPr="00C93A65">
        <w:rPr>
          <w:rFonts w:cs="Times New Roman"/>
          <w:noProof/>
          <w:szCs w:val="24"/>
        </w:rPr>
        <w:t xml:space="preserve"> 35(2): 384–98.</w:t>
      </w:r>
    </w:p>
    <w:p w14:paraId="3AC0A70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Igarashi, Kazuei, and Keiko Kashiwagi. 1999. “Polyamine Transport in Bacteria and Yeast.” </w:t>
      </w:r>
      <w:r w:rsidRPr="00C93A65">
        <w:rPr>
          <w:rFonts w:cs="Times New Roman"/>
          <w:i/>
          <w:iCs/>
          <w:noProof/>
          <w:szCs w:val="24"/>
        </w:rPr>
        <w:t>Biochem. J.</w:t>
      </w:r>
      <w:r w:rsidRPr="00C93A65">
        <w:rPr>
          <w:rFonts w:cs="Times New Roman"/>
          <w:noProof/>
          <w:szCs w:val="24"/>
        </w:rPr>
        <w:t xml:space="preserve"> 344: 633–42.</w:t>
      </w:r>
    </w:p>
    <w:p w14:paraId="0BD3B2C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Jorgenson, Niels OG et al. 1998. “Effects of Sunlight on Occurrence and Bacterial Turnover of Specific Carbon and Nitrogen Compounds in Lake Water.” </w:t>
      </w:r>
      <w:r w:rsidRPr="00C93A65">
        <w:rPr>
          <w:rFonts w:cs="Times New Roman"/>
          <w:i/>
          <w:iCs/>
          <w:noProof/>
          <w:szCs w:val="24"/>
        </w:rPr>
        <w:t>FEMS Microbiology Ecology</w:t>
      </w:r>
      <w:r w:rsidRPr="00C93A65">
        <w:rPr>
          <w:rFonts w:cs="Times New Roman"/>
          <w:noProof/>
          <w:szCs w:val="24"/>
        </w:rPr>
        <w:t xml:space="preserve"> 25: 217–27.</w:t>
      </w:r>
    </w:p>
    <w:p w14:paraId="537E0E8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lastRenderedPageBreak/>
        <w:t xml:space="preserve">Juttner, F, and T Matuschek. 1977. “The Release of Low Molecular Weight Compounds by the Phytoplankton in an Eutrophic Lake.” </w:t>
      </w:r>
      <w:r w:rsidRPr="00C93A65">
        <w:rPr>
          <w:rFonts w:cs="Times New Roman"/>
          <w:i/>
          <w:iCs/>
          <w:noProof/>
          <w:szCs w:val="24"/>
        </w:rPr>
        <w:t>Water</w:t>
      </w:r>
      <w:r w:rsidRPr="00C93A65">
        <w:rPr>
          <w:rFonts w:cs="Times New Roman"/>
          <w:noProof/>
          <w:szCs w:val="24"/>
        </w:rPr>
        <w:t xml:space="preserve"> 12: 251–55.</w:t>
      </w:r>
    </w:p>
    <w:p w14:paraId="25FF23A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Kalyuzhnaya, Marina G et al. 2012. “Novel Methylotrophic Isolates from Lake Sediment, Description of Methylotenera Versatilis Sp. Nov. and Emended Description of the Genus Methylotenera.” </w:t>
      </w:r>
      <w:r w:rsidRPr="00C93A65">
        <w:rPr>
          <w:rFonts w:cs="Times New Roman"/>
          <w:i/>
          <w:iCs/>
          <w:noProof/>
          <w:szCs w:val="24"/>
        </w:rPr>
        <w:t>International journal of systematic and evolutionary microbiology</w:t>
      </w:r>
      <w:r w:rsidRPr="00C93A65">
        <w:rPr>
          <w:rFonts w:cs="Times New Roman"/>
          <w:noProof/>
          <w:szCs w:val="24"/>
        </w:rPr>
        <w:t xml:space="preserve"> 62(Pt 1): 106–11. http://www.ncbi.nlm.nih.gov/pubmed/21335496.</w:t>
      </w:r>
    </w:p>
    <w:p w14:paraId="4807D81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3A65">
        <w:rPr>
          <w:rFonts w:cs="Times New Roman"/>
          <w:i/>
          <w:iCs/>
          <w:noProof/>
          <w:szCs w:val="24"/>
        </w:rPr>
        <w:t>European Journal of Biochemistry</w:t>
      </w:r>
      <w:r w:rsidRPr="00C93A65">
        <w:rPr>
          <w:rFonts w:cs="Times New Roman"/>
          <w:noProof/>
          <w:szCs w:val="24"/>
        </w:rPr>
        <w:t xml:space="preserve"> 269(7): 1926–31.</w:t>
      </w:r>
    </w:p>
    <w:p w14:paraId="6FF9F86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3A65">
        <w:rPr>
          <w:rFonts w:cs="Times New Roman"/>
          <w:i/>
          <w:iCs/>
          <w:noProof/>
          <w:szCs w:val="24"/>
        </w:rPr>
        <w:t>Aquatic Microbial Ecology</w:t>
      </w:r>
      <w:r w:rsidRPr="00C93A65">
        <w:rPr>
          <w:rFonts w:cs="Times New Roman"/>
          <w:noProof/>
          <w:szCs w:val="24"/>
        </w:rPr>
        <w:t xml:space="preserve"> 68: 267–72.</w:t>
      </w:r>
    </w:p>
    <w:p w14:paraId="63BC09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Linz, Alexandra M. et al. 2017. “Bacterial Community Composition and Dynamics Spanning Five Years in Freshwater Bog Lakes.” </w:t>
      </w:r>
      <w:r w:rsidRPr="00C93A65">
        <w:rPr>
          <w:rFonts w:cs="Times New Roman"/>
          <w:i/>
          <w:iCs/>
          <w:noProof/>
          <w:szCs w:val="24"/>
        </w:rPr>
        <w:t>mSphere</w:t>
      </w:r>
      <w:r w:rsidRPr="00C93A65">
        <w:rPr>
          <w:rFonts w:cs="Times New Roman"/>
          <w:noProof/>
          <w:szCs w:val="24"/>
        </w:rPr>
        <w:t xml:space="preserve"> 2(3): 1–15.</w:t>
      </w:r>
    </w:p>
    <w:p w14:paraId="3FCCD00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Martinez-Garcia, Manuel et al. 2012. “High-Throughput Single-Cell Sequencing Identifies Photoheterotrophs and Chemoautotrophs in Freshwater Bacterioplankton.” </w:t>
      </w:r>
      <w:r w:rsidRPr="00C93A65">
        <w:rPr>
          <w:rFonts w:cs="Times New Roman"/>
          <w:i/>
          <w:iCs/>
          <w:noProof/>
          <w:szCs w:val="24"/>
        </w:rPr>
        <w:t>The ISME Journal</w:t>
      </w:r>
      <w:r w:rsidRPr="00C93A65">
        <w:rPr>
          <w:rFonts w:cs="Times New Roman"/>
          <w:noProof/>
          <w:szCs w:val="24"/>
        </w:rPr>
        <w:t xml:space="preserve"> 6(1): 113–23. http://dx.doi.org/10.1038/ismej.2011.84.</w:t>
      </w:r>
    </w:p>
    <w:p w14:paraId="2F545DC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McGowan, Suzanne et al. 2016. “Long-Term Perspectives on Terrestrial and Aquatic Carbon Cycling from Palaeolimnology.” </w:t>
      </w:r>
      <w:r w:rsidRPr="00C93A65">
        <w:rPr>
          <w:rFonts w:cs="Times New Roman"/>
          <w:i/>
          <w:iCs/>
          <w:noProof/>
          <w:szCs w:val="24"/>
        </w:rPr>
        <w:t>WIREs Water</w:t>
      </w:r>
      <w:r w:rsidRPr="00C93A65">
        <w:rPr>
          <w:rFonts w:cs="Times New Roman"/>
          <w:noProof/>
          <w:szCs w:val="24"/>
        </w:rPr>
        <w:t xml:space="preserve"> 3: 211–34.</w:t>
      </w:r>
    </w:p>
    <w:p w14:paraId="529E639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Mou, Xiaozhen et al. 2011. “Metatranscriptomic Signature of Exogenous Polyamine Utilization by Coastal Bacterioplankton.” 3: 798–806.</w:t>
      </w:r>
    </w:p>
    <w:p w14:paraId="215FC94A"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Parks, Donovan H et al. 2015. “CheckM: Assessing the Quality of Microbial Genomes Recovered from Isolates, Single Cells, and Metagenomes.” </w:t>
      </w:r>
      <w:r w:rsidRPr="00C93A65">
        <w:rPr>
          <w:rFonts w:cs="Times New Roman"/>
          <w:i/>
          <w:iCs/>
          <w:noProof/>
          <w:szCs w:val="24"/>
        </w:rPr>
        <w:t>Genome Research</w:t>
      </w:r>
      <w:r w:rsidRPr="00C93A65">
        <w:rPr>
          <w:rFonts w:cs="Times New Roman"/>
          <w:noProof/>
          <w:szCs w:val="24"/>
        </w:rPr>
        <w:t xml:space="preserve"> 25(7).</w:t>
      </w:r>
    </w:p>
    <w:p w14:paraId="72B9D4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Remsen, Charles C, Edward J Carpenter, and Brian W Schroeder. 1972. “Competition for Urea among Estuarine Microorganisms.” </w:t>
      </w:r>
      <w:r w:rsidRPr="00C93A65">
        <w:rPr>
          <w:rFonts w:cs="Times New Roman"/>
          <w:i/>
          <w:iCs/>
          <w:noProof/>
          <w:szCs w:val="24"/>
        </w:rPr>
        <w:t>Ecological Society of America</w:t>
      </w:r>
      <w:r w:rsidRPr="00C93A65">
        <w:rPr>
          <w:rFonts w:cs="Times New Roman"/>
          <w:noProof/>
          <w:szCs w:val="24"/>
        </w:rPr>
        <w:t xml:space="preserve"> 53(5): 921–26.</w:t>
      </w:r>
    </w:p>
    <w:p w14:paraId="5E0CC5D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3A65">
        <w:rPr>
          <w:rFonts w:cs="Times New Roman"/>
          <w:i/>
          <w:iCs/>
          <w:noProof/>
          <w:szCs w:val="24"/>
        </w:rPr>
        <w:t>The ISME Journal</w:t>
      </w:r>
      <w:r w:rsidRPr="00C93A65">
        <w:rPr>
          <w:rFonts w:cs="Times New Roman"/>
          <w:noProof/>
          <w:szCs w:val="24"/>
        </w:rPr>
        <w:t>: 1–12. http://www.nature.com/doifinder/10.1038/ismej.2015.55.</w:t>
      </w:r>
    </w:p>
    <w:p w14:paraId="2B0DC14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Thomas Posch, and Jakob Pernthaler. 2013. “In Situ Substrate Preferences of Abundant Bacterioplankton Populations in a Prealpine Freshwater Lake.” </w:t>
      </w:r>
      <w:r w:rsidRPr="00C93A65">
        <w:rPr>
          <w:rFonts w:cs="Times New Roman"/>
          <w:i/>
          <w:iCs/>
          <w:noProof/>
          <w:szCs w:val="24"/>
        </w:rPr>
        <w:t>Isme J</w:t>
      </w:r>
      <w:r w:rsidRPr="00C93A65">
        <w:rPr>
          <w:rFonts w:cs="Times New Roman"/>
          <w:noProof/>
          <w:szCs w:val="24"/>
        </w:rPr>
        <w:t xml:space="preserve"> 7(5): 896–907. http://dx.doi.org/10.1038/ismej.2012.162 (November 15, 2013).</w:t>
      </w:r>
    </w:p>
    <w:p w14:paraId="49BBF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Tang, Kuo Hsiang, and Robert E. Blankenship. 2010. “Both Forward and Reverse TCA Cycles Operate in Green Sulfur Bacteria.” </w:t>
      </w:r>
      <w:r w:rsidRPr="00C93A65">
        <w:rPr>
          <w:rFonts w:cs="Times New Roman"/>
          <w:i/>
          <w:iCs/>
          <w:noProof/>
          <w:szCs w:val="24"/>
        </w:rPr>
        <w:t>Journal of Biological Chemistry</w:t>
      </w:r>
      <w:r w:rsidRPr="00C93A65">
        <w:rPr>
          <w:rFonts w:cs="Times New Roman"/>
          <w:noProof/>
          <w:szCs w:val="24"/>
        </w:rPr>
        <w:t xml:space="preserve"> 285(46): 35848–54.</w:t>
      </w:r>
    </w:p>
    <w:p w14:paraId="4AB74834" w14:textId="77777777" w:rsidR="00C93A65" w:rsidRPr="00C93A65" w:rsidRDefault="00C93A65" w:rsidP="00C93A65">
      <w:pPr>
        <w:widowControl w:val="0"/>
        <w:autoSpaceDE w:val="0"/>
        <w:autoSpaceDN w:val="0"/>
        <w:adjustRightInd w:val="0"/>
        <w:spacing w:line="240" w:lineRule="auto"/>
        <w:ind w:left="480" w:hanging="480"/>
        <w:rPr>
          <w:rFonts w:cs="Times New Roman"/>
          <w:noProof/>
        </w:rPr>
      </w:pPr>
      <w:r w:rsidRPr="00C93A65">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C93A65">
        <w:rPr>
          <w:rFonts w:cs="Times New Roman"/>
          <w:i/>
          <w:iCs/>
          <w:noProof/>
          <w:szCs w:val="24"/>
        </w:rPr>
        <w:t>Environmental Microbiology</w:t>
      </w:r>
      <w:r w:rsidRPr="00C93A65">
        <w:rPr>
          <w:rFonts w:cs="Times New Roman"/>
          <w:noProof/>
          <w:szCs w:val="24"/>
        </w:rPr>
        <w:t xml:space="preserve"> 18(1): 191–204.</w:t>
      </w:r>
    </w:p>
    <w:p w14:paraId="072EEDC6" w14:textId="548A81EC" w:rsidR="00C9067D" w:rsidRPr="00C9067D" w:rsidRDefault="00C9067D" w:rsidP="00C9067D">
      <w:r>
        <w:lastRenderedPageBreak/>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andra Linz" w:date="2017-10-27T12:39:00Z" w:initials="AL">
    <w:p w14:paraId="790C759C" w14:textId="7496DCD6" w:rsidR="0028221F" w:rsidRDefault="0028221F">
      <w:pPr>
        <w:pStyle w:val="CommentText"/>
      </w:pPr>
      <w:r>
        <w:rPr>
          <w:rStyle w:val="CommentReference"/>
        </w:rPr>
        <w:annotationRef/>
      </w:r>
      <w:r>
        <w:t>Add table on %reads mapped (get from Sarah’s paper?)</w:t>
      </w:r>
    </w:p>
  </w:comment>
  <w:comment w:id="2" w:author="Alexandra Linz" w:date="2017-11-03T13:36:00Z" w:initials="AL">
    <w:p w14:paraId="0C433E63" w14:textId="310985FC" w:rsidR="003F2F8C" w:rsidRDefault="003F2F8C">
      <w:pPr>
        <w:pStyle w:val="CommentText"/>
      </w:pPr>
      <w:r>
        <w:rPr>
          <w:rStyle w:val="CommentReference"/>
        </w:rPr>
        <w:annotationRef/>
      </w:r>
      <w:r>
        <w:t>Add legend back in</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0-27T12:41:00Z" w:initials="AL">
    <w:p w14:paraId="2DABA2BA" w14:textId="77777777" w:rsidR="0028221F" w:rsidRDefault="0028221F">
      <w:pPr>
        <w:pStyle w:val="CommentText"/>
      </w:pPr>
      <w:r>
        <w:rPr>
          <w:rStyle w:val="CommentReference"/>
        </w:rPr>
        <w:annotationRef/>
      </w:r>
      <w:r>
        <w:t>Make 2 panels, one w/ # genes in combined assembly</w:t>
      </w:r>
    </w:p>
    <w:p w14:paraId="0196A7C9" w14:textId="77777777" w:rsidR="0028221F" w:rsidRDefault="0028221F">
      <w:pPr>
        <w:pStyle w:val="CommentText"/>
      </w:pPr>
    </w:p>
    <w:p w14:paraId="692B3AFB" w14:textId="694F0B71" w:rsidR="0028221F" w:rsidRDefault="0028221F">
      <w:pPr>
        <w:pStyle w:val="CommentText"/>
      </w:pPr>
      <w:r>
        <w:t>Try the same for nitrogen metabolism figure</w:t>
      </w:r>
    </w:p>
  </w:comment>
  <w:comment w:id="8" w:author="Alexandra Linz" w:date="2017-10-27T14:01:00Z" w:initials="AL">
    <w:p w14:paraId="09619AEA" w14:textId="0575680F" w:rsidR="000178B6" w:rsidRDefault="000178B6">
      <w:pPr>
        <w:pStyle w:val="CommentText"/>
      </w:pPr>
      <w:r>
        <w:rPr>
          <w:rStyle w:val="CommentReference"/>
        </w:rPr>
        <w:annotationRef/>
      </w:r>
      <w:r>
        <w:t>Line up with intro?</w:t>
      </w:r>
    </w:p>
    <w:p w14:paraId="023FF6BB" w14:textId="75594551" w:rsidR="000178B6" w:rsidRDefault="000178B6">
      <w:pPr>
        <w:pStyle w:val="CommentText"/>
      </w:pPr>
      <w:r>
        <w:t>State hypotheses in intro and draw attention to surprises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Ex w15:paraId="0C433E63" w15:done="0"/>
  <w15:commentEx w15:paraId="05B214C2" w15:done="0"/>
  <w15:commentEx w15:paraId="0D4FF670" w15:done="0"/>
  <w15:commentEx w15:paraId="0257D0CD" w15:done="0"/>
  <w15:commentEx w15:paraId="72758A8A" w15:done="0"/>
  <w15:commentEx w15:paraId="692B3AFB" w15:done="0"/>
  <w15:commentEx w15:paraId="023FF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692B3AFB" w16cid:durableId="1DA40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8091D"/>
    <w:rsid w:val="00393F1B"/>
    <w:rsid w:val="003F2F8C"/>
    <w:rsid w:val="00401ACA"/>
    <w:rsid w:val="004138AB"/>
    <w:rsid w:val="0041614F"/>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701B59"/>
    <w:rsid w:val="00704B80"/>
    <w:rsid w:val="00732488"/>
    <w:rsid w:val="00737662"/>
    <w:rsid w:val="00777F2B"/>
    <w:rsid w:val="00793164"/>
    <w:rsid w:val="007B5D3B"/>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E484D"/>
    <w:rsid w:val="00BF3B0E"/>
    <w:rsid w:val="00C12FD2"/>
    <w:rsid w:val="00C34AE3"/>
    <w:rsid w:val="00C4283D"/>
    <w:rsid w:val="00C54FFE"/>
    <w:rsid w:val="00C64D38"/>
    <w:rsid w:val="00C67198"/>
    <w:rsid w:val="00C9067D"/>
    <w:rsid w:val="00C93A65"/>
    <w:rsid w:val="00CD2B02"/>
    <w:rsid w:val="00D00FD2"/>
    <w:rsid w:val="00D11FC2"/>
    <w:rsid w:val="00D33E54"/>
    <w:rsid w:val="00D407BC"/>
    <w:rsid w:val="00D70442"/>
    <w:rsid w:val="00DB0C6F"/>
    <w:rsid w:val="00DB50A6"/>
    <w:rsid w:val="00DF5B3C"/>
    <w:rsid w:val="00DF606D"/>
    <w:rsid w:val="00E8160D"/>
    <w:rsid w:val="00EB63E9"/>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B56F-6703-4D8C-9A1D-83EC9487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18</Pages>
  <Words>11983</Words>
  <Characters>68309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30</cp:revision>
  <dcterms:created xsi:type="dcterms:W3CDTF">2017-10-13T18:20:00Z</dcterms:created>
  <dcterms:modified xsi:type="dcterms:W3CDTF">2017-11-05T22:07:00Z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