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D38" w:rsidRDefault="00C64D38" w:rsidP="00C64D38">
      <w:pPr>
        <w:pStyle w:val="Heading1"/>
        <w:rPr>
          <w:noProof/>
        </w:rPr>
      </w:pPr>
      <w:r>
        <w:rPr>
          <w:noProof/>
        </w:rPr>
        <w:t>Title</w:t>
      </w:r>
    </w:p>
    <w:p w:rsidR="00C64D38" w:rsidRDefault="00C64D38" w:rsidP="00C64D38">
      <w:r>
        <w:t>Alexandra M. Linz, Shaomei He, Samuel Schmitz, Sarah Stevens, Rex R. Malmstrom, Robin R. Rohwer, Joshua J. Hamilton, Karthik Anantharaman, Tijana Glavina del Rio, Stefan Bertilsson, Katherine D. McMahon</w:t>
      </w:r>
    </w:p>
    <w:p w:rsidR="00C64D38" w:rsidRDefault="00C64D38" w:rsidP="00C64D38">
      <w:pPr>
        <w:pStyle w:val="Heading1"/>
      </w:pPr>
      <w:r>
        <w:t>Abstract</w:t>
      </w:r>
    </w:p>
    <w:p w:rsidR="00C64D38" w:rsidRDefault="00C64D38" w:rsidP="00C64D38"/>
    <w:p w:rsidR="00C64D38" w:rsidRDefault="00C64D38" w:rsidP="00C64D38">
      <w:pPr>
        <w:pStyle w:val="Heading1"/>
      </w:pPr>
      <w:r>
        <w:t>Introduction</w:t>
      </w:r>
    </w:p>
    <w:p w:rsidR="00C64D38" w:rsidRDefault="00C64D38" w:rsidP="00C64D38">
      <w:r>
        <w:t>Why nutrient cycling in lakes is important globally (lakes as integrators of the landscape, lakes as hotspots of carbon cycling, small lakes disproportionately active in carbon cycle, lakes as sentinels of change)</w:t>
      </w:r>
    </w:p>
    <w:p w:rsidR="00C64D38" w:rsidRDefault="00C64D38" w:rsidP="00C64D38">
      <w:r>
        <w:t>Description of study sites</w:t>
      </w:r>
    </w:p>
    <w:p w:rsidR="00C64D38" w:rsidRDefault="00C64D38" w:rsidP="00C64D38">
      <w:r>
        <w:t>How can metagenomic/genome analysis shed light on ecosystems?</w:t>
      </w:r>
    </w:p>
    <w:p w:rsidR="00C64D38" w:rsidRDefault="00C64D38" w:rsidP="00C64D38">
      <w:r>
        <w:t>Review other papers that have used this dataset (and why this paper is novel)</w:t>
      </w:r>
    </w:p>
    <w:p w:rsidR="00C64D38" w:rsidRPr="00ED1A43" w:rsidRDefault="00C64D38" w:rsidP="00C64D38">
      <w:pPr>
        <w:pStyle w:val="Heading1"/>
      </w:pPr>
      <w:r>
        <w:t>Results/Discussion</w:t>
      </w:r>
    </w:p>
    <w:p w:rsidR="00C64D38" w:rsidRDefault="00C64D38" w:rsidP="00C64D38">
      <w:pPr>
        <w:jc w:val="both"/>
        <w:rPr>
          <w:rFonts w:cs="Times New Roman"/>
          <w:b/>
          <w:szCs w:val="24"/>
        </w:rPr>
      </w:pPr>
    </w:p>
    <w:p w:rsidR="00C64D38" w:rsidRDefault="00C64D38" w:rsidP="00C64D38">
      <w:pPr>
        <w:jc w:val="both"/>
        <w:rPr>
          <w:rFonts w:cs="Times New Roman"/>
          <w:b/>
          <w:szCs w:val="24"/>
        </w:rPr>
      </w:pPr>
      <w:r>
        <w:rPr>
          <w:rFonts w:cs="Times New Roman"/>
          <w:b/>
          <w:szCs w:val="24"/>
        </w:rPr>
        <w:t>Overview of Dataset</w:t>
      </w:r>
    </w:p>
    <w:p w:rsidR="00C64D38" w:rsidRDefault="00C64D38" w:rsidP="00C64D38">
      <w:pPr>
        <w:ind w:firstLine="720"/>
      </w:pPr>
      <w:r>
        <w:t xml:space="preserve">Analyzing the genomes of uncultured microbes can provide insight into the potential metabolic functions of those organisms. 205 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CheckM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Pr="00B02B07">
        <w:rPr>
          <w:highlight w:val="yellow"/>
        </w:rPr>
        <w:t xml:space="preserve"> (supp table).</w:t>
      </w:r>
      <w:r>
        <w:t xml:space="preserve"> Of the 205 MAGs, 102 were recovered from Lake Mendota, 31 were recovered from the epilimnion of Trout Bog, and 69 were recovered from the hypolimnion of Trout Bog. Several MAGs in the epilimnion and hypolimnion of Trout Bog appeared to be from the same population based on high average nucleotide identities </w:t>
      </w:r>
      <w:r w:rsidRPr="00B02B07">
        <w:rPr>
          <w:highlight w:val="yellow"/>
        </w:rPr>
        <w:t>(supp table).</w:t>
      </w:r>
      <w:r>
        <w:t xml:space="preserve"> The phylogenetic distribution of MAGs was consistent with the classifications of 16S ribosomal rRNA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rsidR="00C64D38" w:rsidRDefault="00C64D38" w:rsidP="00C64D38"/>
    <w:p w:rsidR="00C64D38" w:rsidRDefault="00C64D38" w:rsidP="00C64D38">
      <w:r>
        <w:t>&lt;Fig 1a Barchart of MAG phyla&gt;</w:t>
      </w:r>
    </w:p>
    <w:p w:rsidR="00C64D38" w:rsidRDefault="00C64D38" w:rsidP="00C64D38">
      <w:r>
        <w:t>&lt;Fig 2b Barchart of 16S phyla&gt;</w:t>
      </w:r>
    </w:p>
    <w:p w:rsidR="00C64D38" w:rsidRPr="00186D63" w:rsidRDefault="00C64D38" w:rsidP="00C64D38">
      <w:pPr>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rRNA ribosomal amplicon sequencing (B). </w:t>
      </w:r>
    </w:p>
    <w:p w:rsidR="00C64D38" w:rsidRPr="00C64D38" w:rsidRDefault="00C64D38" w:rsidP="00C64D38">
      <w:pPr>
        <w:pStyle w:val="Heading2"/>
        <w:rPr>
          <w:rFonts w:ascii="Times New Roman" w:hAnsi="Times New Roman" w:cs="Times New Roman"/>
          <w:color w:val="auto"/>
          <w:sz w:val="28"/>
          <w:szCs w:val="28"/>
        </w:rPr>
      </w:pPr>
      <w:r w:rsidRPr="00C64D38">
        <w:rPr>
          <w:rFonts w:ascii="Times New Roman" w:hAnsi="Times New Roman" w:cs="Times New Roman"/>
          <w:color w:val="auto"/>
          <w:sz w:val="28"/>
          <w:szCs w:val="28"/>
        </w:rPr>
        <w:lastRenderedPageBreak/>
        <w:t>Photosynthesis and Carbon Fixation</w:t>
      </w:r>
    </w:p>
    <w:p w:rsidR="00C64D38" w:rsidRDefault="00C64D38" w:rsidP="00C64D38"/>
    <w:p w:rsidR="00C64D38" w:rsidRDefault="00C64D38" w:rsidP="00C64D38">
      <w:r>
        <w:rPr>
          <w:noProof/>
        </w:rPr>
        <w:drawing>
          <wp:inline distT="0" distB="0" distL="0" distR="0">
            <wp:extent cx="5366385" cy="6848475"/>
            <wp:effectExtent l="0" t="0" r="5715" b="952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rotWithShape="1">
                    <a:blip r:embed="rId4">
                      <a:extLst>
                        <a:ext uri="{28A0092B-C50C-407E-A947-70E740481C1C}">
                          <a14:useLocalDpi xmlns:a14="http://schemas.microsoft.com/office/drawing/2010/main" val="0"/>
                        </a:ext>
                      </a:extLst>
                    </a:blip>
                    <a:srcRect b="16782"/>
                    <a:stretch/>
                  </pic:blipFill>
                  <pic:spPr bwMode="auto">
                    <a:xfrm>
                      <a:off x="0" y="0"/>
                      <a:ext cx="5366385" cy="6848475"/>
                    </a:xfrm>
                    <a:prstGeom prst="rect">
                      <a:avLst/>
                    </a:prstGeom>
                    <a:ln>
                      <a:noFill/>
                    </a:ln>
                    <a:extLst>
                      <a:ext uri="{53640926-AAD7-44D8-BBD7-CCE9431645EC}">
                        <a14:shadowObscured xmlns:a14="http://schemas.microsoft.com/office/drawing/2010/main"/>
                      </a:ext>
                    </a:extLst>
                  </pic:spPr>
                </pic:pic>
              </a:graphicData>
            </a:graphic>
          </wp:inline>
        </w:drawing>
      </w:r>
    </w:p>
    <w:p w:rsidR="00C64D38" w:rsidRDefault="00C64D38" w:rsidP="00C64D38">
      <w:r>
        <w:rPr>
          <w:b/>
        </w:rPr>
        <w:t xml:space="preserve">Fig 2. Carbon degradation in Mendota vs Trout Bog. </w:t>
      </w:r>
    </w:p>
    <w:p w:rsidR="00C64D38" w:rsidRDefault="00C64D38" w:rsidP="00C64D38"/>
    <w:p w:rsidR="00C64D38" w:rsidRDefault="00C64D38" w:rsidP="00C64D38">
      <w:pPr>
        <w:jc w:val="both"/>
        <w:rPr>
          <w:rFonts w:cs="Times New Roman"/>
          <w:szCs w:val="24"/>
        </w:rPr>
      </w:pPr>
      <w:r>
        <w:rPr>
          <w:rFonts w:cs="Times New Roman"/>
          <w:b/>
          <w:noProof/>
          <w:szCs w:val="24"/>
        </w:rPr>
        <w:lastRenderedPageBreak/>
        <w:drawing>
          <wp:anchor distT="0" distB="0" distL="114300" distR="114300" simplePos="0" relativeHeight="251658240" behindDoc="1" locked="0" layoutInCell="1" allowOverlap="1">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5">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r>
        <w:rPr>
          <w:rFonts w:cs="Times New Roman"/>
          <w:i/>
          <w:szCs w:val="24"/>
        </w:rPr>
        <w:t xml:space="preserve">Methylococcaceae </w:t>
      </w:r>
      <w:r>
        <w:rPr>
          <w:rFonts w:cs="Times New Roman"/>
          <w:szCs w:val="24"/>
        </w:rPr>
        <w:t xml:space="preserve">and </w:t>
      </w:r>
      <w:r>
        <w:rPr>
          <w:rFonts w:cs="Times New Roman"/>
          <w:i/>
          <w:szCs w:val="24"/>
        </w:rPr>
        <w:t xml:space="preserve">Methylotenera </w:t>
      </w:r>
      <w:r>
        <w:rPr>
          <w:rFonts w:cs="Times New Roman"/>
          <w:szCs w:val="24"/>
        </w:rPr>
        <w:t xml:space="preserve">are taxa capable of methylotrophy in both Lake Mendota and Trout Bog. </w:t>
      </w:r>
    </w:p>
    <w:p w:rsidR="00C64D38" w:rsidRDefault="00C64D38" w:rsidP="00C64D38">
      <w:pPr>
        <w:jc w:val="both"/>
        <w:rPr>
          <w:rFonts w:cs="Times New Roman"/>
          <w:szCs w:val="24"/>
        </w:rPr>
      </w:pPr>
    </w:p>
    <w:p w:rsidR="00C64D38" w:rsidRDefault="00C64D38" w:rsidP="00D00FD2">
      <w:pPr>
        <w:pStyle w:val="Heading1"/>
      </w:pPr>
      <w:r>
        <w:rPr>
          <w:noProof/>
        </w:rPr>
        <w:lastRenderedPageBreak/>
        <w:drawing>
          <wp:anchor distT="0" distB="0" distL="114300" distR="114300" simplePos="0" relativeHeight="251659264" behindDoc="1" locked="0" layoutInCell="1" allowOverlap="1">
            <wp:simplePos x="0" y="0"/>
            <wp:positionH relativeFrom="page">
              <wp:align>left</wp:align>
            </wp:positionH>
            <wp:positionV relativeFrom="paragraph">
              <wp:posOffset>292735</wp:posOffset>
            </wp:positionV>
            <wp:extent cx="7717465" cy="2552700"/>
            <wp:effectExtent l="0" t="0" r="0" b="0"/>
            <wp:wrapTight wrapText="bothSides">
              <wp:wrapPolygon edited="0">
                <wp:start x="0" y="0"/>
                <wp:lineTo x="0" y="21439"/>
                <wp:lineTo x="21541" y="21439"/>
                <wp:lineTo x="21541"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trogen_quantification.png"/>
                    <pic:cNvPicPr/>
                  </pic:nvPicPr>
                  <pic:blipFill>
                    <a:blip r:embed="rId6">
                      <a:extLst>
                        <a:ext uri="{28A0092B-C50C-407E-A947-70E740481C1C}">
                          <a14:useLocalDpi xmlns:a14="http://schemas.microsoft.com/office/drawing/2010/main" val="0"/>
                        </a:ext>
                      </a:extLst>
                    </a:blip>
                    <a:stretch>
                      <a:fillRect/>
                    </a:stretch>
                  </pic:blipFill>
                  <pic:spPr>
                    <a:xfrm>
                      <a:off x="0" y="0"/>
                      <a:ext cx="7717465" cy="2552700"/>
                    </a:xfrm>
                    <a:prstGeom prst="rect">
                      <a:avLst/>
                    </a:prstGeom>
                  </pic:spPr>
                </pic:pic>
              </a:graphicData>
            </a:graphic>
            <wp14:sizeRelH relativeFrom="page">
              <wp14:pctWidth>0</wp14:pctWidth>
            </wp14:sizeRelH>
            <wp14:sizeRelV relativeFrom="page">
              <wp14:pctHeight>0</wp14:pctHeight>
            </wp14:sizeRelV>
          </wp:anchor>
        </w:drawing>
      </w:r>
      <w:r>
        <w:t>Nitrogen Cycling</w:t>
      </w:r>
    </w:p>
    <w:p w:rsidR="00C64D38" w:rsidRPr="00E74029" w:rsidRDefault="00D00FD2" w:rsidP="00C64D38">
      <w:pPr>
        <w:jc w:val="both"/>
        <w:rPr>
          <w:rFonts w:cs="Times New Roman"/>
          <w:b/>
          <w:szCs w:val="24"/>
        </w:rPr>
      </w:pPr>
      <w:r>
        <w:rPr>
          <w:rFonts w:cs="Times New Roman"/>
          <w:b/>
          <w:noProof/>
          <w:szCs w:val="24"/>
        </w:rPr>
        <w:lastRenderedPageBreak/>
        <w:drawing>
          <wp:inline distT="0" distB="0" distL="0" distR="0">
            <wp:extent cx="5943600" cy="4648200"/>
            <wp:effectExtent l="0" t="0" r="0" b="0"/>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2tree_w_phyl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p w:rsidR="00D00FD2" w:rsidRPr="00D00FD2" w:rsidRDefault="00D00FD2" w:rsidP="00C64D38">
      <w:pPr>
        <w:jc w:val="both"/>
        <w:rPr>
          <w:rFonts w:cs="Times New Roman"/>
          <w:szCs w:val="24"/>
        </w:rPr>
      </w:pPr>
      <w:r>
        <w:rPr>
          <w:rFonts w:cs="Times New Roman"/>
          <w:b/>
          <w:szCs w:val="24"/>
        </w:rPr>
        <w:t xml:space="preserve">Fig 3. Nitrogen cycling in Trout Bog vs Mendota. </w:t>
      </w:r>
      <w:r>
        <w:rPr>
          <w:rFonts w:cs="Times New Roman"/>
          <w:szCs w:val="24"/>
        </w:rPr>
        <w:t>A) Number of marker genes for nitrogen cycling metabolisms in each lake B) Phylogeny of nitrogen fixers by lake</w:t>
      </w:r>
    </w:p>
    <w:p w:rsidR="00D00FD2" w:rsidRDefault="00D00FD2" w:rsidP="00C64D38">
      <w:pPr>
        <w:jc w:val="both"/>
        <w:rPr>
          <w:rFonts w:cs="Times New Roman"/>
          <w:b/>
          <w:szCs w:val="24"/>
        </w:rPr>
      </w:pPr>
    </w:p>
    <w:p w:rsidR="00C64D38" w:rsidRPr="00E74029" w:rsidRDefault="00C64D38" w:rsidP="00D00FD2">
      <w:pPr>
        <w:pStyle w:val="Heading1"/>
      </w:pPr>
      <w:r>
        <w:t>Sulfur Cycling</w:t>
      </w:r>
    </w:p>
    <w:p w:rsidR="00C64D38" w:rsidRDefault="00C64D38" w:rsidP="00C64D38">
      <w:pPr>
        <w:jc w:val="both"/>
        <w:rPr>
          <w:rFonts w:cs="Times New Roman"/>
          <w:szCs w:val="24"/>
        </w:rPr>
      </w:pPr>
    </w:p>
    <w:p w:rsidR="00C64D38" w:rsidRPr="00C64D38" w:rsidRDefault="00C64D38" w:rsidP="00C64D38"/>
    <w:p w:rsidR="00BE484D" w:rsidRDefault="00BE484D" w:rsidP="00BE484D">
      <w:pPr>
        <w:pStyle w:val="Heading1"/>
      </w:pPr>
      <w:r>
        <w:t>Unusual microbes</w:t>
      </w:r>
    </w:p>
    <w:p w:rsidR="00F513F6" w:rsidRDefault="00F513F6"/>
    <w:p w:rsidR="00364AC2" w:rsidRDefault="00364AC2"/>
    <w:p w:rsidR="00364AC2" w:rsidRDefault="00364AC2"/>
    <w:p w:rsidR="00364AC2" w:rsidRDefault="00364AC2"/>
    <w:p w:rsidR="00364AC2" w:rsidRDefault="00364AC2"/>
    <w:p w:rsidR="00364AC2" w:rsidRDefault="00364AC2">
      <w:r>
        <w:rPr>
          <w:noProof/>
        </w:rPr>
        <w:lastRenderedPageBreak/>
        <w:drawing>
          <wp:anchor distT="0" distB="0" distL="114300" distR="114300" simplePos="0" relativeHeight="251660288" behindDoc="1" locked="0" layoutInCell="1" allowOverlap="1">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8">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rsidR="00364AC2" w:rsidRDefault="00364AC2"/>
    <w:p w:rsidR="00364AC2" w:rsidRDefault="00364AC2"/>
    <w:p w:rsidR="00364AC2" w:rsidRDefault="00364AC2"/>
    <w:p w:rsidR="00364AC2" w:rsidRDefault="00364AC2"/>
    <w:p w:rsidR="00364AC2" w:rsidRDefault="00364AC2"/>
    <w:p w:rsidR="00364AC2" w:rsidRPr="006E5897" w:rsidRDefault="00364AC2" w:rsidP="00364AC2">
      <w:pPr>
        <w:jc w:val="both"/>
        <w:rPr>
          <w:noProof/>
        </w:rPr>
      </w:pPr>
      <w:r>
        <w:rPr>
          <w:b/>
          <w:noProof/>
        </w:rPr>
        <w:t xml:space="preserve">Figure 6B. Proposed functions of Planctomycetes in freshwater. </w:t>
      </w:r>
      <w:r>
        <w:rPr>
          <w:noProof/>
        </w:rPr>
        <w:t>Observation of genes annotated as glycoside hydrolases and sulfatases suggest a role for Planctomycetes as polysaccharide degraders</w:t>
      </w:r>
      <w:bookmarkStart w:id="0" w:name="_GoBack"/>
      <w:bookmarkEnd w:id="0"/>
      <w:r>
        <w:rPr>
          <w:noProof/>
        </w:rPr>
        <w:t xml:space="preserve">. </w:t>
      </w:r>
    </w:p>
    <w:p w:rsidR="00364AC2" w:rsidRDefault="00364AC2" w:rsidP="00364AC2"/>
    <w:sectPr w:rsidR="0036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364AC2"/>
    <w:rsid w:val="004B510D"/>
    <w:rsid w:val="00576C40"/>
    <w:rsid w:val="00BE484D"/>
    <w:rsid w:val="00C64D38"/>
    <w:rsid w:val="00D00FD2"/>
    <w:rsid w:val="00DF5B3C"/>
    <w:rsid w:val="00F5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CE2E"/>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64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64D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2017-10-13T18:20:00Z</dcterms:created>
  <dcterms:modified xsi:type="dcterms:W3CDTF">2017-10-13T23:47:00Z</dcterms:modified>
</cp:coreProperties>
</file>