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Alexandra M. Linz, Shaomei He, Samuel Schmitz, Sarah Stevens, Rex R. Malmstrom, Robin R. Rohwer, Joshua J. Hamilton, Karthik Anantharaman, Tijana Glavina del Rio, Stefan Bertilsson,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humic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xml:space="preserve">. However, many metagenomics-based studies take a gene-centric approach to investigating microbial functions. In this study, we use metagenome-assembled genomes (MAGs) to compare microbial functions between two lakes </w:t>
      </w:r>
      <w:r w:rsidR="00242EB5">
        <w:lastRenderedPageBreak/>
        <w:t>of different trophic statuses with an organism-centric approach instead. Analyzing genomes rather than genes provides better insight into the ecological roles of specific microbes within freshwater communities.</w:t>
      </w:r>
    </w:p>
    <w:p w14:paraId="24EF6CB0" w14:textId="18CA984A"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allochthonous carbon,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humic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118B288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CheckM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rRNA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&lt;Fig 1a Barchart of MAG phyla&gt;</w:t>
      </w:r>
    </w:p>
    <w:p w14:paraId="4FB78EFE" w14:textId="188E8318" w:rsidR="00C64D38" w:rsidRDefault="0028221F" w:rsidP="004A6010">
      <w:pPr>
        <w:spacing w:line="360" w:lineRule="auto"/>
        <w:jc w:val="both"/>
      </w:pPr>
      <w:r>
        <w:t>&lt;Fig 1</w:t>
      </w:r>
      <w:r w:rsidR="00C64D38">
        <w:t>b Barchart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 (A) reflect the community composition observed via 16S rRNA ribosomal amplicon sequencing (</w:t>
      </w:r>
      <w:commentRangeStart w:id="0"/>
      <w:r>
        <w:rPr>
          <w:rFonts w:cs="Times New Roman"/>
          <w:szCs w:val="24"/>
        </w:rPr>
        <w:t>B</w:t>
      </w:r>
      <w:commentRangeEnd w:id="0"/>
      <w:r w:rsidR="0028221F">
        <w:rPr>
          <w:rStyle w:val="CommentReference"/>
        </w:rPr>
        <w:commentReference w:id="0"/>
      </w:r>
      <w:r>
        <w:rPr>
          <w:rFonts w:cs="Times New Roman"/>
          <w:szCs w:val="24"/>
        </w:rPr>
        <w:t xml:space="preserve">). </w:t>
      </w:r>
    </w:p>
    <w:p w14:paraId="18A8258E" w14:textId="31A60BA3" w:rsidR="00C64D38" w:rsidRPr="00C64D38" w:rsidRDefault="00C64D38" w:rsidP="004A6010">
      <w:pPr>
        <w:pStyle w:val="Heading2"/>
        <w:spacing w:line="360" w:lineRule="auto"/>
      </w:pPr>
      <w:r w:rsidRPr="00C64D38">
        <w:t>Photosynthesis</w:t>
      </w:r>
    </w:p>
    <w:p w14:paraId="05B570B6" w14:textId="7C3230CA"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the majority of photoautotrophs in the dataset. These populations contained genes encoding enzymes in the Calvin-Benson-Bassham (CBB) pathway. In Trout Bog, genomes appearing to be from photoautotrophic organisms were classified as </w:t>
      </w:r>
      <w:r w:rsidR="00DB0C6F">
        <w:rPr>
          <w:i/>
        </w:rPr>
        <w:t xml:space="preserve">Chlorobium </w:t>
      </w:r>
      <w:r w:rsidR="00DB0C6F">
        <w:rPr>
          <w:i/>
        </w:rPr>
        <w:lastRenderedPageBreak/>
        <w:t>clathratiforme</w:t>
      </w:r>
      <w:r w:rsidR="00DB0C6F">
        <w:t xml:space="preserve">, a species of Chlorobiales widespread in humic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t>suggesting the presence of</w:t>
      </w:r>
      <w:r w:rsidR="007615B7">
        <w:t xml:space="preserve"> the CBB pathway, t</w:t>
      </w:r>
      <w:r w:rsidR="00DB0C6F">
        <w:t xml:space="preserve">he Chlorobiales MAGs in Trout Bog contained genes encoding citrate lyase and other  key enzymes in the reductive TCA cycle, an alternative carbon fixation method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photoautrophs contained genes potentially encoding nitrogen fixation as well. </w:t>
      </w:r>
      <w:r w:rsidR="00DB0C6F">
        <w:t>The primary producers Cyanobacteria and Chlorobiales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525C109A" w:rsidR="00DB0C6F" w:rsidRDefault="00153C67" w:rsidP="000A1F9F">
      <w:pPr>
        <w:spacing w:line="360" w:lineRule="auto"/>
        <w:ind w:firstLine="720"/>
        <w:jc w:val="both"/>
      </w:pPr>
      <w:r>
        <w:t>The potential for photoheterotrophy via</w:t>
      </w:r>
      <w:r w:rsidR="00F17423">
        <w:t xml:space="preserve"> anoxygenic</w:t>
      </w:r>
      <w:r>
        <w:t xml:space="preserve"> aerobic</w:t>
      </w:r>
      <w:r w:rsidR="00F17423">
        <w:t xml:space="preserve"> photosynthesis w</w:t>
      </w:r>
      <w:r>
        <w:t>as</w:t>
      </w:r>
      <w:r w:rsidR="00F17423">
        <w:t xml:space="preserve"> identified in several MAGs from both lakes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Proteobacteria, particularly Burkholderiales, most often contained the marker genes for this process, although these genes were not shared broadly across the phylum. A MAG of Acidobacteria from the Trout Bog epilimnion also contained genes suggesting </w:t>
      </w:r>
      <w:r w:rsidR="000A1F9F">
        <w:t xml:space="preserve">anoxygenic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rhodopsins. </w:t>
      </w:r>
      <w:r w:rsidR="000A1F9F">
        <w:t>We observed genes encoding rhodopsins in MAGs from both lakes, but particularly in MAGs from Lake Mendota classified as Actinobacteria and Bacteroidetes.</w:t>
      </w:r>
      <w:r w:rsidR="00F17423">
        <w:t xml:space="preserve"> </w:t>
      </w:r>
      <w:r w:rsidR="000A1F9F">
        <w:t>These MAGs and their potential rhodopsins are</w:t>
      </w:r>
      <w:r w:rsidR="00F17423">
        <w:t xml:space="preserve"> the subject of further study </w:t>
      </w:r>
      <w:r w:rsidR="00F17423" w:rsidRPr="003F7341">
        <w:rPr>
          <w:highlight w:val="yellow"/>
        </w:rPr>
        <w:t>(cite Shaomei’s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09932F07"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w:t>
      </w:r>
      <w:r w:rsidR="00705F64">
        <w:lastRenderedPageBreak/>
        <w:t xml:space="preserve">absent in MAGs classified as Tenericutes in Lake Mendota and in unclassified MAGs in the hypolimnion of Trout Bog. Genes encoding enzymes in the glyoxylate cycle, a variant of the TCA cycle that is used to produce biosynthetic intermediates when glucose is not available, were </w:t>
      </w:r>
      <w:r w:rsidR="007A25BD">
        <w:t xml:space="preserve">observed </w:t>
      </w:r>
      <w:r w:rsidR="00705F64">
        <w:t xml:space="preserve">in </w:t>
      </w:r>
      <w:r w:rsidR="007A25BD">
        <w:t xml:space="preserve">Chlamydiae in Lake Mendota, Acidobacteria in Trout Bog, and in some Proteobacteria in both lakes. The pentose phosphate pathway, both oxidative and non-oxidative phases, was found in MAGs from most phyla. </w:t>
      </w:r>
    </w:p>
    <w:p w14:paraId="41D9466D" w14:textId="7B5901E1"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A57D83">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E. coli </w:t>
      </w:r>
      <w:r w:rsidR="00084F23" w:rsidRPr="00084F23">
        <w:rPr>
          <w:highlight w:val="yellow"/>
        </w:rPr>
        <w:t>(cite from MetaCyc)</w:t>
      </w:r>
      <w:r w:rsidR="00084F23">
        <w:t>. Genes encoding the degradation of rhamnose and fucose, whose pathways converge to enter glycolysis and produce pyruvate, were frequently found within the same MAGs (including members of Planctomycetes and Verrucomicrobia in Lake Mendota, and members of Bacteroidetes, Ignavibacteria, and Verrucomicrobia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A57D83" w:rsidRPr="00A57D83">
        <w:rPr>
          <w:highlight w:val="yellow"/>
        </w:rPr>
        <w:t>(cite)</w:t>
      </w:r>
      <w:r w:rsidR="00A57D83">
        <w:t xml:space="preserve">; this was confirmed in our MAGs, with Bacteroidetes, Planctomycetes, and Verrucomicrobia in Lake Mendota and Bacteroidetes and Verrucomicrobia in Trout Bog as additional potential xylose degraders. Genes for the degradation of glycolate, a compound produced by algae </w:t>
      </w:r>
      <w:r w:rsidR="00A57D83" w:rsidRPr="00A57D83">
        <w:rPr>
          <w:highlight w:val="yellow"/>
        </w:rPr>
        <w:t>(cite Paver),</w:t>
      </w:r>
      <w:r w:rsidR="00A57D83">
        <w:t xml:space="preserve"> were identified in Cyanobacteria and Proteobacteria in Lake Mendota and in Acidobacteria, Proteobacteria, and Verrucomicrobia in Trout Bog. </w:t>
      </w:r>
    </w:p>
    <w:p w14:paraId="674EA36F" w14:textId="715CE5B3" w:rsidR="00A57D83" w:rsidRDefault="00A57D83" w:rsidP="00A57D8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Methylophilales, while MAGs from Methylococcales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7F1A1E">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known as methylotrophs. These included MAGs classified as Burkholderiales, Rhizobiales, and Nitrosomonadales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7F1A1E">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10AC3197" w14:textId="3B0835C7" w:rsidR="00206C7B" w:rsidRDefault="007F1A1E" w:rsidP="007F1A1E">
      <w:pPr>
        <w:pStyle w:val="Heading2"/>
      </w:pPr>
      <w:r>
        <w:t>Complex Carbon Degradation</w:t>
      </w:r>
    </w:p>
    <w:p w14:paraId="13D7E72D" w14:textId="3C779F71" w:rsidR="00206C7B" w:rsidRDefault="00AA676C" w:rsidP="007F1A1E">
      <w:pPr>
        <w:spacing w:line="360" w:lineRule="auto"/>
        <w:rPr>
          <w:rFonts w:cs="Times New Roman"/>
          <w:szCs w:val="24"/>
        </w:rPr>
      </w:pPr>
      <w:r>
        <w:tab/>
        <w:t xml:space="preserve">Biopolymers in freshwater can be autochthonous (ex. algal polysaccharides) or allocthonous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glucoside hydrolases, enzymes that break bonds attached to carbohydrates. </w:t>
      </w:r>
      <w:r w:rsidR="000E1E18">
        <w:rPr>
          <w:rFonts w:cs="Times New Roman"/>
          <w:szCs w:val="24"/>
        </w:rPr>
        <w:t xml:space="preserve">A previous study of Verrucomicrobia MAGs from our dataset found that the profiles of glucoside hydrolases differed between Lake Mendota and Trout Bog, potentially reflecting the differences in autochthonous and allochthonous carbon sources </w:t>
      </w:r>
      <w:r w:rsidR="000E1E18">
        <w:rPr>
          <w:rFonts w:cs="Times New Roman"/>
          <w:szCs w:val="24"/>
        </w:rPr>
        <w:fldChar w:fldCharType="begin" w:fldLock="1"/>
      </w:r>
      <w:r w:rsidR="000E1E18">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glucoside hydrolases to the entire dataset to identify differences in complex carbon degradation between lakes.</w:t>
      </w:r>
    </w:p>
    <w:p w14:paraId="542C9315" w14:textId="5F760770" w:rsidR="004E0516" w:rsidRPr="000A1F9F" w:rsidRDefault="004E0516" w:rsidP="007F1A1E">
      <w:pPr>
        <w:spacing w:line="360" w:lineRule="auto"/>
      </w:pPr>
      <w:r>
        <w:tab/>
        <w:t>The coding density of glucoside hydrolases – the percentage of coding regions in a MAG annotated as a glucoside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Bacteroidales, Ignavibacteriales, Sphingobacteriales, and Verrucomicrobiales in the Trout Bog hypolimnion. The last two of those orders also contained MAGs with glucoside hydrolases in Lake Mendota and the Trout Bog epilimnion, but the others did not. There were several orders with glucoside hydrolases unique to Lake Mendota, including Mycoplasmatales (Tenericutes), Cytophagales (Bacteroidetes), </w:t>
      </w:r>
      <w:r w:rsidR="00CB1014">
        <w:t>Planctomycetales (Planctomycetes), and Puniceicoccales (Verrucomicrobia). In accordance with their ability to breakdown biopolymers to sugars, these MAGs from both lakes also contain putative degradation pathways for a variety of sugars (Fig. 2). The diversity of glucoside hydrolases, an indicator of the number of substrates an organism can degrade, correlated with density.</w:t>
      </w:r>
    </w:p>
    <w:p w14:paraId="13F6DC07" w14:textId="5E313930" w:rsidR="00222B88" w:rsidRDefault="005E24DA" w:rsidP="00BF3B0E">
      <w:pPr>
        <w:spacing w:line="360" w:lineRule="auto"/>
        <w:ind w:firstLine="720"/>
        <w:jc w:val="both"/>
        <w:rPr>
          <w:rFonts w:cs="Times New Roman"/>
          <w:szCs w:val="24"/>
        </w:rPr>
      </w:pPr>
      <w:r>
        <w:rPr>
          <w:rFonts w:cs="Times New Roman"/>
          <w:szCs w:val="24"/>
        </w:rPr>
        <w:t xml:space="preserve">Several glucoside hydrolase families were abundant in Lake Mendota and in both layers of Trout Bog. </w:t>
      </w:r>
      <w:r w:rsidR="00E54A3A">
        <w:rPr>
          <w:rFonts w:cs="Times New Roman"/>
          <w:szCs w:val="24"/>
        </w:rPr>
        <w:t>Starting with the most abundant, these included GH109 (degrades cell walls and lipopolysaccharidies), GH74 (degrades glucose chains such as cellulose, starch, and glycogen), and GH23 (chitinase).</w:t>
      </w:r>
      <w:r w:rsidR="008F5749">
        <w:rPr>
          <w:rFonts w:cs="Times New Roman"/>
          <w:szCs w:val="24"/>
        </w:rPr>
        <w:t xml:space="preserve"> </w:t>
      </w:r>
      <w:r w:rsidR="00E71475">
        <w:rPr>
          <w:rFonts w:cs="Times New Roman"/>
          <w:szCs w:val="24"/>
        </w:rPr>
        <w:t xml:space="preserve">While the most abundant glucoside hydrolases were similar between lakes, </w:t>
      </w:r>
      <w:r w:rsidR="00E71475">
        <w:rPr>
          <w:rFonts w:cs="Times New Roman"/>
          <w:szCs w:val="24"/>
        </w:rPr>
        <w:lastRenderedPageBreak/>
        <w:t>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glucoside hydrolases. Lake Mendota contained unique glucoside hydrolases belonging to the family GH13 (specifically subfamilies 2, 5, and 21), which contain enzymes related to cellulose degradation. The only unique glucoside hydrolase in the Trout Bog epilimnion was GH62, </w:t>
      </w:r>
      <w:r w:rsidR="00E8497A">
        <w:rPr>
          <w:rFonts w:cs="Times New Roman"/>
          <w:szCs w:val="24"/>
        </w:rPr>
        <w:t>a family of arabinofuranosidases. The hypolimnion contained many more unique enzymes than Lake Mendota or the epilimnion of Trout Bog, the most abundant of which were GH129 and GH89 (a-N-acetylgalactosaminidase), GH43_12 (arabinanases, arabinofur</w:t>
      </w:r>
      <w:r w:rsidR="004A78B2">
        <w:rPr>
          <w:rFonts w:cs="Times New Roman"/>
          <w:szCs w:val="24"/>
        </w:rPr>
        <w:t>a</w:t>
      </w:r>
      <w:r w:rsidR="00E8497A">
        <w:rPr>
          <w:rFonts w:cs="Times New Roman"/>
          <w:szCs w:val="24"/>
        </w:rPr>
        <w:t>nosidases, and xylosidases), GH44</w:t>
      </w:r>
      <w:r w:rsidR="004A78B2">
        <w:rPr>
          <w:rFonts w:cs="Times New Roman"/>
          <w:szCs w:val="24"/>
        </w:rPr>
        <w:t xml:space="preserve"> (breakdown</w:t>
      </w:r>
      <w:r w:rsidR="00E8497A">
        <w:rPr>
          <w:rFonts w:cs="Times New Roman"/>
          <w:szCs w:val="24"/>
        </w:rPr>
        <w:t xml:space="preserve"> of long polysaccharides and oligomers), GH66 (dextranases and glucanotransferases), and GH67 (alpha-glucuronidase). </w:t>
      </w:r>
    </w:p>
    <w:p w14:paraId="04DBABFD" w14:textId="5B279F13" w:rsidR="00C64D38" w:rsidRDefault="004A78B2" w:rsidP="004A6010">
      <w:pPr>
        <w:spacing w:line="360" w:lineRule="auto"/>
        <w:jc w:val="both"/>
      </w:pPr>
      <w:r>
        <w:rPr>
          <w:rFonts w:cs="Times New Roman"/>
          <w:szCs w:val="24"/>
        </w:rPr>
        <w:tab/>
        <w:t>The increased density and diversity of gl</w:t>
      </w:r>
      <w:r w:rsidR="0060026A">
        <w:rPr>
          <w:rFonts w:cs="Times New Roman"/>
          <w:szCs w:val="24"/>
        </w:rPr>
        <w:t>ucoside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epilimnia. However, the taxonomic profile of MAGs containing glucoside hydrolases differed by lake and layer, even when the profiles of glucoside hydrolases themselves were more similar.</w:t>
      </w:r>
    </w:p>
    <w:p w14:paraId="7A61B911" w14:textId="28E36631" w:rsidR="00C64D38" w:rsidRDefault="00C02EA1" w:rsidP="004A6010">
      <w:pPr>
        <w:spacing w:line="360" w:lineRule="auto"/>
        <w:jc w:val="both"/>
      </w:pPr>
      <w:r>
        <w:rPr>
          <w:noProof/>
        </w:rPr>
        <w:lastRenderedPageBreak/>
        <w:drawing>
          <wp:anchor distT="0" distB="0" distL="114300" distR="114300" simplePos="0" relativeHeight="251664384" behindDoc="1" locked="0" layoutInCell="1" allowOverlap="1" wp14:anchorId="36D42EDB" wp14:editId="381EDF36">
            <wp:simplePos x="0" y="0"/>
            <wp:positionH relativeFrom="column">
              <wp:posOffset>-323850</wp:posOffset>
            </wp:positionH>
            <wp:positionV relativeFrom="paragraph">
              <wp:posOffset>174</wp:posOffset>
            </wp:positionV>
            <wp:extent cx="7049770" cy="6299541"/>
            <wp:effectExtent l="0" t="0" r="0" b="6350"/>
            <wp:wrapTight wrapText="bothSides">
              <wp:wrapPolygon edited="0">
                <wp:start x="0" y="0"/>
                <wp:lineTo x="0" y="21556"/>
                <wp:lineTo x="21538" y="21556"/>
                <wp:lineTo x="21538"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7">
                      <a:extLst>
                        <a:ext uri="{28A0092B-C50C-407E-A947-70E740481C1C}">
                          <a14:useLocalDpi xmlns:a14="http://schemas.microsoft.com/office/drawing/2010/main" val="0"/>
                        </a:ext>
                      </a:extLst>
                    </a:blip>
                    <a:srcRect l="1965" t="4397" r="1124" b="34375"/>
                    <a:stretch/>
                  </pic:blipFill>
                  <pic:spPr bwMode="auto">
                    <a:xfrm>
                      <a:off x="0" y="0"/>
                      <a:ext cx="7056825" cy="6305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cycling between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190F50EC" w14:textId="598FB0D8" w:rsidR="00C64D38" w:rsidRDefault="00C64D38" w:rsidP="004A6010">
      <w:pPr>
        <w:spacing w:line="360" w:lineRule="auto"/>
        <w:jc w:val="both"/>
        <w:rPr>
          <w:rFonts w:cs="Times New Roman"/>
          <w:szCs w:val="24"/>
        </w:rPr>
      </w:pPr>
    </w:p>
    <w:p w14:paraId="78803A96" w14:textId="79533E32" w:rsidR="00EF418D" w:rsidRDefault="00CD786A" w:rsidP="00EF418D">
      <w:pPr>
        <w:pStyle w:val="Heading2"/>
      </w:pPr>
      <w:r>
        <w:lastRenderedPageBreak/>
        <w:t>Carbohydrate Active Enzymes</w:t>
      </w:r>
    </w:p>
    <w:p w14:paraId="130AE7F5" w14:textId="00C316CA" w:rsidR="00CD786A" w:rsidRPr="003F7145" w:rsidRDefault="0034414A" w:rsidP="00CD786A">
      <w:r>
        <w:rPr>
          <w:noProof/>
        </w:rPr>
        <w:drawing>
          <wp:anchor distT="0" distB="0" distL="114300" distR="114300" simplePos="0" relativeHeight="251665408" behindDoc="0" locked="0" layoutInCell="1" allowOverlap="1" wp14:anchorId="6ECFC93D" wp14:editId="7820F7C7">
            <wp:simplePos x="0" y="0"/>
            <wp:positionH relativeFrom="margin">
              <wp:posOffset>741680</wp:posOffset>
            </wp:positionH>
            <wp:positionV relativeFrom="paragraph">
              <wp:posOffset>290195</wp:posOffset>
            </wp:positionV>
            <wp:extent cx="4505960" cy="5295900"/>
            <wp:effectExtent l="0" t="0" r="8890" b="0"/>
            <wp:wrapTopAndBottom/>
            <wp:docPr id="3" name="Picture 3"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inkscape.png"/>
                    <pic:cNvPicPr/>
                  </pic:nvPicPr>
                  <pic:blipFill>
                    <a:blip r:embed="rId8">
                      <a:extLst>
                        <a:ext uri="{28A0092B-C50C-407E-A947-70E740481C1C}">
                          <a14:useLocalDpi xmlns:a14="http://schemas.microsoft.com/office/drawing/2010/main" val="0"/>
                        </a:ext>
                      </a:extLst>
                    </a:blip>
                    <a:stretch>
                      <a:fillRect/>
                    </a:stretch>
                  </pic:blipFill>
                  <pic:spPr>
                    <a:xfrm>
                      <a:off x="0" y="0"/>
                      <a:ext cx="4505960" cy="5295900"/>
                    </a:xfrm>
                    <a:prstGeom prst="rect">
                      <a:avLst/>
                    </a:prstGeom>
                  </pic:spPr>
                </pic:pic>
              </a:graphicData>
            </a:graphic>
            <wp14:sizeRelH relativeFrom="page">
              <wp14:pctWidth>0</wp14:pctWidth>
            </wp14:sizeRelH>
            <wp14:sizeRelV relativeFrom="page">
              <wp14:pctHeight>0</wp14:pctHeight>
            </wp14:sizeRelV>
          </wp:anchor>
        </w:drawing>
      </w:r>
      <w:r w:rsidR="00CD786A">
        <w:t>Shaomei’s Verruco paper suggests we’ll see far more glucoside hydrolases in Trout Bog than in Lake Mendota. Planctomyces in Lake Mendota had many GHs, though. Move that here and eliminate unusual microbes section?</w:t>
      </w:r>
    </w:p>
    <w:p w14:paraId="1BC0F44A" w14:textId="2C507DAC" w:rsidR="00CD786A" w:rsidRPr="00CD786A" w:rsidRDefault="00CD786A" w:rsidP="00CD786A"/>
    <w:p w14:paraId="14A80647" w14:textId="56EF43EC" w:rsidR="00F26AFE" w:rsidRPr="00F26AFE" w:rsidRDefault="00C64D38" w:rsidP="004A6010">
      <w:pPr>
        <w:pStyle w:val="Heading2"/>
        <w:spacing w:line="360" w:lineRule="auto"/>
      </w:pPr>
      <w:r>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 xml:space="preserve">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w:t>
      </w:r>
      <w:r>
        <w:rPr>
          <w:rFonts w:cs="Times New Roman"/>
          <w:szCs w:val="24"/>
        </w:rPr>
        <w:lastRenderedPageBreak/>
        <w:t>this nitrogen is quickly incorporated into biomass and is not always readily available to microbes. Because of these different nitrogen regimes, we expected to see differences in the nitrogen metabolisms of Trout Bog vs Lake Mendota.</w:t>
      </w:r>
    </w:p>
    <w:p w14:paraId="12D08766" w14:textId="554FF158" w:rsidR="00D43B03" w:rsidRDefault="00D43B03" w:rsidP="00D11FC2">
      <w:pPr>
        <w:spacing w:line="360" w:lineRule="auto"/>
        <w:ind w:firstLine="720"/>
        <w:jc w:val="both"/>
        <w:rPr>
          <w:rFonts w:cs="Times New Roman"/>
          <w:szCs w:val="24"/>
        </w:rPr>
      </w:pPr>
      <w:r>
        <w:rPr>
          <w:rFonts w:cs="Times New Roman"/>
          <w:szCs w:val="24"/>
        </w:rPr>
        <w:t xml:space="preserve">Properties of genomes themselves may provide information about nitrogen limitation. We observed a bias in MAGs from Trout Bog towards encoding amino acids with less nitrogen compared to MAGs from Lake Mendota using a Wilcoxon rank sum test (p = 0.02). This suggests that bacteria in Trout Bog have lower nitrogen requirements than bacteria in Lake Mendota. </w:t>
      </w:r>
      <w:r w:rsidRPr="00D43B03">
        <w:rPr>
          <w:rFonts w:cs="Times New Roman"/>
          <w:szCs w:val="24"/>
          <w:highlight w:val="yellow"/>
        </w:rPr>
        <w:t>(How does this compare to marine systems? Cite Chisholm).</w:t>
      </w:r>
      <w:r>
        <w:rPr>
          <w:rFonts w:cs="Times New Roman"/>
          <w:szCs w:val="24"/>
        </w:rPr>
        <w:t xml:space="preserve"> GC content and estimated genome size, other potential indicators of nitrogen limitation,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77777777"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w:t>
      </w:r>
      <w:r w:rsidR="00ED6B89">
        <w:rPr>
          <w:rFonts w:cs="Times New Roman"/>
          <w:szCs w:val="24"/>
        </w:rPr>
        <w:t xml:space="preserve">consistent with </w:t>
      </w:r>
      <w:r w:rsidR="00ED6B89">
        <w:rPr>
          <w:rFonts w:cs="Times New Roman"/>
          <w:szCs w:val="24"/>
        </w:rPr>
        <w:t>research</w:t>
      </w:r>
      <w:r w:rsidR="00ED6B89">
        <w:rPr>
          <w:rFonts w:cs="Times New Roman"/>
          <w:szCs w:val="24"/>
        </w:rPr>
        <w:t xml:space="preserve"> where urea was found to be a significant nitrogen source for freshwater bacteria, particularly in epilimnia </w:t>
      </w:r>
      <w:r w:rsidR="00ED6B89">
        <w:rPr>
          <w:rFonts w:cs="Times New Roman"/>
          <w:szCs w:val="24"/>
        </w:rPr>
        <w:fldChar w:fldCharType="begin" w:fldLock="1"/>
      </w:r>
      <w:r w:rsidR="00ED6B89">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ED6B89">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w:t>
      </w:r>
      <w:r w:rsidR="00ED6B89">
        <w:rPr>
          <w:rFonts w:cs="Times New Roman"/>
          <w:szCs w:val="24"/>
        </w:rPr>
        <w:t xml:space="preserve"> </w:t>
      </w:r>
    </w:p>
    <w:p w14:paraId="0D057C22" w14:textId="52CD67A0"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D71A65">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Verrucomicrobia, Chlorobi, and Bacteroidetes.</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w:t>
      </w:r>
      <w:r>
        <w:rPr>
          <w:rFonts w:cs="Times New Roman"/>
          <w:szCs w:val="24"/>
        </w:rPr>
        <w:lastRenderedPageBreak/>
        <w:t xml:space="preserve">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68F45DBD" w14:textId="137D361B" w:rsidR="003318E6" w:rsidRDefault="004C0F8F" w:rsidP="004A6010">
      <w:pPr>
        <w:spacing w:line="360" w:lineRule="auto"/>
        <w:jc w:val="both"/>
        <w:rPr>
          <w:rFonts w:cs="Times New Roman"/>
          <w:szCs w:val="24"/>
        </w:rPr>
      </w:pPr>
      <w:r>
        <w:rPr>
          <w:rFonts w:cs="Times New Roman"/>
          <w:noProof/>
          <w:szCs w:val="24"/>
        </w:rPr>
        <w:lastRenderedPageBreak/>
        <w:drawing>
          <wp:anchor distT="0" distB="0" distL="114300" distR="114300" simplePos="0" relativeHeight="251666432" behindDoc="0" locked="0" layoutInCell="1" allowOverlap="1" wp14:anchorId="4B02DD86" wp14:editId="509B12D5">
            <wp:simplePos x="0" y="0"/>
            <wp:positionH relativeFrom="column">
              <wp:posOffset>104775</wp:posOffset>
            </wp:positionH>
            <wp:positionV relativeFrom="paragraph">
              <wp:posOffset>0</wp:posOffset>
            </wp:positionV>
            <wp:extent cx="6132830" cy="76384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_inkscape.png"/>
                    <pic:cNvPicPr/>
                  </pic:nvPicPr>
                  <pic:blipFill rotWithShape="1">
                    <a:blip r:embed="rId9">
                      <a:extLst>
                        <a:ext uri="{28A0092B-C50C-407E-A947-70E740481C1C}">
                          <a14:useLocalDpi xmlns:a14="http://schemas.microsoft.com/office/drawing/2010/main" val="0"/>
                        </a:ext>
                      </a:extLst>
                    </a:blip>
                    <a:srcRect l="11783"/>
                    <a:stretch/>
                  </pic:blipFill>
                  <pic:spPr bwMode="auto">
                    <a:xfrm>
                      <a:off x="0" y="0"/>
                      <a:ext cx="6132830" cy="7638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77C985" w14:textId="2F9E493C" w:rsidR="00F26AFE" w:rsidRPr="00F26AFE" w:rsidRDefault="00F26AFE" w:rsidP="004A6010">
      <w:pPr>
        <w:tabs>
          <w:tab w:val="left" w:pos="1395"/>
        </w:tabs>
        <w:spacing w:line="360" w:lineRule="auto"/>
        <w:jc w:val="both"/>
      </w:pPr>
    </w:p>
    <w:p w14:paraId="44EEAD1C" w14:textId="3C373CB5" w:rsidR="00C64D38" w:rsidRPr="00687196" w:rsidRDefault="00687196" w:rsidP="004A6010">
      <w:pPr>
        <w:spacing w:line="360" w:lineRule="auto"/>
        <w:jc w:val="both"/>
      </w:pPr>
      <w:r>
        <w:rPr>
          <w:b/>
        </w:rPr>
        <w:lastRenderedPageBreak/>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frequently than nitrate reductases in both lakes, but this difference was more pronounced in Lake 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bookmarkStart w:id="1" w:name="_GoBack"/>
      <w:bookmarkEnd w:id="1"/>
    </w:p>
    <w:p w14:paraId="16B63A7A" w14:textId="7008AA70" w:rsidR="007B5D3B" w:rsidRDefault="008A5CFA" w:rsidP="004A6010">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We found that, as with carbon cycling, the identity and numbers of genes associated with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Genes for sulfur cycling were identified in diverse MAGs in both lakes.</w:t>
      </w:r>
    </w:p>
    <w:p w14:paraId="7ED3359A" w14:textId="1B2BD8C2" w:rsidR="00C64D38" w:rsidRPr="00C64D38" w:rsidRDefault="00C64D38" w:rsidP="004A6010">
      <w:pPr>
        <w:spacing w:line="360" w:lineRule="auto"/>
        <w:jc w:val="both"/>
      </w:pPr>
    </w:p>
    <w:p w14:paraId="40F2661C" w14:textId="4CBED862" w:rsidR="003F7145" w:rsidRPr="003F7145" w:rsidRDefault="00AE05E6" w:rsidP="00CD786A">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r w:rsidR="003F7145">
        <w:tab/>
      </w:r>
    </w:p>
    <w:p w14:paraId="6EE8AFB2" w14:textId="18A7286D" w:rsidR="00364AC2" w:rsidRDefault="00364AC2" w:rsidP="004A6010">
      <w:pPr>
        <w:spacing w:line="360" w:lineRule="auto"/>
        <w:jc w:val="both"/>
      </w:pP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lastRenderedPageBreak/>
        <w:t>Add section on # read mapping back to each MAG across the time series</w:t>
      </w:r>
    </w:p>
    <w:p w14:paraId="3153BA81" w14:textId="5261C21F" w:rsidR="003F7145" w:rsidRDefault="003F7145" w:rsidP="003F7145">
      <w:r>
        <w:t>This is something Shaomei’s reviewers wanted. Don’t need an in depth analysis –</w:t>
      </w:r>
      <w:r w:rsidR="00CD786A">
        <w:t xml:space="preserve"> </w:t>
      </w:r>
      <w:r>
        <w:t>just classify as abundant vs rare, persistent vs variable. Will map as soon as Gluster on CHTC is back up and running.</w:t>
      </w:r>
    </w:p>
    <w:p w14:paraId="2BC59BF2" w14:textId="4A77BD2F" w:rsidR="00CD786A" w:rsidRPr="003F7145" w:rsidRDefault="00CD786A" w:rsidP="003F7145">
      <w:r>
        <w:t>Use SQUID instead if file sizes are below 1GB?</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Elusimicrobiales,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metatranscriptomics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lastRenderedPageBreak/>
        <w:t xml:space="preserve">Herlemann, D P R et al. 2009. “Genomic Analysis of ‘ Elusimicrobium Minutum ,’ the First Cultivated Representative of the Phylum ‘ Elusimicrobia ’ ( Formerly Termite Group 1 ).” </w:t>
      </w:r>
      <w:r w:rsidRPr="00EF418D">
        <w:rPr>
          <w:rFonts w:cs="Times New Roman"/>
          <w:i/>
          <w:iCs/>
          <w:noProof/>
          <w:szCs w:val="24"/>
        </w:rPr>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w:t>
      </w:r>
      <w:r w:rsidRPr="00EF418D">
        <w:rPr>
          <w:rFonts w:cs="Times New Roman"/>
          <w:noProof/>
          <w:szCs w:val="24"/>
        </w:rPr>
        <w:lastRenderedPageBreak/>
        <w:t xml:space="preserve">“The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1–12. 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a Linz" w:date="2017-10-27T12:39:00Z" w:initials="AL">
    <w:p w14:paraId="790C759C" w14:textId="6CB2D3E2" w:rsidR="004E0516" w:rsidRDefault="004E0516">
      <w:pPr>
        <w:pStyle w:val="CommentText"/>
      </w:pPr>
      <w:r>
        <w:rPr>
          <w:rStyle w:val="CommentReference"/>
        </w:rPr>
        <w:annotationRef/>
      </w:r>
      <w:r>
        <w:t>Add %reads mapped to each MAG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84F23"/>
    <w:rsid w:val="00096680"/>
    <w:rsid w:val="000A1F9F"/>
    <w:rsid w:val="000B240E"/>
    <w:rsid w:val="000E1E18"/>
    <w:rsid w:val="00153C67"/>
    <w:rsid w:val="00194180"/>
    <w:rsid w:val="0020406E"/>
    <w:rsid w:val="00206C7B"/>
    <w:rsid w:val="00222B88"/>
    <w:rsid w:val="00242EB5"/>
    <w:rsid w:val="00266869"/>
    <w:rsid w:val="0028221F"/>
    <w:rsid w:val="002B3736"/>
    <w:rsid w:val="002C1146"/>
    <w:rsid w:val="002F5E38"/>
    <w:rsid w:val="003318E6"/>
    <w:rsid w:val="0034414A"/>
    <w:rsid w:val="00363484"/>
    <w:rsid w:val="00364AC2"/>
    <w:rsid w:val="0038091D"/>
    <w:rsid w:val="00393F1B"/>
    <w:rsid w:val="003D1F63"/>
    <w:rsid w:val="003F2F8C"/>
    <w:rsid w:val="003F7145"/>
    <w:rsid w:val="00401ACA"/>
    <w:rsid w:val="004138AB"/>
    <w:rsid w:val="0041614F"/>
    <w:rsid w:val="00487299"/>
    <w:rsid w:val="004A6010"/>
    <w:rsid w:val="004A78B2"/>
    <w:rsid w:val="004B510D"/>
    <w:rsid w:val="004C0F8F"/>
    <w:rsid w:val="004E0516"/>
    <w:rsid w:val="004F1920"/>
    <w:rsid w:val="00501404"/>
    <w:rsid w:val="005705CE"/>
    <w:rsid w:val="00576C40"/>
    <w:rsid w:val="005965AE"/>
    <w:rsid w:val="005A5527"/>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82A50"/>
    <w:rsid w:val="00990D17"/>
    <w:rsid w:val="009F65A4"/>
    <w:rsid w:val="00A37C26"/>
    <w:rsid w:val="00A57D83"/>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AF5C-2103-4C93-A1F4-B089C0D3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18</Pages>
  <Words>11095</Words>
  <Characters>63247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14</cp:revision>
  <dcterms:created xsi:type="dcterms:W3CDTF">2017-12-09T17:38:00Z</dcterms:created>
  <dcterms:modified xsi:type="dcterms:W3CDTF">2017-12-17T21:49:00Z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