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xml:space="preserve">. However, many metagenomics-based studies take a gene-centric approach to investigating microbial functions. In this study, we use metagenome-assembled genomes (MAGs) to compare microbial functions between two lakes </w:t>
      </w:r>
      <w:r w:rsidR="00242EB5">
        <w:lastRenderedPageBreak/>
        <w:t>of different trophic statuses with an organism-centric approach instead. Analyzing genomes rather than genes provides better insight into the ecological roles of specific microbes within freshwater communities.</w:t>
      </w:r>
    </w:p>
    <w:p w14:paraId="24EF6CB0" w14:textId="18CA984A"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allochthonous carbon,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118B288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0"/>
      <w:r>
        <w:rPr>
          <w:rFonts w:cs="Times New Roman"/>
          <w:szCs w:val="24"/>
        </w:rPr>
        <w:t>B</w:t>
      </w:r>
      <w:commentRangeEnd w:id="0"/>
      <w:r w:rsidR="0028221F">
        <w:rPr>
          <w:rStyle w:val="CommentReference"/>
        </w:rPr>
        <w:commentReference w:id="0"/>
      </w:r>
      <w:r>
        <w:rPr>
          <w:rFonts w:cs="Times New Roman"/>
          <w:szCs w:val="24"/>
        </w:rPr>
        <w:t xml:space="preserve">). </w:t>
      </w:r>
    </w:p>
    <w:p w14:paraId="18A8258E" w14:textId="31A60BA3" w:rsidR="00C64D38" w:rsidRPr="00C64D38" w:rsidRDefault="00C64D38" w:rsidP="004A6010">
      <w:pPr>
        <w:pStyle w:val="Heading2"/>
        <w:spacing w:line="360" w:lineRule="auto"/>
      </w:pPr>
      <w:r w:rsidRPr="00C64D38">
        <w:t>Photosynthesis</w:t>
      </w:r>
    </w:p>
    <w:p w14:paraId="05B570B6" w14:textId="7C3230CA"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lastRenderedPageBreak/>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 TCA cycle, an alternative carbon fixation method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w:t>
      </w:r>
      <w:proofErr w:type="spellStart"/>
      <w:r w:rsidR="00153C67">
        <w:t>photoautrophs</w:t>
      </w:r>
      <w:proofErr w:type="spellEnd"/>
      <w:r w:rsidR="00153C67">
        <w:t xml:space="preserve"> contained genes potentially encoding nitrogen fixation as well. </w:t>
      </w:r>
      <w:r w:rsidR="00DB0C6F">
        <w:t xml:space="preserve">The primary producers Cyanobacteria and </w:t>
      </w:r>
      <w:proofErr w:type="spellStart"/>
      <w:r w:rsidR="00DB0C6F">
        <w:t>Chlorobiales</w:t>
      </w:r>
      <w:proofErr w:type="spellEnd"/>
      <w:r w:rsidR="00DB0C6F">
        <w:t xml:space="preserve">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525C109A" w:rsidR="00DB0C6F" w:rsidRDefault="00153C67" w:rsidP="000A1F9F">
      <w:pPr>
        <w:spacing w:line="360" w:lineRule="auto"/>
        <w:ind w:firstLine="720"/>
        <w:jc w:val="both"/>
      </w:pPr>
      <w:r>
        <w:t>The potential for photoheterotrophy via</w:t>
      </w:r>
      <w:r w:rsidR="00F17423">
        <w:t xml:space="preserve"> </w:t>
      </w:r>
      <w:proofErr w:type="spellStart"/>
      <w:r w:rsidR="00F17423">
        <w:t>anoxygenic</w:t>
      </w:r>
      <w:proofErr w:type="spellEnd"/>
      <w:r>
        <w:t xml:space="preserve"> aerobic</w:t>
      </w:r>
      <w:r w:rsidR="00F17423">
        <w:t xml:space="preserve"> photosynthesis w</w:t>
      </w:r>
      <w:r>
        <w:t>as</w:t>
      </w:r>
      <w:r w:rsidR="00F17423">
        <w:t xml:space="preserve"> identified in several MAGs from both lakes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Proteobacteria, particularly </w:t>
      </w:r>
      <w:proofErr w:type="spellStart"/>
      <w:r>
        <w:t>Burkholderiales</w:t>
      </w:r>
      <w:proofErr w:type="spellEnd"/>
      <w:r>
        <w:t xml:space="preserve">, most often contained the marker genes for this process, although these genes were not shared broadly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particularly in MAGs from Lake Mendota classified as Actinobacteria and Bacteroidetes.</w:t>
      </w:r>
      <w:r w:rsidR="00F17423">
        <w:t xml:space="preserve"> </w:t>
      </w:r>
      <w:r w:rsidR="000A1F9F">
        <w:t xml:space="preserve">These MAGs and their potential </w:t>
      </w:r>
      <w:proofErr w:type="spellStart"/>
      <w:r w:rsidR="000A1F9F">
        <w:t>rhodopsins</w:t>
      </w:r>
      <w:proofErr w:type="spellEnd"/>
      <w:r w:rsidR="000A1F9F">
        <w:t xml:space="preserve"> are</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EC0B47E"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proofErr w:type="spellStart"/>
      <w:r w:rsidR="00705F64">
        <w:t>tricarboxylyic</w:t>
      </w:r>
      <w:proofErr w:type="spellEnd"/>
      <w:r w:rsidR="00705F64">
        <w:t xml:space="preserve"> acid (TCA), arguably the most central pathway in bacteria, was notably absent in </w:t>
      </w:r>
      <w:r w:rsidR="00705F64">
        <w:lastRenderedPageBreak/>
        <w:t xml:space="preserve">MAGs classified as </w:t>
      </w:r>
      <w:proofErr w:type="spellStart"/>
      <w:r w:rsidR="00705F64">
        <w:t>Tenericutes</w:t>
      </w:r>
      <w:proofErr w:type="spellEnd"/>
      <w:r w:rsidR="00705F64">
        <w:t xml:space="preserve"> in Lake Mendota and in unclassified MAGs in the hypolimnion of Trout Bog. 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7B5901E1"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A57D83">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E. coli </w:t>
      </w:r>
      <w:r w:rsidR="00084F23" w:rsidRPr="00084F23">
        <w:rPr>
          <w:highlight w:val="yellow"/>
        </w:rPr>
        <w:t xml:space="preserve">(cite from </w:t>
      </w:r>
      <w:proofErr w:type="spellStart"/>
      <w:r w:rsidR="00084F23" w:rsidRPr="00084F23">
        <w:rPr>
          <w:highlight w:val="yellow"/>
        </w:rPr>
        <w:t>MetaCyc</w:t>
      </w:r>
      <w:proofErr w:type="spellEnd"/>
      <w:r w:rsidR="00084F23" w:rsidRPr="00084F23">
        <w:rPr>
          <w:highlight w:val="yellow"/>
        </w:rPr>
        <w:t>)</w:t>
      </w:r>
      <w:r w:rsidR="00084F23">
        <w:t xml:space="preserve">. 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A57D83" w:rsidRPr="00A57D83">
        <w:rPr>
          <w:highlight w:val="yellow"/>
        </w:rPr>
        <w:t>(cite)</w:t>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 compound produced by algae </w:t>
      </w:r>
      <w:r w:rsidR="00A57D83" w:rsidRPr="00A57D83">
        <w:rPr>
          <w:highlight w:val="yellow"/>
        </w:rPr>
        <w:t>(cite Paver),</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674EA36F" w14:textId="715CE5B3" w:rsidR="00A57D83" w:rsidRDefault="00A57D83" w:rsidP="00A57D8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7F1A1E">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7F1A1E">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10AC3197" w14:textId="3B0835C7" w:rsidR="00206C7B" w:rsidRDefault="007F1A1E" w:rsidP="007F1A1E">
      <w:pPr>
        <w:pStyle w:val="Heading2"/>
      </w:pPr>
      <w:r>
        <w:t>Complex Carbon Degradation</w:t>
      </w:r>
    </w:p>
    <w:p w14:paraId="13D7E72D" w14:textId="3C779F71" w:rsidR="00206C7B" w:rsidRDefault="00AA676C" w:rsidP="007F1A1E">
      <w:pPr>
        <w:spacing w:line="360" w:lineRule="auto"/>
        <w:rPr>
          <w:rFonts w:cs="Times New Roman"/>
          <w:szCs w:val="24"/>
        </w:rPr>
      </w:pPr>
      <w:r>
        <w:tab/>
        <w:t xml:space="preserve">Biopolymers in freshwater can be autochthonous (ex. algal polysaccharides) or </w:t>
      </w:r>
      <w:proofErr w:type="spellStart"/>
      <w:r>
        <w:t>allocthonous</w:t>
      </w:r>
      <w:proofErr w:type="spellEnd"/>
      <w:r>
        <w:t xml:space="preserve">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glucoside hydrolases, enzymes that break bonds attached to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glucoside hydrolases differed between Lake Mendota and Trout Bog, potentially reflecting the differences in autochthonous and allochthonous carbon sources </w:t>
      </w:r>
      <w:r w:rsidR="000E1E18">
        <w:rPr>
          <w:rFonts w:cs="Times New Roman"/>
          <w:szCs w:val="24"/>
        </w:rPr>
        <w:fldChar w:fldCharType="begin" w:fldLock="1"/>
      </w:r>
      <w:r w:rsidR="000E1E18">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glucoside hydrolases to the entire dataset to identify differences in complex carbon degradation between lakes.</w:t>
      </w:r>
    </w:p>
    <w:p w14:paraId="542C9315" w14:textId="5F760770" w:rsidR="004E0516" w:rsidRPr="000A1F9F" w:rsidRDefault="004E0516" w:rsidP="007F1A1E">
      <w:pPr>
        <w:spacing w:line="360" w:lineRule="auto"/>
      </w:pPr>
      <w:r>
        <w:tab/>
        <w:t>The coding density of glucoside hydrolases – the percentage of coding regions in a MAG annotated as a glucoside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glucoside hydrolases in Lake Mendota and the Trout Bog epilimnion, but the others did not. There were several orders with glucoside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In accordance with their ability to breakdown biopolymers to sugars, these MAGs from both lakes also contain putative degradation pathways for a variety of sugars (Fig. 2). The diversity of glucoside hydrolases, an indicator of the number of substrates an organism can degrade, correlated with density.</w:t>
      </w:r>
    </w:p>
    <w:p w14:paraId="13F6DC07" w14:textId="6BA2ED5C" w:rsidR="00222B88" w:rsidRDefault="005E24DA" w:rsidP="00BF3B0E">
      <w:pPr>
        <w:spacing w:line="360" w:lineRule="auto"/>
        <w:ind w:firstLine="720"/>
        <w:jc w:val="both"/>
        <w:rPr>
          <w:rFonts w:cs="Times New Roman"/>
          <w:szCs w:val="24"/>
        </w:rPr>
      </w:pPr>
      <w:r>
        <w:rPr>
          <w:rFonts w:cs="Times New Roman"/>
          <w:szCs w:val="24"/>
        </w:rPr>
        <w:t xml:space="preserve">Several glucoside hydrolase families were abundant in Lake Mendota and in both layers of Trout Bog. </w:t>
      </w:r>
      <w:r w:rsidR="00E54A3A">
        <w:rPr>
          <w:rFonts w:cs="Times New Roman"/>
          <w:szCs w:val="24"/>
        </w:rPr>
        <w:t xml:space="preserve">Starting with the most abundant, these included GH109 (degrades cell walls and </w:t>
      </w:r>
      <w:proofErr w:type="spellStart"/>
      <w:r w:rsidR="00E54A3A">
        <w:rPr>
          <w:rFonts w:cs="Times New Roman"/>
          <w:szCs w:val="24"/>
        </w:rPr>
        <w:t>lipopolysaccharidies</w:t>
      </w:r>
      <w:proofErr w:type="spellEnd"/>
      <w:r w:rsidR="00E54A3A">
        <w:rPr>
          <w:rFonts w:cs="Times New Roman"/>
          <w:szCs w:val="24"/>
        </w:rPr>
        <w:t>), GH74 (degrades glucose chains such as cellulose, starch, and glycogen), and GH23 (</w:t>
      </w:r>
      <w:proofErr w:type="spellStart"/>
      <w:r w:rsidR="00E54A3A">
        <w:rPr>
          <w:rFonts w:cs="Times New Roman"/>
          <w:szCs w:val="24"/>
        </w:rPr>
        <w:t>chitinase</w:t>
      </w:r>
      <w:proofErr w:type="spellEnd"/>
      <w:r w:rsidR="00E54A3A">
        <w:rPr>
          <w:rFonts w:cs="Times New Roman"/>
          <w:szCs w:val="24"/>
        </w:rPr>
        <w:t>).</w:t>
      </w:r>
    </w:p>
    <w:p w14:paraId="6478E53F" w14:textId="6729A92A" w:rsidR="00887063" w:rsidRDefault="00887063" w:rsidP="00BF3B0E">
      <w:pPr>
        <w:spacing w:line="360" w:lineRule="auto"/>
        <w:ind w:firstLine="720"/>
        <w:jc w:val="both"/>
        <w:rPr>
          <w:rFonts w:cs="Times New Roman"/>
          <w:szCs w:val="24"/>
        </w:rPr>
      </w:pPr>
      <w:r>
        <w:rPr>
          <w:rFonts w:cs="Times New Roman"/>
          <w:szCs w:val="24"/>
        </w:rPr>
        <w:lastRenderedPageBreak/>
        <w:t>Next: GHs in high density groups</w:t>
      </w:r>
      <w:bookmarkStart w:id="1" w:name="_GoBack"/>
      <w:bookmarkEnd w:id="1"/>
    </w:p>
    <w:p w14:paraId="04DBABFD" w14:textId="77777777" w:rsidR="00C64D38" w:rsidRDefault="00C64D38" w:rsidP="004A6010">
      <w:pPr>
        <w:spacing w:line="360" w:lineRule="auto"/>
        <w:jc w:val="both"/>
      </w:pPr>
    </w:p>
    <w:p w14:paraId="7A61B911" w14:textId="28E36631" w:rsidR="00C64D38" w:rsidRDefault="00C02EA1" w:rsidP="004A6010">
      <w:pPr>
        <w:spacing w:line="360" w:lineRule="auto"/>
        <w:jc w:val="both"/>
      </w:pPr>
      <w:r>
        <w:rPr>
          <w:noProof/>
        </w:rPr>
        <w:drawing>
          <wp:anchor distT="0" distB="0" distL="114300" distR="114300" simplePos="0" relativeHeight="251664384" behindDoc="1" locked="0" layoutInCell="1" allowOverlap="1" wp14:anchorId="36D42EDB" wp14:editId="381EDF36">
            <wp:simplePos x="0" y="0"/>
            <wp:positionH relativeFrom="column">
              <wp:posOffset>-323850</wp:posOffset>
            </wp:positionH>
            <wp:positionV relativeFrom="paragraph">
              <wp:posOffset>174</wp:posOffset>
            </wp:positionV>
            <wp:extent cx="7049770" cy="6299541"/>
            <wp:effectExtent l="0" t="0" r="0" b="6350"/>
            <wp:wrapTight wrapText="bothSides">
              <wp:wrapPolygon edited="0">
                <wp:start x="0" y="0"/>
                <wp:lineTo x="0" y="21556"/>
                <wp:lineTo x="21538" y="21556"/>
                <wp:lineTo x="21538"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8">
                      <a:extLst>
                        <a:ext uri="{28A0092B-C50C-407E-A947-70E740481C1C}">
                          <a14:useLocalDpi xmlns:a14="http://schemas.microsoft.com/office/drawing/2010/main" val="0"/>
                        </a:ext>
                      </a:extLst>
                    </a:blip>
                    <a:srcRect l="1965" t="4397" r="1124" b="34375"/>
                    <a:stretch/>
                  </pic:blipFill>
                  <pic:spPr bwMode="auto">
                    <a:xfrm>
                      <a:off x="0" y="0"/>
                      <a:ext cx="7056825" cy="6305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between the two lakes was largely similar, with a few key differences. Carbon fixation is carried out by different taxa </w:t>
      </w:r>
      <w:r w:rsidR="00C12FD2">
        <w:lastRenderedPageBreak/>
        <w:t>with different pathways</w:t>
      </w:r>
      <w:r w:rsidR="00E8160D">
        <w:t>. MAGs from Trout Bog tend to over more genes encoding enzymes in galactose metabolism than those from Lake Mendota.</w:t>
      </w:r>
    </w:p>
    <w:p w14:paraId="190F50EC" w14:textId="598FB0D8" w:rsidR="00C64D38" w:rsidRDefault="00C64D38" w:rsidP="004A6010">
      <w:pPr>
        <w:spacing w:line="360" w:lineRule="auto"/>
        <w:jc w:val="both"/>
        <w:rPr>
          <w:rFonts w:cs="Times New Roman"/>
          <w:szCs w:val="24"/>
        </w:rPr>
      </w:pPr>
    </w:p>
    <w:p w14:paraId="78803A96" w14:textId="79533E32" w:rsidR="00EF418D" w:rsidRDefault="00CD786A" w:rsidP="00EF418D">
      <w:pPr>
        <w:pStyle w:val="Heading2"/>
      </w:pPr>
      <w:r>
        <w:t>Carbohydrate Active Enzymes</w:t>
      </w:r>
    </w:p>
    <w:p w14:paraId="130AE7F5" w14:textId="00C316CA" w:rsidR="00CD786A" w:rsidRPr="003F7145" w:rsidRDefault="0034414A" w:rsidP="00CD786A">
      <w:r>
        <w:rPr>
          <w:noProof/>
        </w:rPr>
        <w:drawing>
          <wp:anchor distT="0" distB="0" distL="114300" distR="114300" simplePos="0" relativeHeight="251665408" behindDoc="0" locked="0" layoutInCell="1" allowOverlap="1" wp14:anchorId="6ECFC93D" wp14:editId="7820F7C7">
            <wp:simplePos x="0" y="0"/>
            <wp:positionH relativeFrom="margin">
              <wp:posOffset>741680</wp:posOffset>
            </wp:positionH>
            <wp:positionV relativeFrom="paragraph">
              <wp:posOffset>290195</wp:posOffset>
            </wp:positionV>
            <wp:extent cx="4505960" cy="5295900"/>
            <wp:effectExtent l="0" t="0" r="8890" b="0"/>
            <wp:wrapTopAndBottom/>
            <wp:docPr id="3" name="Picture 3"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inkscape.png"/>
                    <pic:cNvPicPr/>
                  </pic:nvPicPr>
                  <pic:blipFill>
                    <a:blip r:embed="rId9">
                      <a:extLst>
                        <a:ext uri="{28A0092B-C50C-407E-A947-70E740481C1C}">
                          <a14:useLocalDpi xmlns:a14="http://schemas.microsoft.com/office/drawing/2010/main" val="0"/>
                        </a:ext>
                      </a:extLst>
                    </a:blip>
                    <a:stretch>
                      <a:fillRect/>
                    </a:stretch>
                  </pic:blipFill>
                  <pic:spPr>
                    <a:xfrm>
                      <a:off x="0" y="0"/>
                      <a:ext cx="4505960" cy="52959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D786A">
        <w:t>Shaomei’s</w:t>
      </w:r>
      <w:proofErr w:type="spellEnd"/>
      <w:r w:rsidR="00CD786A">
        <w:t xml:space="preserve"> </w:t>
      </w:r>
      <w:proofErr w:type="spellStart"/>
      <w:r w:rsidR="00CD786A">
        <w:t>Verruco</w:t>
      </w:r>
      <w:proofErr w:type="spellEnd"/>
      <w:r w:rsidR="00CD786A">
        <w:t xml:space="preserve"> paper suggests we’ll see far more glucoside hydrolases in Trout Bog than in Lake Mendota. </w:t>
      </w:r>
      <w:proofErr w:type="spellStart"/>
      <w:r w:rsidR="00CD786A">
        <w:t>Planctomyces</w:t>
      </w:r>
      <w:proofErr w:type="spellEnd"/>
      <w:r w:rsidR="00CD786A">
        <w:t xml:space="preserve"> in Lake Mendota had many GHs, though. Move that here and eliminate unusual microbes section?</w:t>
      </w:r>
    </w:p>
    <w:p w14:paraId="1BC0F44A" w14:textId="2C507DAC" w:rsidR="00CD786A" w:rsidRPr="00CD786A" w:rsidRDefault="00CD786A" w:rsidP="00CD786A"/>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lastRenderedPageBreak/>
        <w:t xml:space="preserve">While carbon cycling was relatively similar between lakes, the drastically </w:t>
      </w:r>
      <w:commentRangeStart w:id="2"/>
      <w:r>
        <w:rPr>
          <w:rFonts w:cs="Times New Roman"/>
          <w:szCs w:val="24"/>
        </w:rPr>
        <w:t>different</w:t>
      </w:r>
      <w:commentRangeEnd w:id="2"/>
      <w:r w:rsidR="00DF606D">
        <w:rPr>
          <w:rStyle w:val="CommentReference"/>
        </w:rPr>
        <w:commentReference w:id="2"/>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 xml:space="preserve">One likely </w:t>
      </w:r>
      <w:r w:rsidR="00363484">
        <w:rPr>
          <w:rFonts w:cs="Times New Roman"/>
          <w:szCs w:val="24"/>
        </w:rPr>
        <w:lastRenderedPageBreak/>
        <w:t>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10">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3"/>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4"/>
      <w:r>
        <w:t>Lake</w:t>
      </w:r>
      <w:commentRangeEnd w:id="4"/>
      <w:r w:rsidR="00990D17">
        <w:rPr>
          <w:rStyle w:val="CommentReference"/>
        </w:rPr>
        <w:commentReference w:id="4"/>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1">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5"/>
      <w:r>
        <w:rPr>
          <w:rFonts w:cs="Times New Roman"/>
          <w:szCs w:val="24"/>
        </w:rPr>
        <w:t>lakes</w:t>
      </w:r>
      <w:commentRangeEnd w:id="5"/>
      <w:r w:rsidR="000178B6">
        <w:rPr>
          <w:rStyle w:val="CommentReference"/>
        </w:rPr>
        <w:commentReference w:id="5"/>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2">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2661C" w14:textId="4CBED862" w:rsidR="003F7145" w:rsidRPr="003F7145" w:rsidRDefault="00AE05E6" w:rsidP="00CD786A">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w:t>
      </w:r>
      <w:commentRangeStart w:id="6"/>
      <w:r w:rsidR="004A6010">
        <w:t>Mendota</w:t>
      </w:r>
      <w:commentRangeEnd w:id="6"/>
      <w:r w:rsidR="003F7145">
        <w:rPr>
          <w:rStyle w:val="CommentReference"/>
        </w:rPr>
        <w:commentReference w:id="6"/>
      </w:r>
      <w:r w:rsidR="004A6010">
        <w:t>.</w:t>
      </w:r>
      <w:r w:rsidR="003F7145">
        <w:tab/>
      </w:r>
    </w:p>
    <w:p w14:paraId="6EE8AFB2" w14:textId="18A7286D" w:rsidR="00364AC2" w:rsidRDefault="00364AC2" w:rsidP="004A6010">
      <w:pPr>
        <w:spacing w:line="360" w:lineRule="auto"/>
        <w:jc w:val="both"/>
      </w:pP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3153BA81" w14:textId="5261C21F" w:rsidR="003F7145" w:rsidRDefault="003F7145" w:rsidP="003F7145">
      <w:r>
        <w:lastRenderedPageBreak/>
        <w:t xml:space="preserve">This is something </w:t>
      </w:r>
      <w:proofErr w:type="spellStart"/>
      <w:r>
        <w:t>Shaomei’s</w:t>
      </w:r>
      <w:proofErr w:type="spellEnd"/>
      <w:r>
        <w:t xml:space="preserve"> reviewers wanted. Don’t need an in depth analysis –</w:t>
      </w:r>
      <w:r w:rsidR="00CD786A">
        <w:t xml:space="preserve"> </w:t>
      </w:r>
      <w:r>
        <w:t xml:space="preserve">just classify as abundant vs rare, persistent vs variable. Will map as soon as </w:t>
      </w:r>
      <w:proofErr w:type="spellStart"/>
      <w:r>
        <w:t>Gluster</w:t>
      </w:r>
      <w:proofErr w:type="spellEnd"/>
      <w:r>
        <w:t xml:space="preserve"> on CHTC is back up and running.</w:t>
      </w:r>
    </w:p>
    <w:p w14:paraId="2BC59BF2" w14:textId="4A77BD2F" w:rsidR="00CD786A" w:rsidRPr="003F7145" w:rsidRDefault="00CD786A" w:rsidP="003F7145">
      <w:r>
        <w:t>Use SQUID instead if file sizes are below 1GB?</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 P R et al. 2009. “Genomic Analysis of ‘ Elusimicrobium Minutum ,’ the First Cultivated Representative of the Phylum ‘ Elusimicrobia ’ ( Formerly Termite Group 1 ).” </w:t>
      </w:r>
      <w:r w:rsidRPr="00EF418D">
        <w:rPr>
          <w:rFonts w:cs="Times New Roman"/>
          <w:i/>
          <w:iCs/>
          <w:noProof/>
          <w:szCs w:val="24"/>
        </w:rPr>
        <w:lastRenderedPageBreak/>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xml:space="preserve">: 1–12. </w:t>
      </w:r>
      <w:r w:rsidRPr="00EF418D">
        <w:rPr>
          <w:rFonts w:cs="Times New Roman"/>
          <w:noProof/>
          <w:szCs w:val="24"/>
        </w:rPr>
        <w:lastRenderedPageBreak/>
        <w:t>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Linz" w:date="2017-10-27T12:39:00Z" w:initials="AL">
    <w:p w14:paraId="790C759C" w14:textId="6CB2D3E2" w:rsidR="004E0516" w:rsidRDefault="004E0516">
      <w:pPr>
        <w:pStyle w:val="CommentText"/>
      </w:pPr>
      <w:r>
        <w:rPr>
          <w:rStyle w:val="CommentReference"/>
        </w:rPr>
        <w:annotationRef/>
      </w:r>
      <w:r>
        <w:t>Add %reads mapped to each MAG</w:t>
      </w:r>
    </w:p>
  </w:comment>
  <w:comment w:id="2" w:author="Alexandra Linz" w:date="2017-10-27T13:46:00Z" w:initials="AL">
    <w:p w14:paraId="05B214C2" w14:textId="3D7BFCF4" w:rsidR="004E0516" w:rsidRDefault="004E0516">
      <w:pPr>
        <w:pStyle w:val="CommentText"/>
      </w:pPr>
      <w:r>
        <w:rPr>
          <w:rStyle w:val="CommentReference"/>
        </w:rPr>
        <w:annotationRef/>
      </w:r>
      <w:r>
        <w:t>Look at availability, not just concentration. Seasonal variability? LTER website, bog nutrient data?</w:t>
      </w:r>
    </w:p>
  </w:comment>
  <w:comment w:id="3" w:author="Alexandra Linz" w:date="2017-10-27T12:34:00Z" w:initials="AL">
    <w:p w14:paraId="0D4FF670" w14:textId="6675E031" w:rsidR="004E0516" w:rsidRDefault="004E0516">
      <w:pPr>
        <w:pStyle w:val="CommentText"/>
      </w:pPr>
      <w:r>
        <w:rPr>
          <w:rStyle w:val="CommentReference"/>
        </w:rPr>
        <w:annotationRef/>
      </w:r>
      <w:r>
        <w:t>Switch to %</w:t>
      </w:r>
    </w:p>
  </w:comment>
  <w:comment w:id="4" w:author="Alexandra Linz" w:date="2017-10-27T12:44:00Z" w:initials="AL">
    <w:p w14:paraId="70707076" w14:textId="36FDF337" w:rsidR="004E0516" w:rsidRDefault="004E0516">
      <w:pPr>
        <w:pStyle w:val="CommentText"/>
      </w:pPr>
      <w:r>
        <w:rPr>
          <w:rStyle w:val="CommentReference"/>
        </w:rPr>
        <w:annotationRef/>
      </w:r>
      <w:r>
        <w:t>Color branches by phylum –all phyla not just n2 fixers</w:t>
      </w:r>
    </w:p>
    <w:p w14:paraId="72B8CF84" w14:textId="77777777" w:rsidR="004E0516" w:rsidRDefault="004E0516">
      <w:pPr>
        <w:pStyle w:val="CommentText"/>
      </w:pPr>
    </w:p>
    <w:p w14:paraId="0257D0CD" w14:textId="00640501" w:rsidR="004E0516" w:rsidRDefault="004E0516">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5" w:author="Alexandra Linz" w:date="2017-10-27T13:58:00Z" w:initials="AL">
    <w:p w14:paraId="5577864C" w14:textId="71C113E5" w:rsidR="004E0516" w:rsidRDefault="004E0516">
      <w:pPr>
        <w:pStyle w:val="CommentText"/>
      </w:pPr>
      <w:r>
        <w:rPr>
          <w:rStyle w:val="CommentReference"/>
        </w:rPr>
        <w:annotationRef/>
      </w:r>
      <w:r>
        <w:t>Brocks Mendota book?</w:t>
      </w:r>
    </w:p>
    <w:p w14:paraId="045258BC" w14:textId="77777777" w:rsidR="004E0516" w:rsidRDefault="004E0516">
      <w:pPr>
        <w:pStyle w:val="CommentText"/>
      </w:pPr>
    </w:p>
    <w:p w14:paraId="72758A8A" w14:textId="5922141D" w:rsidR="004E0516" w:rsidRDefault="004E0516">
      <w:pPr>
        <w:pStyle w:val="CommentText"/>
      </w:pPr>
      <w:r>
        <w:t>Delete this sentence if we can’t find sulfur data</w:t>
      </w:r>
    </w:p>
  </w:comment>
  <w:comment w:id="6" w:author="Alexandra Linz" w:date="2017-11-20T10:13:00Z" w:initials="AL">
    <w:p w14:paraId="5406D431" w14:textId="5D908858" w:rsidR="004E0516" w:rsidRDefault="004E0516">
      <w:pPr>
        <w:pStyle w:val="CommentText"/>
      </w:pPr>
      <w:r>
        <w:rPr>
          <w:rStyle w:val="CommentReference"/>
        </w:rPr>
        <w:annotationRef/>
      </w:r>
      <w:r>
        <w:t>Combine with nitrogen figure to free up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C759C" w15:done="0"/>
  <w15:commentEx w15:paraId="05B214C2" w15:done="0"/>
  <w15:commentEx w15:paraId="0D4FF670" w15:done="0"/>
  <w15:commentEx w15:paraId="0257D0CD" w15:done="0"/>
  <w15:commentEx w15:paraId="72758A8A" w15:done="0"/>
  <w15:commentEx w15:paraId="5406D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84F23"/>
    <w:rsid w:val="00096680"/>
    <w:rsid w:val="000A1F9F"/>
    <w:rsid w:val="000B240E"/>
    <w:rsid w:val="000E1E18"/>
    <w:rsid w:val="00153C67"/>
    <w:rsid w:val="00194180"/>
    <w:rsid w:val="0020406E"/>
    <w:rsid w:val="00206C7B"/>
    <w:rsid w:val="00222B88"/>
    <w:rsid w:val="00242EB5"/>
    <w:rsid w:val="00266869"/>
    <w:rsid w:val="0028221F"/>
    <w:rsid w:val="002B3736"/>
    <w:rsid w:val="002C1146"/>
    <w:rsid w:val="002F5E38"/>
    <w:rsid w:val="003318E6"/>
    <w:rsid w:val="0034414A"/>
    <w:rsid w:val="00363484"/>
    <w:rsid w:val="00364AC2"/>
    <w:rsid w:val="0038091D"/>
    <w:rsid w:val="00393F1B"/>
    <w:rsid w:val="003F2F8C"/>
    <w:rsid w:val="003F7145"/>
    <w:rsid w:val="00401ACA"/>
    <w:rsid w:val="004138AB"/>
    <w:rsid w:val="0041614F"/>
    <w:rsid w:val="00487299"/>
    <w:rsid w:val="004A6010"/>
    <w:rsid w:val="004B510D"/>
    <w:rsid w:val="004E0516"/>
    <w:rsid w:val="004F1920"/>
    <w:rsid w:val="00501404"/>
    <w:rsid w:val="005705CE"/>
    <w:rsid w:val="00576C40"/>
    <w:rsid w:val="005A5527"/>
    <w:rsid w:val="005E24DA"/>
    <w:rsid w:val="005E35C7"/>
    <w:rsid w:val="005E5B8D"/>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907EF0"/>
    <w:rsid w:val="0094429B"/>
    <w:rsid w:val="0095001B"/>
    <w:rsid w:val="00982A50"/>
    <w:rsid w:val="00990D17"/>
    <w:rsid w:val="009F65A4"/>
    <w:rsid w:val="00A37C26"/>
    <w:rsid w:val="00A57D83"/>
    <w:rsid w:val="00AA676C"/>
    <w:rsid w:val="00AE05E6"/>
    <w:rsid w:val="00AE3753"/>
    <w:rsid w:val="00AF731F"/>
    <w:rsid w:val="00B05CCB"/>
    <w:rsid w:val="00B214AE"/>
    <w:rsid w:val="00B42A56"/>
    <w:rsid w:val="00B4745F"/>
    <w:rsid w:val="00B54DAC"/>
    <w:rsid w:val="00B57552"/>
    <w:rsid w:val="00BA208D"/>
    <w:rsid w:val="00BE4306"/>
    <w:rsid w:val="00BE484D"/>
    <w:rsid w:val="00BF3B0E"/>
    <w:rsid w:val="00C02EA1"/>
    <w:rsid w:val="00C12FD2"/>
    <w:rsid w:val="00C34AE3"/>
    <w:rsid w:val="00C4283D"/>
    <w:rsid w:val="00C54FFE"/>
    <w:rsid w:val="00C64D38"/>
    <w:rsid w:val="00C67198"/>
    <w:rsid w:val="00C9067D"/>
    <w:rsid w:val="00C93A65"/>
    <w:rsid w:val="00CB1014"/>
    <w:rsid w:val="00CD2B02"/>
    <w:rsid w:val="00CD631C"/>
    <w:rsid w:val="00CD786A"/>
    <w:rsid w:val="00D00FD2"/>
    <w:rsid w:val="00D11FC2"/>
    <w:rsid w:val="00D23AA4"/>
    <w:rsid w:val="00D33E54"/>
    <w:rsid w:val="00D407BC"/>
    <w:rsid w:val="00D70442"/>
    <w:rsid w:val="00DB0C6F"/>
    <w:rsid w:val="00DB50A6"/>
    <w:rsid w:val="00DF5B3C"/>
    <w:rsid w:val="00DF606D"/>
    <w:rsid w:val="00E54A3A"/>
    <w:rsid w:val="00E8160D"/>
    <w:rsid w:val="00EB63E9"/>
    <w:rsid w:val="00ED1D87"/>
    <w:rsid w:val="00EF418D"/>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1003-07F8-4C74-94D9-A820CAE8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17</Pages>
  <Words>10725</Words>
  <Characters>61136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2017-12-09T17:38:00Z</dcterms:created>
  <dcterms:modified xsi:type="dcterms:W3CDTF">2017-12-14T00:38:00Z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