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6F482BBD" w:rsidR="00EB63E9" w:rsidRDefault="00EB63E9" w:rsidP="004A6010">
      <w:pPr>
        <w:spacing w:line="360" w:lineRule="auto"/>
        <w:jc w:val="both"/>
      </w:pPr>
      <w:r>
        <w:tab/>
        <w:t>Nutrient cycling in lakes has been previously thought of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6661C17B"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metagenomics because of their history of extensive </w:t>
      </w:r>
      <w:r w:rsidR="00791216">
        <w:t xml:space="preserve">environmental </w:t>
      </w:r>
      <w:r w:rsidR="00F67CDC">
        <w:t xml:space="preserve">sampling by the </w:t>
      </w:r>
      <w:r w:rsidR="00791216">
        <w:t xml:space="preserve">North Temperate Lakes - </w:t>
      </w:r>
      <w:r w:rsidR="00F67CDC">
        <w:t xml:space="preserve">Long Term Ecological Research program,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chemical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A062F7" w14:paraId="70AD7FDC"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CA6038A" w14:textId="6916275A" w:rsidR="00A062F7" w:rsidRDefault="00377F14" w:rsidP="00704B80">
            <w:pPr>
              <w:spacing w:line="360" w:lineRule="auto"/>
            </w:pPr>
            <w:r>
              <w:t>Oxygenation</w:t>
            </w:r>
          </w:p>
        </w:tc>
        <w:tc>
          <w:tcPr>
            <w:tcW w:w="1980" w:type="dxa"/>
          </w:tcPr>
          <w:p w14:paraId="77E281F9" w14:textId="0810CEA1" w:rsidR="00A062F7" w:rsidRDefault="00377F14"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Aerobic</w:t>
            </w:r>
          </w:p>
        </w:tc>
        <w:tc>
          <w:tcPr>
            <w:tcW w:w="2610" w:type="dxa"/>
          </w:tcPr>
          <w:p w14:paraId="47A11A2E" w14:textId="768704AC" w:rsidR="00A062F7" w:rsidRDefault="00377F14" w:rsidP="00377F14">
            <w:pPr>
              <w:spacing w:line="360" w:lineRule="auto"/>
              <w:jc w:val="center"/>
              <w:cnfStyle w:val="000000100000" w:firstRow="0" w:lastRow="0" w:firstColumn="0" w:lastColumn="0" w:oddVBand="0" w:evenVBand="0" w:oddHBand="1" w:evenHBand="0" w:firstRowFirstColumn="0" w:firstRowLastColumn="0" w:lastRowFirstColumn="0" w:lastRowLastColumn="0"/>
            </w:pPr>
            <w:r>
              <w:t>Aerobic</w:t>
            </w:r>
          </w:p>
        </w:tc>
        <w:tc>
          <w:tcPr>
            <w:tcW w:w="2880" w:type="dxa"/>
          </w:tcPr>
          <w:p w14:paraId="0A761FC5" w14:textId="75C48C57"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An</w:t>
            </w:r>
            <w:r w:rsidR="00377F14">
              <w:t>aerobic</w:t>
            </w:r>
          </w:p>
        </w:tc>
      </w:tr>
      <w:tr w:rsidR="00704B80" w14:paraId="5C5721E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5.19 (0.24)</w:t>
            </w:r>
          </w:p>
        </w:tc>
      </w:tr>
      <w:tr w:rsidR="00704B80" w14:paraId="5DF24AA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6.16 (5.51)</w:t>
            </w:r>
          </w:p>
        </w:tc>
      </w:tr>
      <w:tr w:rsidR="00704B80" w14:paraId="30C054F8"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24.20 (5.51)</w:t>
            </w:r>
          </w:p>
        </w:tc>
      </w:tr>
      <w:tr w:rsidR="00704B80" w14:paraId="6DFCB9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1448.99 (1127.77)</w:t>
            </w:r>
          </w:p>
        </w:tc>
      </w:tr>
      <w:tr w:rsidR="00704B80" w14:paraId="046071CA"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1711.86 (1509.75)</w:t>
            </w:r>
          </w:p>
        </w:tc>
      </w:tr>
      <w:tr w:rsidR="00704B80" w14:paraId="3107DE84"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78.14 (95.81)</w:t>
            </w:r>
          </w:p>
        </w:tc>
      </w:tr>
      <w:tr w:rsidR="00704B80" w14:paraId="57E39EED"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107.67 (122.66)</w:t>
            </w:r>
          </w:p>
        </w:tc>
      </w:tr>
      <w:tr w:rsidR="00791216" w14:paraId="6ADEA506"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110F4AD"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3BD4B60C" w14:textId="3DCA4DFE"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6A58C731" w14:textId="5C6BE7AC"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bl>
    <w:p w14:paraId="11947384" w14:textId="77777777" w:rsidR="00B57552" w:rsidRDefault="00B57552" w:rsidP="004A6010">
      <w:pPr>
        <w:spacing w:line="360" w:lineRule="auto"/>
        <w:jc w:val="both"/>
        <w:rPr>
          <w:b/>
        </w:rPr>
      </w:pPr>
    </w:p>
    <w:p w14:paraId="23734024" w14:textId="16240B82"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t>Results/Discussion</w:t>
      </w:r>
    </w:p>
    <w:p w14:paraId="3027F7E7" w14:textId="77777777" w:rsidR="00C64D38" w:rsidRPr="00C54FFE" w:rsidRDefault="00C64D38" w:rsidP="004A6010">
      <w:pPr>
        <w:pStyle w:val="Heading2"/>
        <w:spacing w:line="360" w:lineRule="auto"/>
      </w:pPr>
      <w:r w:rsidRPr="00C54FFE">
        <w:t>Overview of Dataset</w:t>
      </w:r>
    </w:p>
    <w:p w14:paraId="21E9BADF" w14:textId="1E51CC38" w:rsidR="00E863DA" w:rsidRDefault="00C64D38" w:rsidP="004A6010">
      <w:pPr>
        <w:spacing w:line="360" w:lineRule="auto"/>
        <w:ind w:firstLine="720"/>
        <w:jc w:val="both"/>
      </w:pPr>
      <w:r>
        <w:t xml:space="preserve">Analyzing genomes of uncultured microbes can provide insight into the potential metabolic functions of those organisms. </w:t>
      </w:r>
      <w:r w:rsidR="00EC2782">
        <w:t xml:space="preserve">A total of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w:t>
      </w:r>
      <w:r>
        <w:lastRenderedPageBreak/>
        <w:t>31 were recovered from the epilimnion of Trout Bog, and 6</w:t>
      </w:r>
      <w:r w:rsidR="007C0A8C">
        <w:t>3</w:t>
      </w:r>
      <w:r>
        <w:t xml:space="preserve"> were recovered from the hypolimnion of Trout Bog. </w:t>
      </w:r>
      <w:r w:rsidR="00A062F7">
        <w:t>Despite differences in dissolved oxygen concentrations, s</w:t>
      </w:r>
      <w:r>
        <w:t>everal MAGs in the epilimnion and hypolimnion of Trout Bog appeared to be from the same population based on average nucleotide identities</w:t>
      </w:r>
      <w:r w:rsidR="00E863DA">
        <w:t xml:space="preserve"> great than 99%</w:t>
      </w:r>
      <w:r>
        <w:t xml:space="preserve"> </w:t>
      </w:r>
      <w:r w:rsidR="00EF418D">
        <w:t>&lt;Table S</w:t>
      </w:r>
      <w:r w:rsidR="007C0A8C">
        <w:t>2</w:t>
      </w:r>
      <w:r w:rsidR="00EF418D">
        <w:t xml:space="preserve">, </w:t>
      </w:r>
      <w:r w:rsidR="007C0A8C">
        <w:t>ANI_matrix</w:t>
      </w:r>
      <w:r w:rsidR="00EF418D">
        <w:t xml:space="preserve">.csv&gt;. </w:t>
      </w:r>
      <w:r w:rsidR="00E863DA">
        <w:t>This is possible because genomes from the epilimnion and hypolimnion were assembled separately.</w:t>
      </w:r>
    </w:p>
    <w:p w14:paraId="085E1D2E" w14:textId="6E99EB6E" w:rsidR="00C64D38" w:rsidRPr="001476D8" w:rsidRDefault="00C64D38" w:rsidP="004A6010">
      <w:pPr>
        <w:spacing w:line="360" w:lineRule="auto"/>
        <w:ind w:firstLine="720"/>
        <w:jc w:val="both"/>
        <w:rPr>
          <w:b/>
        </w:rPr>
      </w:pP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1D923366" w14:textId="77777777" w:rsidR="00C64D38" w:rsidRDefault="00C64D38" w:rsidP="004A6010">
      <w:pPr>
        <w:spacing w:line="360" w:lineRule="auto"/>
        <w:jc w:val="both"/>
      </w:pPr>
    </w:p>
    <w:p w14:paraId="0CCA80B0" w14:textId="21925F32" w:rsidR="00C64D38" w:rsidRDefault="00C64D38" w:rsidP="004A6010">
      <w:pPr>
        <w:spacing w:line="36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4A6010">
      <w:pPr>
        <w:pStyle w:val="Heading2"/>
        <w:spacing w:line="360" w:lineRule="auto"/>
      </w:pPr>
      <w:r w:rsidRPr="00C64D38">
        <w:t>P</w:t>
      </w:r>
      <w:r w:rsidR="001476D8">
        <w:t xml:space="preserve">rimary Production and </w:t>
      </w:r>
      <w:proofErr w:type="spellStart"/>
      <w:r w:rsidR="001476D8">
        <w:t>Phototrophy</w:t>
      </w:r>
      <w:proofErr w:type="spellEnd"/>
    </w:p>
    <w:p w14:paraId="05B570B6" w14:textId="73B63424"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B25EC0">
        <w:t>The</w:t>
      </w:r>
      <w:r w:rsidR="00DB0C6F">
        <w:t xml:space="preserv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w:t>
      </w:r>
      <w:r w:rsidR="00DB0C6F">
        <w:lastRenderedPageBreak/>
        <w:t xml:space="preserve">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B25EC0">
        <w:t>Genes annotated as ribulose-1,5-bisphosphate carboxylase/oxygenase (</w:t>
      </w:r>
      <w:proofErr w:type="spellStart"/>
      <w:r w:rsidR="00B25EC0">
        <w:t>RubisCO</w:t>
      </w:r>
      <w:proofErr w:type="spellEnd"/>
      <w:r w:rsidR="00B25EC0">
        <w:t xml:space="preserve">), the key enzyme in the CBB pathway, were observed in some of the </w:t>
      </w:r>
      <w:proofErr w:type="spellStart"/>
      <w:r w:rsidR="00B25EC0">
        <w:t>Chlorobiales</w:t>
      </w:r>
      <w:proofErr w:type="spellEnd"/>
      <w:r w:rsidR="00B25EC0">
        <w:t xml:space="preserve"> MAGs. The reductive TCA cycle is the only carbon fixation pathway known to be active in this taxon, and a </w:t>
      </w:r>
      <w:proofErr w:type="spellStart"/>
      <w:r w:rsidR="00B25EC0">
        <w:t>RubisCo</w:t>
      </w:r>
      <w:proofErr w:type="spellEnd"/>
      <w:r w:rsidR="00B25EC0">
        <w:t xml:space="preserve">-like gene found in isolates of </w:t>
      </w:r>
      <w:proofErr w:type="spellStart"/>
      <w:r w:rsidR="00B25EC0">
        <w:rPr>
          <w:i/>
        </w:rPr>
        <w:t>Chlorobium</w:t>
      </w:r>
      <w:proofErr w:type="spellEnd"/>
      <w:r w:rsidR="00B25EC0">
        <w:rPr>
          <w:i/>
        </w:rPr>
        <w:t xml:space="preserve"> </w:t>
      </w:r>
      <w:r w:rsidR="00B25EC0">
        <w:t xml:space="preserve">was associated with sulfur metabolism and oxidative stress </w:t>
      </w:r>
      <w:r w:rsidR="00B25EC0">
        <w:fldChar w:fldCharType="begin" w:fldLock="1"/>
      </w:r>
      <w:r w:rsidR="00B25EC0">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and Tabita 2001)", "plainTextFormattedCitation" : "(Hanson and Tabita 2001)", "previouslyFormattedCitation" : "(Hanson and Tabita 2001)" }, "properties" : {  }, "schema" : "https://github.com/citation-style-language/schema/raw/master/csl-citation.json" }</w:instrText>
      </w:r>
      <w:r w:rsidR="00B25EC0">
        <w:fldChar w:fldCharType="separate"/>
      </w:r>
      <w:r w:rsidR="00B25EC0" w:rsidRPr="00B25EC0">
        <w:rPr>
          <w:noProof/>
        </w:rPr>
        <w:t>(Hanson and Tabita 2001)</w:t>
      </w:r>
      <w:r w:rsidR="00B25EC0">
        <w:fldChar w:fldCharType="end"/>
      </w:r>
      <w:r w:rsidR="00B25EC0">
        <w:t xml:space="preserve">. Given this information, it seems likely that this gene encodes a function other than carbon fixation in the </w:t>
      </w:r>
      <w:proofErr w:type="spellStart"/>
      <w:r w:rsidR="00B25EC0">
        <w:t>Chlorobiales</w:t>
      </w:r>
      <w:proofErr w:type="spellEnd"/>
      <w:r w:rsidR="00B25EC0">
        <w:t xml:space="preserve"> MAGs. </w:t>
      </w:r>
      <w:r w:rsidR="00751DCB">
        <w:t>One major difference</w:t>
      </w:r>
      <w:r w:rsidR="00B25EC0">
        <w:t xml:space="preserve"> besides carbon fixation pathway</w:t>
      </w:r>
      <w:r w:rsidR="00751DCB">
        <w:t xml:space="preserve"> between Cyanobacteria and </w:t>
      </w:r>
      <w:proofErr w:type="spellStart"/>
      <w:r w:rsidR="00751DCB">
        <w:t>Chlorobi</w:t>
      </w:r>
      <w:proofErr w:type="spellEnd"/>
      <w:r w:rsidR="00751DCB">
        <w:t xml:space="preserve"> is their oxygen requirements; Cyanobacteria are aerobic, while </w:t>
      </w:r>
      <w:proofErr w:type="spellStart"/>
      <w:r w:rsidR="00751DCB">
        <w:t>Chlorobiales</w:t>
      </w:r>
      <w:proofErr w:type="spellEnd"/>
      <w:r w:rsidR="00751DCB">
        <w:t xml:space="preserve"> are 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p>
    <w:p w14:paraId="4CD0447C" w14:textId="5353C5A1" w:rsidR="00DB0C6F" w:rsidRDefault="00153C67" w:rsidP="000A1F9F">
      <w:pPr>
        <w:spacing w:line="360" w:lineRule="auto"/>
        <w:ind w:firstLine="720"/>
        <w:jc w:val="both"/>
      </w:pPr>
      <w:r>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 xml:space="preserve">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w:t>
      </w:r>
      <w:r w:rsidR="006F42C8">
        <w:lastRenderedPageBreak/>
        <w:t>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5907E96" w:rsidR="006F42C8" w:rsidRDefault="006F42C8" w:rsidP="00705F64">
      <w:pPr>
        <w:spacing w:line="360" w:lineRule="auto"/>
      </w:pPr>
      <w:r>
        <w:tab/>
      </w:r>
      <w:r w:rsidR="00705F64">
        <w:t>Central metabolism is often the entry point for the least complex carbon compounds, and central metabolic pathways may reveal how a bacterium is using a carbon compound. The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3552C2A" w14:textId="25324AF6" w:rsidR="00260505" w:rsidRDefault="00260505" w:rsidP="00705F64">
      <w:pPr>
        <w:spacing w:line="360" w:lineRule="auto"/>
      </w:pPr>
      <w:r>
        <w:tab/>
        <w:t xml:space="preserve">As </w:t>
      </w:r>
      <w:r w:rsidR="00687EFB">
        <w:t>oxidative phosphorylation</w:t>
      </w:r>
      <w:r>
        <w:t xml:space="preserve"> is an important part of central metabolism for aerobic bacteria, we investigated which types of cytochromes were </w:t>
      </w:r>
      <w:r w:rsidR="00822990">
        <w:t>encoded in our MAGs</w:t>
      </w:r>
      <w:r w:rsidR="00687EFB">
        <w:t xml:space="preserve"> (Fig 2)</w:t>
      </w:r>
      <w:r w:rsidR="00822990">
        <w:t xml:space="preserve">. Cytochrome c oxidases, both aa3- and cbb3-type, were widespread in both lakes and frequently observed in the same genomes. </w:t>
      </w:r>
      <w:r w:rsidR="00991A92">
        <w:t xml:space="preserve">As aa3-type cytochromes are associated with high oxygen concentrations and cbb3-type cytochromes are associated with low oxygen concentrations, the presence of both types suggests the flexibility to operate under a range of oxygen concentrations. </w:t>
      </w:r>
      <w:r w:rsidR="00822990">
        <w:t xml:space="preserve">Of the quinol-based cytochromes, genes encoding cytochrome d were most often observed in MAGs from the hypolimnion of Trout Bog, while cytochrome aa3-600 was found only in MAGs classified as Bacteroidetes and Proteobacteria in the Trout Bog epilimnion and cytochrome o was observed only in a Chlamydia MAG from Lake Mendota. Alternative complex III was identified in MAGs of </w:t>
      </w:r>
      <w:proofErr w:type="spellStart"/>
      <w:r w:rsidR="00822990">
        <w:t>Verromicrobia</w:t>
      </w:r>
      <w:proofErr w:type="spellEnd"/>
      <w:r w:rsidR="00822990">
        <w:t xml:space="preserve"> in both lakes, in </w:t>
      </w:r>
      <w:proofErr w:type="spellStart"/>
      <w:r w:rsidR="00822990">
        <w:t>Acidobacteria</w:t>
      </w:r>
      <w:proofErr w:type="spellEnd"/>
      <w:r w:rsidR="00822990">
        <w:t xml:space="preserve"> in Trout Bog (both layers), and in Bacteroidetes and Planctomycetes in Lake Mendota. </w:t>
      </w:r>
      <w:r w:rsidR="00687EFB">
        <w:t>The presence and absence of cytochrome types by lake may reflect both the difference in oxygen concentrations and</w:t>
      </w:r>
      <w:r w:rsidR="00991A92">
        <w:t xml:space="preserve"> in</w:t>
      </w:r>
      <w:r w:rsidR="00687EFB">
        <w:t xml:space="preserve"> bacterial community composition.</w:t>
      </w:r>
    </w:p>
    <w:p w14:paraId="62547480" w14:textId="25B7AA65" w:rsidR="00687EFB" w:rsidRDefault="00687EFB" w:rsidP="00705F64">
      <w:pPr>
        <w:spacing w:line="360" w:lineRule="auto"/>
      </w:pPr>
      <w:r>
        <w:tab/>
      </w:r>
      <w:r w:rsidR="00C213C5">
        <w:t>Similarly, h</w:t>
      </w:r>
      <w:r>
        <w:t xml:space="preserve">ydrogen metabolism is an aspect of central metabolism that can influence other aspects of a microbe’s nutrient usage. Iron-only hydrogenases were found primarily in </w:t>
      </w:r>
      <w:r>
        <w:lastRenderedPageBreak/>
        <w:t>Trout Bog’s hypolimnion</w:t>
      </w:r>
      <w:r w:rsidR="00C213C5">
        <w:t xml:space="preserve"> (Fig. 2)</w:t>
      </w:r>
      <w:r>
        <w:t xml:space="preserve">, consistent with their previously identified presence in fermenting anaerobic bacteria </w:t>
      </w:r>
      <w:r w:rsidR="00C213C5">
        <w:fldChar w:fldCharType="begin" w:fldLock="1"/>
      </w:r>
      <w:r w:rsidR="00C213C5">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C213C5">
        <w:fldChar w:fldCharType="separate"/>
      </w:r>
      <w:r w:rsidR="00C213C5" w:rsidRPr="00C213C5">
        <w:rPr>
          <w:noProof/>
        </w:rPr>
        <w:t>(Peters et al. 2015)</w:t>
      </w:r>
      <w:r w:rsidR="00C213C5">
        <w:fldChar w:fldCharType="end"/>
      </w:r>
      <w:r>
        <w:t xml:space="preserve">. Genes encoding [Ni-Fe] hydrogenases of groups 1 and 2, involved in hydrogen uptake, sensing, and nitrogen fixation, were </w:t>
      </w:r>
      <w:r w:rsidR="00C213C5">
        <w:t xml:space="preserve">widespread in the hypolimnion of Trout Bog, found only in </w:t>
      </w:r>
      <w:proofErr w:type="spellStart"/>
      <w:r w:rsidR="00C213C5">
        <w:t>Chlorobiales</w:t>
      </w:r>
      <w:proofErr w:type="spellEnd"/>
      <w:r w:rsidR="00C213C5">
        <w:t xml:space="preserve"> MAGs in the epilimnion of Trout Bog, and more rarely observed in Lake Mendota. Group 3 [Ni-Fe] hydrogenases were identified in MAGs belonging to Cyanobacteria and </w:t>
      </w:r>
      <w:proofErr w:type="spellStart"/>
      <w:r w:rsidR="00C213C5">
        <w:t>Chlorobiales</w:t>
      </w:r>
      <w:proofErr w:type="spellEnd"/>
      <w:r w:rsidR="00C213C5">
        <w:t>, consistent with the proposed function of Group 3d, which is to remove excess electrons produced by photosynthesis. Finally, the Group 4 reversible hydrogenase were observed primarily in the hypolimnion of Trout Bog. These different types of hydrogenases, particularly the greater prevalence of hydrogenases in the anoxic region of Trout Bog, point to more lake-specific adaptations.</w:t>
      </w:r>
    </w:p>
    <w:p w14:paraId="41D9466D" w14:textId="5AA98271" w:rsidR="007A25BD" w:rsidRDefault="007A25BD" w:rsidP="00705F64">
      <w:pPr>
        <w:spacing w:line="360" w:lineRule="auto"/>
      </w:pPr>
      <w:r>
        <w:tab/>
      </w:r>
      <w:r w:rsidR="00D8003E">
        <w:t xml:space="preserve">Algae </w:t>
      </w:r>
      <w:r w:rsidR="00E508C6">
        <w:t xml:space="preserve">in freshwater </w:t>
      </w:r>
      <w:r w:rsidR="00D8003E">
        <w:t xml:space="preserve">have been documenting producing high molecular weight carbohydrates such as </w:t>
      </w:r>
      <w:r w:rsidR="00E508C6">
        <w:t>glucose, fucose, rhamnose, arabinose, galac</w:t>
      </w:r>
      <w:r w:rsidR="00C213C5">
        <w:t>to</w:t>
      </w:r>
      <w:r w:rsidR="00E508C6">
        <w:t>se,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135E70B5" w:rsid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w:t>
      </w:r>
      <w:r>
        <w:rPr>
          <w:rFonts w:cs="Times New Roman"/>
          <w:szCs w:val="24"/>
        </w:rPr>
        <w:lastRenderedPageBreak/>
        <w:t xml:space="preserve">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(Latypova et al. 2010; Salcher et al. 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19293859" w:rsidR="009E15D3" w:rsidRPr="004A46AC" w:rsidRDefault="00BD76E8" w:rsidP="004A46AC">
      <w:pPr>
        <w:spacing w:line="360" w:lineRule="auto"/>
        <w:rPr>
          <w:rFonts w:cs="Times New Roman"/>
          <w:szCs w:val="24"/>
        </w:rPr>
      </w:pPr>
      <w:r>
        <w:rPr>
          <w:rFonts w:cs="Times New Roman"/>
          <w:noProof/>
          <w:szCs w:val="24"/>
        </w:rPr>
        <w:lastRenderedPageBreak/>
        <w:drawing>
          <wp:anchor distT="0" distB="0" distL="114300" distR="114300" simplePos="0" relativeHeight="251670528" behindDoc="1" locked="0" layoutInCell="1" allowOverlap="1" wp14:anchorId="7667F8C0" wp14:editId="7DDA51BE">
            <wp:simplePos x="0" y="0"/>
            <wp:positionH relativeFrom="margin">
              <wp:posOffset>-266700</wp:posOffset>
            </wp:positionH>
            <wp:positionV relativeFrom="paragraph">
              <wp:posOffset>0</wp:posOffset>
            </wp:positionV>
            <wp:extent cx="6572250" cy="6036310"/>
            <wp:effectExtent l="0" t="0" r="0" b="2540"/>
            <wp:wrapTight wrapText="bothSides">
              <wp:wrapPolygon edited="0">
                <wp:start x="0" y="0"/>
                <wp:lineTo x="0" y="21541"/>
                <wp:lineTo x="21537" y="21541"/>
                <wp:lineTo x="21537" y="0"/>
                <wp:lineTo x="0" y="0"/>
              </wp:wrapPolygon>
            </wp:wrapTight>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5">
                      <a:extLst>
                        <a:ext uri="{28A0092B-C50C-407E-A947-70E740481C1C}">
                          <a14:useLocalDpi xmlns:a14="http://schemas.microsoft.com/office/drawing/2010/main" val="0"/>
                        </a:ext>
                      </a:extLst>
                    </a:blip>
                    <a:stretch>
                      <a:fillRect/>
                    </a:stretch>
                  </pic:blipFill>
                  <pic:spPr>
                    <a:xfrm>
                      <a:off x="0" y="0"/>
                      <a:ext cx="6572250" cy="6036310"/>
                    </a:xfrm>
                    <a:prstGeom prst="rect">
                      <a:avLst/>
                    </a:prstGeom>
                  </pic:spPr>
                </pic:pic>
              </a:graphicData>
            </a:graphic>
            <wp14:sizeRelH relativeFrom="margin">
              <wp14:pctWidth>0</wp14:pctWidth>
            </wp14:sizeRelH>
            <wp14:sizeRelV relativeFrom="margin">
              <wp14:pctHeight>0</wp14:pctHeight>
            </wp14:sizeRelV>
          </wp:anchor>
        </w:drawing>
      </w:r>
      <w:r w:rsidR="009E15D3">
        <w:rPr>
          <w:b/>
        </w:rPr>
        <w:t xml:space="preserve">Fig 2. </w:t>
      </w:r>
      <w:r w:rsidR="004A46AC">
        <w:rPr>
          <w:b/>
        </w:rPr>
        <w:t>Metabolisms</w:t>
      </w:r>
      <w:r w:rsidR="009E15D3">
        <w:rPr>
          <w:b/>
        </w:rPr>
        <w:t xml:space="preserve"> in Lake Mendota vs Trout Bog. </w:t>
      </w:r>
      <w:r w:rsidR="009E15D3">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rsidR="009E15D3">
        <w:t>Rhodopsins</w:t>
      </w:r>
      <w:proofErr w:type="spellEnd"/>
      <w:r w:rsidR="009E15D3">
        <w:t xml:space="preserve"> were most often observed in MAGs of Actinobacteria and Bacteroidetes from Lake Mendota.</w:t>
      </w:r>
      <w:r w:rsidR="004A46AC">
        <w:t xml:space="preserve"> Central metabolism showed partitioning by lake and phylum, likely reflecting differences in oxygen concentrations and evolutionary history.</w:t>
      </w:r>
    </w:p>
    <w:p w14:paraId="10AC3197" w14:textId="3B0835C7" w:rsidR="00206C7B" w:rsidRDefault="007F1A1E" w:rsidP="007F1A1E">
      <w:pPr>
        <w:pStyle w:val="Heading2"/>
      </w:pPr>
      <w:r>
        <w:lastRenderedPageBreak/>
        <w:t>Complex Carbon Degradation</w:t>
      </w:r>
    </w:p>
    <w:p w14:paraId="13D7E72D" w14:textId="7E839691" w:rsidR="00206C7B" w:rsidRDefault="00AA676C" w:rsidP="007F1A1E">
      <w:pPr>
        <w:spacing w:line="36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468C465D"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EF4926">
        <w:t xml:space="preserve"> (Fig. 2)</w:t>
      </w:r>
      <w:r w:rsidR="00CB1014">
        <w:t xml:space="preserve">. The diversity of </w:t>
      </w:r>
      <w:r w:rsidR="0097677A">
        <w:t>glycoside</w:t>
      </w:r>
      <w:r w:rsidR="00CB1014">
        <w:t xml:space="preserve"> hydrolases, an indicator of the number of substrates an organism can degrade, </w:t>
      </w:r>
      <w:r w:rsidR="001F01FF">
        <w:t xml:space="preserve">was </w:t>
      </w:r>
      <w:r w:rsidR="00CB1014">
        <w:t xml:space="preserve">correlated with </w:t>
      </w:r>
      <w:r w:rsidR="001F01FF">
        <w:t>glycoside hydrolase</w:t>
      </w:r>
      <w:r w:rsidR="00EF4926">
        <w:t xml:space="preserve"> coding </w:t>
      </w:r>
      <w:r w:rsidR="00CB1014">
        <w:t>density</w:t>
      </w:r>
      <w:r w:rsidR="00EF4926">
        <w:t xml:space="preserve"> (r</w:t>
      </w:r>
      <w:r w:rsidR="00EF4926" w:rsidRPr="001F01FF">
        <w:rPr>
          <w:vertAlign w:val="superscript"/>
        </w:rPr>
        <w:t>2</w:t>
      </w:r>
      <w:r w:rsidR="00EF4926">
        <w:t>=</w:t>
      </w:r>
      <w:r w:rsidR="00EF284B">
        <w:t xml:space="preserve"> 0.39, p &lt; 0.0</w:t>
      </w:r>
      <w:r w:rsidR="001F01FF">
        <w:t>1</w:t>
      </w:r>
      <w:r w:rsidR="00EF4926">
        <w:t>)</w:t>
      </w:r>
      <w:r w:rsidR="00CB1014">
        <w:t>.</w:t>
      </w:r>
    </w:p>
    <w:p w14:paraId="13F6DC07" w14:textId="2BBCE83C"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w:t>
      </w:r>
      <w:r w:rsidR="00BA4C1C">
        <w:rPr>
          <w:rFonts w:cs="Times New Roman"/>
          <w:szCs w:val="24"/>
        </w:rPr>
        <w:lastRenderedPageBreak/>
        <w:t xml:space="preserve">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32E70A9C" w:rsidR="00CD786A" w:rsidRDefault="004A78B2" w:rsidP="00FE23AB">
      <w:pPr>
        <w:spacing w:line="360" w:lineRule="auto"/>
        <w:jc w:val="both"/>
      </w:pPr>
      <w:r>
        <w:rPr>
          <w:rFonts w:cs="Times New Roman"/>
          <w:szCs w:val="24"/>
        </w:rPr>
        <w:tab/>
        <w:t xml:space="preserve">The increased </w:t>
      </w:r>
      <w:r w:rsidR="00EF4926">
        <w:rPr>
          <w:rFonts w:cs="Times New Roman"/>
          <w:szCs w:val="24"/>
        </w:rPr>
        <w:t xml:space="preserve">coding </w:t>
      </w:r>
      <w:r>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5D96EEAF" w:rsidR="004D27D2" w:rsidRPr="003F7145" w:rsidRDefault="001F01FF" w:rsidP="00FE23AB">
      <w:pPr>
        <w:spacing w:line="360" w:lineRule="auto"/>
        <w:jc w:val="both"/>
      </w:pPr>
      <w:r>
        <w:rPr>
          <w:noProof/>
        </w:rPr>
        <w:drawing>
          <wp:anchor distT="0" distB="0" distL="114300" distR="114300" simplePos="0" relativeHeight="251671552" behindDoc="1" locked="0" layoutInCell="1" allowOverlap="1" wp14:anchorId="024FA2BE" wp14:editId="05E53FDB">
            <wp:simplePos x="0" y="0"/>
            <wp:positionH relativeFrom="column">
              <wp:posOffset>0</wp:posOffset>
            </wp:positionH>
            <wp:positionV relativeFrom="paragraph">
              <wp:posOffset>4445</wp:posOffset>
            </wp:positionV>
            <wp:extent cx="3338222" cy="4219575"/>
            <wp:effectExtent l="0" t="0" r="0" b="0"/>
            <wp:wrapTight wrapText="bothSides">
              <wp:wrapPolygon edited="0">
                <wp:start x="0" y="0"/>
                <wp:lineTo x="0" y="21454"/>
                <wp:lineTo x="21448" y="21454"/>
                <wp:lineTo x="2144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6">
                      <a:extLst>
                        <a:ext uri="{28A0092B-C50C-407E-A947-70E740481C1C}">
                          <a14:useLocalDpi xmlns:a14="http://schemas.microsoft.com/office/drawing/2010/main" val="0"/>
                        </a:ext>
                      </a:extLst>
                    </a:blip>
                    <a:stretch>
                      <a:fillRect/>
                    </a:stretch>
                  </pic:blipFill>
                  <pic:spPr>
                    <a:xfrm>
                      <a:off x="0" y="0"/>
                      <a:ext cx="3338222" cy="4219575"/>
                    </a:xfrm>
                    <a:prstGeom prst="rect">
                      <a:avLst/>
                    </a:prstGeom>
                  </pic:spPr>
                </pic:pic>
              </a:graphicData>
            </a:graphic>
          </wp:anchor>
        </w:drawing>
      </w:r>
    </w:p>
    <w:p w14:paraId="68BDF094" w14:textId="1CB9278D" w:rsidR="00FE23AB" w:rsidRDefault="00FE23AB" w:rsidP="00FE23AB">
      <w:pPr>
        <w:spacing w:line="360" w:lineRule="auto"/>
        <w:jc w:val="both"/>
      </w:pPr>
      <w:r>
        <w:rPr>
          <w:b/>
        </w:rPr>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t>
      </w:r>
      <w:r w:rsidR="001F01FF">
        <w:t xml:space="preserve">Glycoside hydrolase coding density was </w:t>
      </w:r>
      <w:proofErr w:type="spellStart"/>
      <w:r w:rsidR="001F01FF">
        <w:t>calcuclated</w:t>
      </w:r>
      <w:proofErr w:type="spellEnd"/>
      <w:r w:rsidR="001F01FF">
        <w:t xml:space="preserve"> for each MAG and averaged by order and lake. </w:t>
      </w:r>
      <w:r>
        <w:t xml:space="preserve">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w:t>
      </w:r>
      <w:r w:rsidR="001F01FF">
        <w:t xml:space="preserve">was significantly </w:t>
      </w:r>
      <w:r>
        <w:t>correlated with density.</w:t>
      </w:r>
    </w:p>
    <w:p w14:paraId="062F1D13" w14:textId="77777777" w:rsidR="001F01FF" w:rsidRPr="00FE23AB" w:rsidRDefault="001F01FF" w:rsidP="00FE23AB">
      <w:pPr>
        <w:spacing w:line="360" w:lineRule="auto"/>
        <w:jc w:val="both"/>
      </w:pPr>
    </w:p>
    <w:p w14:paraId="14A80647" w14:textId="56EF43EC" w:rsidR="00F26AFE" w:rsidRPr="00F26AFE" w:rsidRDefault="00C64D38" w:rsidP="004A6010">
      <w:pPr>
        <w:pStyle w:val="Heading2"/>
        <w:spacing w:line="360" w:lineRule="auto"/>
      </w:pPr>
      <w:r>
        <w:lastRenderedPageBreak/>
        <w:t>Nitrogen Cycling</w:t>
      </w:r>
    </w:p>
    <w:p w14:paraId="6710C150" w14:textId="19BB9D5B"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w:t>
      </w:r>
      <w:r w:rsidR="002F0582">
        <w:rPr>
          <w:rFonts w:cs="Times New Roman"/>
          <w:szCs w:val="24"/>
        </w:rPr>
        <w:t xml:space="preserve"> </w:t>
      </w:r>
      <w:r>
        <w:rPr>
          <w:rFonts w:cs="Times New Roman"/>
          <w:szCs w:val="24"/>
        </w:rPr>
        <w:t xml:space="preserve">nitrogen is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 </w:t>
      </w:r>
      <w:r>
        <w:rPr>
          <w:rFonts w:cs="Times New Roman"/>
          <w:szCs w:val="24"/>
        </w:rPr>
        <w:t>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9FC5BE9"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Genes encoding the biosynthesis and degradation of polyamines such as spermidine and putrescine, potentially important compounds in the freshwater dissolved organic nitrogen pool, were prevalent in MAGs from both lakes.</w:t>
      </w:r>
    </w:p>
    <w:p w14:paraId="0D057C22" w14:textId="7709BACE"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ota as well. However, taxonomy revealed differences between the two ecosystems. In Lake Mendota, nitrogen fixation appears restricted to Cyanobacteria</w:t>
      </w:r>
      <w:r w:rsidR="00FA426B">
        <w:rPr>
          <w:rFonts w:cs="Times New Roman"/>
          <w:szCs w:val="24"/>
        </w:rPr>
        <w:t xml:space="preserve">, </w:t>
      </w:r>
      <w:r w:rsidR="00ED6B89">
        <w:rPr>
          <w:rFonts w:cs="Times New Roman"/>
          <w:szCs w:val="24"/>
        </w:rPr>
        <w:t>Betaproteobacteria</w:t>
      </w:r>
      <w:r w:rsidR="00FA426B">
        <w:rPr>
          <w:rFonts w:cs="Times New Roman"/>
          <w:szCs w:val="24"/>
        </w:rPr>
        <w:t xml:space="preserve">, and </w:t>
      </w:r>
      <w:proofErr w:type="spellStart"/>
      <w:r w:rsidR="00FA426B">
        <w:rPr>
          <w:rFonts w:cs="Times New Roman"/>
          <w:szCs w:val="24"/>
        </w:rPr>
        <w:t>Gammaproteobacteria</w:t>
      </w:r>
      <w:proofErr w:type="spellEnd"/>
      <w:r w:rsidR="00ED6B89">
        <w:rPr>
          <w:rFonts w:cs="Times New Roman"/>
          <w:szCs w:val="24"/>
        </w:rPr>
        <w:t xml:space="preserve">. </w:t>
      </w:r>
      <w:r w:rsidR="00D71A65">
        <w:rPr>
          <w:rFonts w:cs="Times New Roman"/>
          <w:szCs w:val="24"/>
        </w:rPr>
        <w:t xml:space="preserve">This may be a factor in the documented links between cyanobacterial </w:t>
      </w:r>
      <w:r w:rsidR="00D71A65">
        <w:rPr>
          <w:rFonts w:cs="Times New Roman"/>
          <w:szCs w:val="24"/>
        </w:rPr>
        <w:lastRenderedPageBreak/>
        <w:t xml:space="preserve">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A26E1A">
        <w:rPr>
          <w:rFonts w:cs="Times New Roman"/>
          <w:szCs w:val="24"/>
        </w:rPr>
        <w:t>Acidobacteria</w:t>
      </w:r>
      <w:proofErr w:type="spellEnd"/>
      <w:r w:rsidR="00A26E1A">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r w:rsidR="0078604B">
        <w:rPr>
          <w:rFonts w:cs="Times New Roman"/>
          <w:szCs w:val="24"/>
        </w:rPr>
        <w:t xml:space="preserve"> Interestingly, </w:t>
      </w:r>
      <w:r w:rsidR="001E58CA">
        <w:rPr>
          <w:rFonts w:cs="Times New Roman"/>
          <w:szCs w:val="24"/>
        </w:rPr>
        <w:t xml:space="preserve">two MAGs of </w:t>
      </w:r>
      <w:proofErr w:type="spellStart"/>
      <w:r w:rsidR="001E58CA">
        <w:rPr>
          <w:rFonts w:cs="Times New Roman"/>
          <w:szCs w:val="24"/>
        </w:rPr>
        <w:t>Chlorobiales</w:t>
      </w:r>
      <w:proofErr w:type="spellEnd"/>
      <w:r w:rsidR="001E58CA">
        <w:rPr>
          <w:rFonts w:cs="Times New Roman"/>
          <w:szCs w:val="24"/>
        </w:rPr>
        <w:t xml:space="preserve"> (potentially from the same population based on ANI) contained genes encoding Fe-only nitrogenase in addition to Mo nitrogenase. Methane production has been observed as an inherent property of the Fe-only nitrogenases </w:t>
      </w:r>
      <w:r w:rsidR="001E58CA">
        <w:rPr>
          <w:rFonts w:cs="Times New Roman"/>
          <w:szCs w:val="24"/>
        </w:rPr>
        <w:fldChar w:fldCharType="begin" w:fldLock="1"/>
      </w:r>
      <w:r w:rsidR="001E58CA">
        <w:rPr>
          <w:rFonts w:cs="Times New Roman"/>
          <w:szCs w:val="24"/>
        </w:rPr>
        <w:instrText>ADDIN CSL_CITATION { "citationItems" : [ { "id" : "ITEM-1", "itemData" : { "DOI" : "10.1038/s41564-017-0091-5", "ISSN" : "2058-5276", "abstract" : "Methane (CH4) is a potent greenhouse gas that is released from fossil fuels and is also produced by microbial activity, with at least one billion tonnes of CH4 being formed and consumed by microorganisms in a single year\n                1\n              . Complex methanogenesis pathways used by archaea are the main route for bioconversion of carbon dioxide (CO2) to CH4 in nature2\u20134. Here, we report that wild-type iron-iron (Fe-only) nitrogenase from the bacterium Rhodopseudomonas palustris reduces CO2 simultaneously with nitrogen gas (N2) and protons to yield CH4, ammonia (NH3) and hydrogen gas (H2) in a single enzymatic step. The amount of CH4 produced by purified Fe-only nitrogenase was low compared to its other products, but CH4 production by this enzyme in R. palustris was sufficient to support the growth of an obligate CH4-utilizing Methylomonas strain when the two microorganisms were grown in co-culture, with oxygen (O2) added at intervals. Other nitrogen-fixing bacteria that we tested also formed CH4 when expressing Fe-only nitrogenase, suggesting that this is a general property of this enzyme. The genomes of 9% of diverse nitrogen-fixing microorganisms from a range of environments encode Fe-only nitrogenase. Our data suggest that active Fe-only nitrogenase, present in diverse microorganisms, contributes CH4 that could shape microbial community interactions.", "author" : [ { "dropping-particle" : "", "family" : "Zheng", "given" : "Yanning", "non-dropping-particle" : "", "parse-names" : false, "suffix" : "" }, { "dropping-particle" : "", "family" : "Harris", "given" : "Derek F.", "non-dropping-particle" : "", "parse-names" : false, "suffix" : "" }, { "dropping-particle" : "", "family" : "Yu", "given" : "Zheng", "non-dropping-particle" : "", "parse-names" : false, "suffix" : "" }, { "dropping-particle" : "", "family" : "Fu", "given" : "Yanfen", "non-dropping-particle" : "", "parse-names" : false, "suffix" : "" }, { "dropping-particle" : "", "family" : "Poudel", "given" : "Saroj", "non-dropping-particle" : "", "parse-names" : false, "suffix" : "" }, { "dropping-particle" : "", "family" : "Ledbetter", "given" : "Rhesa N.", "non-dropping-particle" : "", "parse-names" : false, "suffix" : "" }, { "dropping-particle" : "", "family" : "Fixen", "given" : "Kathryn R.", "non-dropping-particle" : "", "parse-names" : false, "suffix" : "" }, { "dropping-particle" : "", "family" : "Yang", "given" : "Zhi-Yong", "non-dropping-particle" : "", "parse-names" : false, "suffix" : "" }, { "dropping-particle" : "", "family" : "Boyd", "given" : "Eric S.", "non-dropping-particle" : "", "parse-names" : false, "suffix" : "" }, { "dropping-particle" : "", "family" : "Lidstrom", "given" : "Mary E.", "non-dropping-particle" : "", "parse-names" : false, "suffix" : "" }, { "dropping-particle" : "", "family" : "Seefeldt", "given" : "Lance C.", "non-dropping-particle" : "", "parse-names" : false, "suffix" : "" }, { "dropping-particle" : "", "family" : "Harwood", "given" : "Caroline S.", "non-dropping-particle" : "", "parse-names" : false, "suffix" : "" } ], "container-title" : "Nature Microbiology", "id" : "ITEM-1", "issued" : { "date-parts" : [ [ "2018" ] ] }, "publisher" : "Springer US", "title" : "A pathway for biological methane production using bacterial iron-only nitrogenase", "type" : "article-journal", "volume" : "4" }, "uris" : [ "http://www.mendeley.com/documents/?uuid=28eb9c56-8569-433c-90a8-b3e2e3d5396d" ] } ], "mendeley" : { "formattedCitation" : "(Zheng et al. 2018)", "plainTextFormattedCitation" : "(Zheng et al. 2018)", "previouslyFormattedCitation" : "(Zheng et al. 2018)" }, "properties" : {  }, "schema" : "https://github.com/citation-style-language/schema/raw/master/csl-citation.json" }</w:instrText>
      </w:r>
      <w:r w:rsidR="001E58CA">
        <w:rPr>
          <w:rFonts w:cs="Times New Roman"/>
          <w:szCs w:val="24"/>
        </w:rPr>
        <w:fldChar w:fldCharType="separate"/>
      </w:r>
      <w:r w:rsidR="001E58CA" w:rsidRPr="001E58CA">
        <w:rPr>
          <w:rFonts w:cs="Times New Roman"/>
          <w:noProof/>
          <w:szCs w:val="24"/>
        </w:rPr>
        <w:t>(Zheng et al. 2018)</w:t>
      </w:r>
      <w:r w:rsidR="001E58CA">
        <w:rPr>
          <w:rFonts w:cs="Times New Roman"/>
          <w:szCs w:val="24"/>
        </w:rPr>
        <w:fldChar w:fldCharType="end"/>
      </w:r>
      <w:r w:rsidR="001E58CA">
        <w:rPr>
          <w:rFonts w:cs="Times New Roman"/>
          <w:szCs w:val="24"/>
        </w:rPr>
        <w:t xml:space="preserve">, suggesting that </w:t>
      </w:r>
      <w:proofErr w:type="spellStart"/>
      <w:r w:rsidR="001E58CA">
        <w:rPr>
          <w:rFonts w:cs="Times New Roman"/>
          <w:szCs w:val="24"/>
        </w:rPr>
        <w:t>Chlorobiales</w:t>
      </w:r>
      <w:proofErr w:type="spellEnd"/>
      <w:r w:rsidR="001E58CA">
        <w:rPr>
          <w:rFonts w:cs="Times New Roman"/>
          <w:szCs w:val="24"/>
        </w:rPr>
        <w:t xml:space="preserve"> may be an additional source of methane in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1748B04F"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This may explain why</w:t>
      </w:r>
      <w:r w:rsidR="007879EE">
        <w:rPr>
          <w:rFonts w:cs="Times New Roman"/>
          <w:szCs w:val="24"/>
        </w:rPr>
        <w:t xml:space="preserve"> populations </w:t>
      </w:r>
      <w:r w:rsidR="00A26E1A">
        <w:rPr>
          <w:rFonts w:cs="Times New Roman"/>
          <w:szCs w:val="24"/>
        </w:rPr>
        <w:t xml:space="preserve">of Cyanobacteria </w:t>
      </w:r>
      <w:r w:rsidR="007879EE">
        <w:rPr>
          <w:rFonts w:cs="Times New Roman"/>
          <w:szCs w:val="24"/>
        </w:rPr>
        <w:t xml:space="preserve">in Lake Mendota </w:t>
      </w:r>
      <w:proofErr w:type="gramStart"/>
      <w:r w:rsidR="007879EE">
        <w:rPr>
          <w:rFonts w:cs="Times New Roman"/>
          <w:szCs w:val="24"/>
        </w:rPr>
        <w:t>have the ability to</w:t>
      </w:r>
      <w:proofErr w:type="gramEnd"/>
      <w:r w:rsidR="007879EE">
        <w:rPr>
          <w:rFonts w:cs="Times New Roman"/>
          <w:szCs w:val="24"/>
        </w:rPr>
        <w:t xml:space="preserve"> fix nitrogen.</w:t>
      </w:r>
    </w:p>
    <w:p w14:paraId="2677C985" w14:textId="00A6C48C" w:rsidR="00F26AFE" w:rsidRPr="00FE23AB" w:rsidRDefault="006263CE" w:rsidP="00FE23AB">
      <w:pPr>
        <w:spacing w:line="360" w:lineRule="auto"/>
        <w:jc w:val="both"/>
        <w:rPr>
          <w:rFonts w:cs="Times New Roman"/>
          <w:szCs w:val="24"/>
        </w:rPr>
      </w:pPr>
      <w:r>
        <w:rPr>
          <w:rFonts w:cs="Times New Roman"/>
          <w:noProof/>
          <w:szCs w:val="24"/>
        </w:rPr>
        <w:lastRenderedPageBreak/>
        <w:drawing>
          <wp:inline distT="0" distB="0" distL="0" distR="0" wp14:anchorId="18CED12E" wp14:editId="2C530A95">
            <wp:extent cx="5943600" cy="5930900"/>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1373DC2C" w14:textId="73589DD3"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nitrogen (A) and sulfur </w:t>
      </w:r>
      <w:r w:rsidR="006263CE">
        <w:t>pathways</w:t>
      </w:r>
      <w:r w:rsidR="00105E49">
        <w:t xml:space="preserve"> are relatively similar between lakes. </w:t>
      </w:r>
      <w:r w:rsidR="007879EE">
        <w:t>N</w:t>
      </w:r>
      <w:r w:rsidR="00105E49">
        <w:t>itrogen fixation (</w:t>
      </w:r>
      <w:r w:rsidR="006263CE">
        <w:t>B</w:t>
      </w:r>
      <w:r w:rsidR="00105E49">
        <w:t xml:space="preserve">) </w:t>
      </w:r>
      <w:r w:rsidR="006263CE">
        <w:t>wa</w:t>
      </w:r>
      <w:r w:rsidR="00105E49">
        <w:t xml:space="preserve">s restricted to Cyanobacteria and </w:t>
      </w:r>
      <w:r w:rsidR="00A26E1A">
        <w:t>P</w:t>
      </w:r>
      <w:r w:rsidR="00105E49">
        <w:t xml:space="preserve">roteobacteria in Lake </w:t>
      </w:r>
      <w:proofErr w:type="gramStart"/>
      <w:r w:rsidR="00105E49">
        <w:t>Mendota,</w:t>
      </w:r>
      <w:r w:rsidR="00A26E1A">
        <w:t xml:space="preserve"> </w:t>
      </w:r>
      <w:r w:rsidR="00105E49">
        <w:t>but</w:t>
      </w:r>
      <w:proofErr w:type="gramEnd"/>
      <w:r w:rsidR="00105E49">
        <w:t xml:space="preserve"> </w:t>
      </w:r>
      <w:r w:rsidR="006263CE">
        <w:t>wa</w:t>
      </w:r>
      <w:r w:rsidR="00105E49">
        <w:t>s more phylogenetically diverse in Trout Bog.</w:t>
      </w:r>
      <w:r w:rsidR="00A26E1A">
        <w:t xml:space="preserve"> The tree was constructed with </w:t>
      </w:r>
      <w:proofErr w:type="spellStart"/>
      <w:r w:rsidR="00A26E1A">
        <w:t>FastTree</w:t>
      </w:r>
      <w:proofErr w:type="spellEnd"/>
      <w:r w:rsidR="00A26E1A">
        <w:t xml:space="preserve"> using whole genome alignments and is intended to show similarity between MAGs, not to imply evolutionary history.</w:t>
      </w:r>
    </w:p>
    <w:p w14:paraId="5ED24505" w14:textId="4BACD09A" w:rsidR="00D00FD2" w:rsidRDefault="00D00FD2" w:rsidP="004A6010">
      <w:pPr>
        <w:spacing w:line="360" w:lineRule="auto"/>
        <w:jc w:val="both"/>
        <w:rPr>
          <w:rFonts w:cs="Times New Roman"/>
          <w:b/>
          <w:szCs w:val="24"/>
        </w:rPr>
      </w:pPr>
    </w:p>
    <w:p w14:paraId="3FCB7372" w14:textId="77CBDBA7" w:rsidR="008F651D" w:rsidRDefault="008F651D" w:rsidP="004A6010">
      <w:pPr>
        <w:spacing w:line="360" w:lineRule="auto"/>
        <w:jc w:val="both"/>
        <w:rPr>
          <w:rFonts w:cs="Times New Roman"/>
          <w:b/>
          <w:szCs w:val="24"/>
        </w:rPr>
      </w:pPr>
    </w:p>
    <w:tbl>
      <w:tblPr>
        <w:tblStyle w:val="GridTable2"/>
        <w:tblW w:w="0" w:type="auto"/>
        <w:tblLook w:val="04A0" w:firstRow="1" w:lastRow="0" w:firstColumn="1" w:lastColumn="0" w:noHBand="0" w:noVBand="1"/>
      </w:tblPr>
      <w:tblGrid>
        <w:gridCol w:w="2040"/>
        <w:gridCol w:w="2082"/>
        <w:gridCol w:w="1623"/>
        <w:gridCol w:w="1751"/>
        <w:gridCol w:w="1864"/>
      </w:tblGrid>
      <w:tr w:rsidR="00436542" w14:paraId="43119C24" w14:textId="77777777" w:rsidTr="00436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4CF1F9" w14:textId="1353BF87" w:rsidR="00436542" w:rsidRDefault="001162B5" w:rsidP="003B06F5">
            <w:pPr>
              <w:jc w:val="both"/>
              <w:rPr>
                <w:rFonts w:cs="Times New Roman"/>
                <w:b w:val="0"/>
                <w:szCs w:val="24"/>
              </w:rPr>
            </w:pPr>
            <w:r>
              <w:rPr>
                <w:rFonts w:cs="Times New Roman"/>
                <w:b w:val="0"/>
                <w:szCs w:val="24"/>
              </w:rPr>
              <w:lastRenderedPageBreak/>
              <w:t>Process</w:t>
            </w:r>
          </w:p>
        </w:tc>
        <w:tc>
          <w:tcPr>
            <w:tcW w:w="1445" w:type="dxa"/>
          </w:tcPr>
          <w:p w14:paraId="27C1D517" w14:textId="7E2B23FC" w:rsidR="00436542" w:rsidRDefault="0044567C"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Marker Gene</w:t>
            </w:r>
          </w:p>
        </w:tc>
        <w:tc>
          <w:tcPr>
            <w:tcW w:w="1803" w:type="dxa"/>
          </w:tcPr>
          <w:p w14:paraId="77EBC1B5" w14:textId="53C0D540"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Lake Mendota</w:t>
            </w:r>
          </w:p>
        </w:tc>
        <w:tc>
          <w:tcPr>
            <w:tcW w:w="1899" w:type="dxa"/>
          </w:tcPr>
          <w:p w14:paraId="2A733E4E" w14:textId="3C4D3039"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Epilimnion</w:t>
            </w:r>
          </w:p>
        </w:tc>
        <w:tc>
          <w:tcPr>
            <w:tcW w:w="1983" w:type="dxa"/>
          </w:tcPr>
          <w:p w14:paraId="222A126D" w14:textId="422000FA"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Hypolimnion</w:t>
            </w:r>
          </w:p>
        </w:tc>
      </w:tr>
      <w:tr w:rsidR="00CE5FF6" w14:paraId="33C605FC"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4C5B744" w14:textId="217FA99E" w:rsidR="00CE5FF6" w:rsidRDefault="001162B5" w:rsidP="00801431">
            <w:pPr>
              <w:jc w:val="center"/>
              <w:rPr>
                <w:rFonts w:cs="Times New Roman"/>
                <w:b w:val="0"/>
                <w:szCs w:val="24"/>
              </w:rPr>
            </w:pPr>
            <w:r>
              <w:rPr>
                <w:rFonts w:cs="Times New Roman"/>
                <w:b w:val="0"/>
                <w:szCs w:val="24"/>
              </w:rPr>
              <w:t>Sulfide oxidation</w:t>
            </w:r>
          </w:p>
        </w:tc>
        <w:tc>
          <w:tcPr>
            <w:tcW w:w="1445" w:type="dxa"/>
          </w:tcPr>
          <w:p w14:paraId="4014841E" w14:textId="192822B8" w:rsidR="00CE5FF6" w:rsidRPr="00EA289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proofErr w:type="gramStart"/>
            <w:r>
              <w:rPr>
                <w:rFonts w:cs="Times New Roman"/>
                <w:szCs w:val="24"/>
              </w:rPr>
              <w:t>Sulfide:quinone</w:t>
            </w:r>
            <w:proofErr w:type="spellEnd"/>
            <w:proofErr w:type="gramEnd"/>
            <w:r>
              <w:rPr>
                <w:rFonts w:cs="Times New Roman"/>
                <w:szCs w:val="24"/>
              </w:rPr>
              <w:t xml:space="preserve"> reductase</w:t>
            </w:r>
          </w:p>
        </w:tc>
        <w:tc>
          <w:tcPr>
            <w:tcW w:w="1803" w:type="dxa"/>
          </w:tcPr>
          <w:p w14:paraId="6E1D599F" w14:textId="5F01E0F2"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w:t>
            </w:r>
          </w:p>
        </w:tc>
        <w:tc>
          <w:tcPr>
            <w:tcW w:w="1899" w:type="dxa"/>
          </w:tcPr>
          <w:p w14:paraId="77042A16" w14:textId="51A0527F"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31%</w:t>
            </w:r>
          </w:p>
        </w:tc>
        <w:tc>
          <w:tcPr>
            <w:tcW w:w="1983" w:type="dxa"/>
          </w:tcPr>
          <w:p w14:paraId="75CF7B9C" w14:textId="76E2BE44"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w:t>
            </w:r>
          </w:p>
        </w:tc>
      </w:tr>
      <w:tr w:rsidR="001162B5" w14:paraId="5EE2B146"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59FE1EE" w14:textId="55D0B3F6" w:rsidR="00EA2895" w:rsidRDefault="001162B5" w:rsidP="00801431">
            <w:pPr>
              <w:jc w:val="center"/>
              <w:rPr>
                <w:rFonts w:cs="Times New Roman"/>
                <w:b w:val="0"/>
                <w:szCs w:val="24"/>
              </w:rPr>
            </w:pPr>
            <w:r>
              <w:rPr>
                <w:rFonts w:cs="Times New Roman"/>
                <w:b w:val="0"/>
                <w:szCs w:val="24"/>
              </w:rPr>
              <w:t>Sulfide oxidation</w:t>
            </w:r>
          </w:p>
        </w:tc>
        <w:tc>
          <w:tcPr>
            <w:tcW w:w="1445" w:type="dxa"/>
          </w:tcPr>
          <w:p w14:paraId="12470790" w14:textId="03BA7528" w:rsidR="00EA2895" w:rsidRPr="00EA289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A2895">
              <w:rPr>
                <w:rFonts w:cs="Times New Roman"/>
                <w:szCs w:val="24"/>
              </w:rPr>
              <w:t>Flavocytochrome c</w:t>
            </w:r>
          </w:p>
        </w:tc>
        <w:tc>
          <w:tcPr>
            <w:tcW w:w="1803" w:type="dxa"/>
          </w:tcPr>
          <w:p w14:paraId="31AB1A90" w14:textId="521888DA"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3%</w:t>
            </w:r>
          </w:p>
        </w:tc>
        <w:tc>
          <w:tcPr>
            <w:tcW w:w="1899" w:type="dxa"/>
          </w:tcPr>
          <w:p w14:paraId="0C26DB82" w14:textId="4235F1A0"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1</w:t>
            </w:r>
            <w:r w:rsidR="0044567C">
              <w:rPr>
                <w:rFonts w:cs="Times New Roman"/>
                <w:szCs w:val="24"/>
              </w:rPr>
              <w:t>4</w:t>
            </w:r>
            <w:r w:rsidRPr="003B06F5">
              <w:rPr>
                <w:rFonts w:cs="Times New Roman"/>
                <w:szCs w:val="24"/>
              </w:rPr>
              <w:t>%</w:t>
            </w:r>
          </w:p>
        </w:tc>
        <w:tc>
          <w:tcPr>
            <w:tcW w:w="1983" w:type="dxa"/>
          </w:tcPr>
          <w:p w14:paraId="49BFD1DC" w14:textId="01C03EEC"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5%</w:t>
            </w:r>
          </w:p>
        </w:tc>
      </w:tr>
      <w:tr w:rsidR="00EA2895" w14:paraId="7D00B85F"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39B7A7CB" w14:textId="483FCF1A" w:rsidR="00EA2895" w:rsidRDefault="0044567C" w:rsidP="00801431">
            <w:pPr>
              <w:jc w:val="center"/>
              <w:rPr>
                <w:rFonts w:cs="Times New Roman"/>
                <w:b w:val="0"/>
                <w:szCs w:val="24"/>
              </w:rPr>
            </w:pPr>
            <w:r>
              <w:rPr>
                <w:rFonts w:cs="Times New Roman"/>
                <w:b w:val="0"/>
                <w:szCs w:val="24"/>
              </w:rPr>
              <w:t>Sulfite reduction or oxidation</w:t>
            </w:r>
          </w:p>
        </w:tc>
        <w:tc>
          <w:tcPr>
            <w:tcW w:w="1445" w:type="dxa"/>
          </w:tcPr>
          <w:p w14:paraId="1099BB3D" w14:textId="232D20F4"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Dissimilatory sulfite reductase</w:t>
            </w:r>
          </w:p>
        </w:tc>
        <w:tc>
          <w:tcPr>
            <w:tcW w:w="1803" w:type="dxa"/>
          </w:tcPr>
          <w:p w14:paraId="55ACD6A9" w14:textId="49F9D629"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0%</w:t>
            </w:r>
          </w:p>
        </w:tc>
        <w:tc>
          <w:tcPr>
            <w:tcW w:w="1899" w:type="dxa"/>
          </w:tcPr>
          <w:p w14:paraId="62B3E8E9" w14:textId="770FB22B"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6 %</w:t>
            </w:r>
          </w:p>
        </w:tc>
        <w:tc>
          <w:tcPr>
            <w:tcW w:w="1983" w:type="dxa"/>
          </w:tcPr>
          <w:p w14:paraId="2AFB127B" w14:textId="2C15B7D2"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8%</w:t>
            </w:r>
          </w:p>
        </w:tc>
      </w:tr>
      <w:tr w:rsidR="001162B5" w14:paraId="1EB05CEB"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FADFD7D" w14:textId="482101AC" w:rsidR="00EA2895" w:rsidRDefault="00C04B82" w:rsidP="00801431">
            <w:pPr>
              <w:jc w:val="center"/>
              <w:rPr>
                <w:rFonts w:cs="Times New Roman"/>
                <w:b w:val="0"/>
                <w:szCs w:val="24"/>
              </w:rPr>
            </w:pPr>
            <w:r>
              <w:rPr>
                <w:rFonts w:cs="Times New Roman"/>
                <w:b w:val="0"/>
                <w:szCs w:val="24"/>
              </w:rPr>
              <w:t>Sulfur oxidation</w:t>
            </w:r>
          </w:p>
        </w:tc>
        <w:tc>
          <w:tcPr>
            <w:tcW w:w="1445" w:type="dxa"/>
          </w:tcPr>
          <w:p w14:paraId="3DA442AC" w14:textId="2092BA4B" w:rsidR="00EA2895" w:rsidRPr="00EA2895" w:rsidRDefault="0044567C"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sox gene cluster</w:t>
            </w:r>
          </w:p>
        </w:tc>
        <w:tc>
          <w:tcPr>
            <w:tcW w:w="1803" w:type="dxa"/>
          </w:tcPr>
          <w:p w14:paraId="70E26A51" w14:textId="1300CF86" w:rsidR="00EA2895" w:rsidRPr="003B06F5" w:rsidRDefault="003C25F8"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r w:rsidR="00EA2895" w:rsidRPr="003B06F5">
              <w:rPr>
                <w:rFonts w:cs="Times New Roman"/>
                <w:szCs w:val="24"/>
              </w:rPr>
              <w:t>%</w:t>
            </w:r>
          </w:p>
        </w:tc>
        <w:tc>
          <w:tcPr>
            <w:tcW w:w="1899" w:type="dxa"/>
          </w:tcPr>
          <w:p w14:paraId="39159153" w14:textId="22E8A957"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r w:rsidR="00EA2895" w:rsidRPr="003B06F5">
              <w:rPr>
                <w:rFonts w:cs="Times New Roman"/>
                <w:szCs w:val="24"/>
              </w:rPr>
              <w:t>%</w:t>
            </w:r>
          </w:p>
        </w:tc>
        <w:tc>
          <w:tcPr>
            <w:tcW w:w="1983" w:type="dxa"/>
          </w:tcPr>
          <w:p w14:paraId="0B74E636" w14:textId="3430A69D"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w:t>
            </w:r>
            <w:r w:rsidR="00EA2895" w:rsidRPr="003B06F5">
              <w:rPr>
                <w:rFonts w:cs="Times New Roman"/>
                <w:szCs w:val="24"/>
              </w:rPr>
              <w:t>%</w:t>
            </w:r>
          </w:p>
        </w:tc>
      </w:tr>
      <w:tr w:rsidR="00EA2895" w14:paraId="5ABB649A"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6EE958CB" w14:textId="58E97F9B" w:rsidR="00EA2895" w:rsidRDefault="00A95153" w:rsidP="00801431">
            <w:pPr>
              <w:jc w:val="center"/>
              <w:rPr>
                <w:rFonts w:cs="Times New Roman"/>
                <w:b w:val="0"/>
                <w:szCs w:val="24"/>
              </w:rPr>
            </w:pPr>
            <w:r>
              <w:rPr>
                <w:rFonts w:cs="Times New Roman"/>
                <w:b w:val="0"/>
                <w:szCs w:val="24"/>
              </w:rPr>
              <w:t>Sulfite oxidation</w:t>
            </w:r>
          </w:p>
        </w:tc>
        <w:tc>
          <w:tcPr>
            <w:tcW w:w="1445" w:type="dxa"/>
          </w:tcPr>
          <w:p w14:paraId="19B914AD" w14:textId="1B2E63CC"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 xml:space="preserve">Sulfate </w:t>
            </w:r>
            <w:proofErr w:type="spellStart"/>
            <w:r w:rsidRPr="00EA2895">
              <w:rPr>
                <w:rFonts w:cs="Times New Roman"/>
                <w:szCs w:val="24"/>
              </w:rPr>
              <w:t>adenylyltransferase</w:t>
            </w:r>
            <w:proofErr w:type="spellEnd"/>
          </w:p>
        </w:tc>
        <w:tc>
          <w:tcPr>
            <w:tcW w:w="1803" w:type="dxa"/>
          </w:tcPr>
          <w:p w14:paraId="09005125" w14:textId="619E874A"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45%</w:t>
            </w:r>
          </w:p>
        </w:tc>
        <w:tc>
          <w:tcPr>
            <w:tcW w:w="1899" w:type="dxa"/>
          </w:tcPr>
          <w:p w14:paraId="6C35B368" w14:textId="1A3F6C96"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52%</w:t>
            </w:r>
          </w:p>
        </w:tc>
        <w:tc>
          <w:tcPr>
            <w:tcW w:w="1983" w:type="dxa"/>
          </w:tcPr>
          <w:p w14:paraId="63309B1C" w14:textId="0A7AFDA7"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49%</w:t>
            </w:r>
          </w:p>
        </w:tc>
      </w:tr>
      <w:tr w:rsidR="00A95153" w14:paraId="71F7C52F"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463AC7E2" w14:textId="1E8CF53C" w:rsidR="00A95153" w:rsidRDefault="00A95153" w:rsidP="00801431">
            <w:pPr>
              <w:jc w:val="center"/>
              <w:rPr>
                <w:rFonts w:cs="Times New Roman"/>
                <w:b w:val="0"/>
                <w:szCs w:val="24"/>
              </w:rPr>
            </w:pPr>
            <w:r>
              <w:rPr>
                <w:rFonts w:cs="Times New Roman"/>
                <w:b w:val="0"/>
                <w:szCs w:val="24"/>
              </w:rPr>
              <w:t>Sulfite oxidation</w:t>
            </w:r>
          </w:p>
        </w:tc>
        <w:tc>
          <w:tcPr>
            <w:tcW w:w="1445" w:type="dxa"/>
          </w:tcPr>
          <w:p w14:paraId="5812FB39" w14:textId="23CCDA8B" w:rsidR="00A95153" w:rsidRPr="00EA289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Phosphoadenosine</w:t>
            </w:r>
            <w:proofErr w:type="spellEnd"/>
            <w:r>
              <w:rPr>
                <w:rFonts w:cs="Times New Roman"/>
                <w:szCs w:val="24"/>
              </w:rPr>
              <w:t xml:space="preserve"> </w:t>
            </w:r>
            <w:proofErr w:type="spellStart"/>
            <w:r>
              <w:rPr>
                <w:rFonts w:cs="Times New Roman"/>
                <w:szCs w:val="24"/>
              </w:rPr>
              <w:t>phosphosulfate</w:t>
            </w:r>
            <w:proofErr w:type="spellEnd"/>
            <w:r>
              <w:rPr>
                <w:rFonts w:cs="Times New Roman"/>
                <w:szCs w:val="24"/>
              </w:rPr>
              <w:t xml:space="preserve"> reductase</w:t>
            </w:r>
          </w:p>
        </w:tc>
        <w:tc>
          <w:tcPr>
            <w:tcW w:w="1803" w:type="dxa"/>
          </w:tcPr>
          <w:p w14:paraId="6B3C968A" w14:textId="635C503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899" w:type="dxa"/>
          </w:tcPr>
          <w:p w14:paraId="0E682E5D" w14:textId="1FA2300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983" w:type="dxa"/>
          </w:tcPr>
          <w:p w14:paraId="4DC74D92" w14:textId="332D00B6"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29%</w:t>
            </w:r>
          </w:p>
        </w:tc>
      </w:tr>
      <w:tr w:rsidR="004F6FF4" w14:paraId="5E6C38E7"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FDEFFF" w14:textId="75903FD0" w:rsidR="004F6FF4" w:rsidRDefault="004F6FF4" w:rsidP="00801431">
            <w:pPr>
              <w:jc w:val="center"/>
              <w:rPr>
                <w:rFonts w:cs="Times New Roman"/>
                <w:b w:val="0"/>
                <w:szCs w:val="24"/>
              </w:rPr>
            </w:pPr>
            <w:r>
              <w:rPr>
                <w:rFonts w:cs="Times New Roman"/>
                <w:b w:val="0"/>
                <w:szCs w:val="24"/>
              </w:rPr>
              <w:t>Assimilatory sulfate reduction</w:t>
            </w:r>
          </w:p>
        </w:tc>
        <w:tc>
          <w:tcPr>
            <w:tcW w:w="1445" w:type="dxa"/>
          </w:tcPr>
          <w:p w14:paraId="7DECF515" w14:textId="7FF86E6F"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Assimilatory sulfate reductase</w:t>
            </w:r>
          </w:p>
        </w:tc>
        <w:tc>
          <w:tcPr>
            <w:tcW w:w="1803" w:type="dxa"/>
          </w:tcPr>
          <w:p w14:paraId="0683129B" w14:textId="663B4C3C"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51%</w:t>
            </w:r>
          </w:p>
        </w:tc>
        <w:tc>
          <w:tcPr>
            <w:tcW w:w="1899" w:type="dxa"/>
          </w:tcPr>
          <w:p w14:paraId="6D6D6E0B" w14:textId="33A91BD6"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w:t>
            </w:r>
          </w:p>
        </w:tc>
        <w:tc>
          <w:tcPr>
            <w:tcW w:w="1983" w:type="dxa"/>
          </w:tcPr>
          <w:p w14:paraId="1A237C82" w14:textId="2C336AB0"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59%</w:t>
            </w:r>
          </w:p>
        </w:tc>
      </w:tr>
    </w:tbl>
    <w:p w14:paraId="62B69D23" w14:textId="1516F053" w:rsidR="008F651D" w:rsidRDefault="008F651D" w:rsidP="004A6010">
      <w:pPr>
        <w:spacing w:line="360" w:lineRule="auto"/>
        <w:jc w:val="both"/>
        <w:rPr>
          <w:rFonts w:cs="Times New Roman"/>
          <w:b/>
          <w:szCs w:val="24"/>
        </w:rPr>
      </w:pPr>
    </w:p>
    <w:p w14:paraId="2C0E58E0" w14:textId="61E43EAB" w:rsidR="009552BD" w:rsidRPr="009552BD" w:rsidRDefault="009552BD" w:rsidP="004A6010">
      <w:pPr>
        <w:spacing w:line="360" w:lineRule="auto"/>
        <w:jc w:val="both"/>
        <w:rPr>
          <w:rFonts w:cs="Times New Roman"/>
          <w:szCs w:val="24"/>
        </w:rPr>
      </w:pPr>
      <w:r>
        <w:rPr>
          <w:rFonts w:cs="Times New Roman"/>
          <w:b/>
          <w:szCs w:val="24"/>
        </w:rPr>
        <w:t xml:space="preserve">Table 2. Marker genes for sulfur cycling pathways. </w:t>
      </w:r>
      <w:r w:rsidR="00365AF9">
        <w:rPr>
          <w:rFonts w:cs="Times New Roman"/>
          <w:szCs w:val="24"/>
        </w:rPr>
        <w:t xml:space="preserve">This table reports the percentage of MAGs from each site containing a coding region annotated as a gene considered indicative a step in the sulfur cycle. Genes indicating oxidation dominated over those indicating reduction. </w:t>
      </w:r>
    </w:p>
    <w:p w14:paraId="6AE39F3E" w14:textId="233E3108" w:rsidR="008A5CFA" w:rsidRPr="008A5CFA" w:rsidRDefault="00C64D38" w:rsidP="008A5CFA">
      <w:pPr>
        <w:pStyle w:val="Heading2"/>
        <w:rPr>
          <w:rFonts w:cstheme="majorBidi"/>
          <w:szCs w:val="32"/>
        </w:rPr>
      </w:pPr>
      <w:r>
        <w:t>Sulfur Cycling</w:t>
      </w:r>
    </w:p>
    <w:p w14:paraId="6EE8AFB2" w14:textId="6EAF8191" w:rsidR="00364AC2"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xml:space="preserve">. </w:t>
      </w:r>
      <w:r w:rsidR="00A26E1A">
        <w:rPr>
          <w:rFonts w:cs="Times New Roman"/>
          <w:szCs w:val="24"/>
        </w:rPr>
        <w:t>A</w:t>
      </w:r>
      <w:r w:rsidR="006263CE">
        <w:rPr>
          <w:rFonts w:cs="Times New Roman"/>
          <w:szCs w:val="24"/>
        </w:rPr>
        <w:t>s expe</w:t>
      </w:r>
      <w:bookmarkStart w:id="0" w:name="_GoBack"/>
      <w:bookmarkEnd w:id="0"/>
      <w:r w:rsidR="006263CE">
        <w:rPr>
          <w:rFonts w:cs="Times New Roman"/>
          <w:szCs w:val="24"/>
        </w:rPr>
        <w:t>cted, a</w:t>
      </w:r>
      <w:r w:rsidR="00A26E1A">
        <w:rPr>
          <w:rFonts w:cs="Times New Roman"/>
          <w:szCs w:val="24"/>
        </w:rPr>
        <w:t>ssimilatory sulfate reduction was the most common pathway identified. For sulfur us</w:t>
      </w:r>
      <w:r w:rsidR="006263CE">
        <w:rPr>
          <w:rFonts w:cs="Times New Roman"/>
          <w:szCs w:val="24"/>
        </w:rPr>
        <w:t>e</w:t>
      </w:r>
      <w:r w:rsidR="00A26E1A">
        <w:rPr>
          <w:rFonts w:cs="Times New Roman"/>
          <w:szCs w:val="24"/>
        </w:rPr>
        <w:t xml:space="preserve"> as a terminal electron acceptor or donor, </w:t>
      </w:r>
      <w:r w:rsidR="00EA42C4">
        <w:rPr>
          <w:rFonts w:cs="Times New Roman"/>
          <w:szCs w:val="24"/>
        </w:rPr>
        <w:t>oxidation</w:t>
      </w:r>
      <w:r w:rsidR="007B5D3B">
        <w:rPr>
          <w:rFonts w:cs="Times New Roman"/>
          <w:szCs w:val="24"/>
        </w:rPr>
        <w:t xml:space="preserve"> </w:t>
      </w:r>
      <w:r w:rsidR="00A26E1A">
        <w:rPr>
          <w:rFonts w:cs="Times New Roman"/>
          <w:szCs w:val="24"/>
        </w:rPr>
        <w:t>pathways</w:t>
      </w:r>
      <w:r w:rsidR="007B5D3B">
        <w:rPr>
          <w:rFonts w:cs="Times New Roman"/>
          <w:szCs w:val="24"/>
        </w:rPr>
        <w:t xml:space="preserve"> </w:t>
      </w:r>
      <w:r w:rsidR="00EA42C4">
        <w:rPr>
          <w:rFonts w:cs="Times New Roman"/>
          <w:szCs w:val="24"/>
        </w:rPr>
        <w:t xml:space="preserve">were more prevalent than reduction pathways </w:t>
      </w:r>
      <w:r w:rsidR="007B5D3B">
        <w:rPr>
          <w:rFonts w:cs="Times New Roman"/>
          <w:szCs w:val="24"/>
        </w:rPr>
        <w:t xml:space="preserve">in both systems, presumably reflecting the </w:t>
      </w:r>
      <w:r w:rsidR="007879EE">
        <w:rPr>
          <w:rFonts w:cs="Times New Roman"/>
          <w:szCs w:val="24"/>
        </w:rPr>
        <w:t xml:space="preserve">physiological and </w:t>
      </w:r>
      <w:r w:rsidR="007B5D3B">
        <w:rPr>
          <w:rFonts w:cs="Times New Roman"/>
          <w:szCs w:val="24"/>
        </w:rPr>
        <w:t>ecological importance of oxidation vs</w:t>
      </w:r>
      <w:r w:rsidR="006263CE">
        <w:rPr>
          <w:rFonts w:cs="Times New Roman"/>
          <w:szCs w:val="24"/>
        </w:rPr>
        <w:t>.</w:t>
      </w:r>
      <w:r w:rsidR="007B5D3B">
        <w:rPr>
          <w:rFonts w:cs="Times New Roman"/>
          <w:szCs w:val="24"/>
        </w:rPr>
        <w:t xml:space="preserve"> reduction</w:t>
      </w:r>
      <w:r w:rsidR="007879EE">
        <w:rPr>
          <w:rFonts w:cs="Times New Roman"/>
          <w:szCs w:val="24"/>
        </w:rPr>
        <w:t xml:space="preserve"> (Fig. 4</w:t>
      </w:r>
      <w:r w:rsidR="007C3BA7">
        <w:rPr>
          <w:rFonts w:cs="Times New Roman"/>
          <w:szCs w:val="24"/>
        </w:rPr>
        <w:t>A</w:t>
      </w:r>
      <w:r w:rsidR="007879EE">
        <w:rPr>
          <w:rFonts w:cs="Times New Roman"/>
          <w:szCs w:val="24"/>
        </w:rPr>
        <w:t>)</w:t>
      </w:r>
      <w:r w:rsidR="007B5D3B">
        <w:rPr>
          <w:rFonts w:cs="Times New Roman"/>
          <w:szCs w:val="24"/>
        </w:rPr>
        <w:t xml:space="preserve">. </w:t>
      </w:r>
    </w:p>
    <w:p w14:paraId="279C3E6A" w14:textId="00CF8280" w:rsidR="006263CE" w:rsidRDefault="006263CE" w:rsidP="009D0694">
      <w:pPr>
        <w:spacing w:line="360" w:lineRule="auto"/>
        <w:ind w:firstLine="720"/>
        <w:jc w:val="both"/>
        <w:rPr>
          <w:rFonts w:cs="Times New Roman"/>
          <w:szCs w:val="24"/>
        </w:rPr>
      </w:pPr>
      <w:r>
        <w:rPr>
          <w:rFonts w:cs="Times New Roman"/>
          <w:szCs w:val="24"/>
        </w:rPr>
        <w:t>To further investigate sulfur metabolism, we searched for sulfur-related marker genes in our MAGs</w:t>
      </w:r>
      <w:r w:rsidR="007E726F">
        <w:rPr>
          <w:rFonts w:cs="Times New Roman"/>
          <w:szCs w:val="24"/>
        </w:rPr>
        <w:t xml:space="preserve">. The marker genes chosen included flavocytochrome c (sulfide oxidation), dissimilatory sulfate reductase (sulfate reduction, sulfate oxidation in some phototrophs and other bacteria), thiosulfate dehydrogenase (SOX oxidation), and sulfate </w:t>
      </w:r>
      <w:proofErr w:type="spellStart"/>
      <w:r w:rsidR="007E726F">
        <w:rPr>
          <w:rFonts w:cs="Times New Roman"/>
          <w:szCs w:val="24"/>
        </w:rPr>
        <w:t>adenylyltransferase</w:t>
      </w:r>
      <w:proofErr w:type="spellEnd"/>
      <w:r w:rsidR="007E726F">
        <w:rPr>
          <w:rFonts w:cs="Times New Roman"/>
          <w:szCs w:val="24"/>
        </w:rPr>
        <w:t xml:space="preserve"> (sulfite oxidation). We also searched for anaerobic sulfite </w:t>
      </w:r>
      <w:proofErr w:type="gramStart"/>
      <w:r w:rsidR="007E726F">
        <w:rPr>
          <w:rFonts w:cs="Times New Roman"/>
          <w:szCs w:val="24"/>
        </w:rPr>
        <w:t>reductases, but</w:t>
      </w:r>
      <w:proofErr w:type="gramEnd"/>
      <w:r w:rsidR="007E726F">
        <w:rPr>
          <w:rFonts w:cs="Times New Roman"/>
          <w:szCs w:val="24"/>
        </w:rPr>
        <w:t xml:space="preserve"> did not detect any. </w:t>
      </w:r>
      <w:proofErr w:type="gramStart"/>
      <w:r w:rsidR="007E726F">
        <w:rPr>
          <w:rFonts w:cs="Times New Roman"/>
          <w:szCs w:val="24"/>
        </w:rPr>
        <w:t>Similar to</w:t>
      </w:r>
      <w:proofErr w:type="gramEnd"/>
      <w:r w:rsidR="007E726F">
        <w:rPr>
          <w:rFonts w:cs="Times New Roman"/>
          <w:szCs w:val="24"/>
        </w:rPr>
        <w:t xml:space="preserve"> the results of the sulfur pathway analysis, oxidation was observed more frequently than reduction (Table 2). The most common marker gene was sulfate </w:t>
      </w:r>
      <w:proofErr w:type="spellStart"/>
      <w:r w:rsidR="007E726F">
        <w:rPr>
          <w:rFonts w:cs="Times New Roman"/>
          <w:szCs w:val="24"/>
        </w:rPr>
        <w:t>adenylyltransferase</w:t>
      </w:r>
      <w:proofErr w:type="spellEnd"/>
      <w:r w:rsidR="007E726F">
        <w:rPr>
          <w:rFonts w:cs="Times New Roman"/>
          <w:szCs w:val="24"/>
        </w:rPr>
        <w:t xml:space="preserve">, found in approximately half of MAGs from each study site. Thiosulfate dehydrogenase was observed more frequently in MAGs from Trout Bog than in MAGs from Lake Mendota. Dissimilatory sulfite reductase was </w:t>
      </w:r>
      <w:r w:rsidR="007E726F">
        <w:rPr>
          <w:rFonts w:cs="Times New Roman"/>
          <w:szCs w:val="24"/>
        </w:rPr>
        <w:lastRenderedPageBreak/>
        <w:t xml:space="preserve">observed only in MAGs from Trout Bog, especially MAGs classified as </w:t>
      </w:r>
      <w:proofErr w:type="spellStart"/>
      <w:r w:rsidR="007E726F">
        <w:rPr>
          <w:rFonts w:cs="Times New Roman"/>
          <w:szCs w:val="24"/>
        </w:rPr>
        <w:t>Chlorobiales</w:t>
      </w:r>
      <w:proofErr w:type="spellEnd"/>
      <w:r w:rsidR="007E726F">
        <w:rPr>
          <w:rFonts w:cs="Times New Roman"/>
          <w:szCs w:val="24"/>
        </w:rPr>
        <w:t>. Because this enzyme</w:t>
      </w:r>
      <w:r w:rsidR="009552BD">
        <w:rPr>
          <w:rFonts w:cs="Times New Roman"/>
          <w:szCs w:val="24"/>
        </w:rPr>
        <w:t xml:space="preserve"> in known to</w:t>
      </w:r>
      <w:r w:rsidR="007E726F">
        <w:rPr>
          <w:rFonts w:cs="Times New Roman"/>
          <w:szCs w:val="24"/>
        </w:rPr>
        <w:t xml:space="preserve"> </w:t>
      </w:r>
      <w:r w:rsidR="009552BD">
        <w:rPr>
          <w:rFonts w:cs="Times New Roman"/>
          <w:szCs w:val="24"/>
        </w:rPr>
        <w:t>operate in reverse</w:t>
      </w:r>
      <w:r w:rsidR="007E726F">
        <w:rPr>
          <w:rFonts w:cs="Times New Roman"/>
          <w:szCs w:val="24"/>
        </w:rPr>
        <w:t xml:space="preserve"> in phototrophs such as </w:t>
      </w:r>
      <w:proofErr w:type="spellStart"/>
      <w:r w:rsidR="007E726F">
        <w:rPr>
          <w:rFonts w:cs="Times New Roman"/>
          <w:szCs w:val="24"/>
        </w:rPr>
        <w:t>Chlorobiales</w:t>
      </w:r>
      <w:proofErr w:type="spellEnd"/>
      <w:r w:rsidR="007E726F">
        <w:rPr>
          <w:rFonts w:cs="Times New Roman"/>
          <w:szCs w:val="24"/>
        </w:rPr>
        <w:t xml:space="preserve">, </w:t>
      </w:r>
      <w:r w:rsidR="009552BD">
        <w:rPr>
          <w:rFonts w:cs="Times New Roman"/>
          <w:szCs w:val="24"/>
        </w:rPr>
        <w:t>this may indicate additional oxidation rather than the presence of a reductive sulfur pathway.</w:t>
      </w:r>
    </w:p>
    <w:p w14:paraId="51D5E0B8" w14:textId="36F31F74" w:rsidR="00377F14" w:rsidRPr="009D0694" w:rsidRDefault="00377F14" w:rsidP="009D0694">
      <w:pPr>
        <w:spacing w:line="360" w:lineRule="auto"/>
        <w:ind w:firstLine="720"/>
        <w:jc w:val="both"/>
        <w:rPr>
          <w:rFonts w:cs="Times New Roman"/>
          <w:szCs w:val="24"/>
        </w:rPr>
      </w:pPr>
    </w:p>
    <w:p w14:paraId="78FEBA62" w14:textId="34DBE443" w:rsidR="00364AC2" w:rsidRDefault="00377F14" w:rsidP="00377F14">
      <w:pPr>
        <w:pStyle w:val="Heading2"/>
        <w:spacing w:line="360" w:lineRule="auto"/>
      </w:pPr>
      <w:r>
        <w:t>MAGs over Time</w:t>
      </w:r>
    </w:p>
    <w:p w14:paraId="11DDE286" w14:textId="1CD19AE7" w:rsidR="00A06DFE" w:rsidRPr="00377F14" w:rsidRDefault="007E726F" w:rsidP="00377F14">
      <w:pPr>
        <w:spacing w:line="360" w:lineRule="auto"/>
        <w:jc w:val="both"/>
      </w:pPr>
      <w:r>
        <w:rPr>
          <w:noProof/>
        </w:rPr>
        <w:drawing>
          <wp:anchor distT="0" distB="0" distL="114300" distR="114300" simplePos="0" relativeHeight="251672576" behindDoc="1" locked="0" layoutInCell="1" allowOverlap="1" wp14:anchorId="5509BFF7" wp14:editId="6107F82B">
            <wp:simplePos x="0" y="0"/>
            <wp:positionH relativeFrom="page">
              <wp:align>right</wp:align>
            </wp:positionH>
            <wp:positionV relativeFrom="paragraph">
              <wp:posOffset>5225415</wp:posOffset>
            </wp:positionV>
            <wp:extent cx="7431405" cy="2466975"/>
            <wp:effectExtent l="0" t="0" r="0" b="9525"/>
            <wp:wrapSquare wrapText="bothSides"/>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_inkscape.png"/>
                    <pic:cNvPicPr/>
                  </pic:nvPicPr>
                  <pic:blipFill>
                    <a:blip r:embed="rId8">
                      <a:extLst>
                        <a:ext uri="{28A0092B-C50C-407E-A947-70E740481C1C}">
                          <a14:useLocalDpi xmlns:a14="http://schemas.microsoft.com/office/drawing/2010/main" val="0"/>
                        </a:ext>
                      </a:extLst>
                    </a:blip>
                    <a:stretch>
                      <a:fillRect/>
                    </a:stretch>
                  </pic:blipFill>
                  <pic:spPr>
                    <a:xfrm>
                      <a:off x="0" y="0"/>
                      <a:ext cx="7431405" cy="2466975"/>
                    </a:xfrm>
                    <a:prstGeom prst="rect">
                      <a:avLst/>
                    </a:prstGeom>
                  </pic:spPr>
                </pic:pic>
              </a:graphicData>
            </a:graphic>
            <wp14:sizeRelH relativeFrom="margin">
              <wp14:pctWidth>0</wp14:pctWidth>
            </wp14:sizeRelH>
            <wp14:sizeRelV relativeFrom="margin">
              <wp14:pctHeight>0</wp14:pctHeight>
            </wp14:sizeRelV>
          </wp:anchor>
        </w:drawing>
      </w:r>
      <w:r w:rsidR="00377F14">
        <w:tab/>
        <w:t xml:space="preserve">Because these MAGs were recovered from metagenomic time series, we can assess trends in the MAGs over time using reads mapped from the time series to the MAGs as a proxy for abundance. </w:t>
      </w:r>
      <w:r w:rsidR="007C3BA7">
        <w:t xml:space="preserve">Combining this data with metabolic information about each MAG provides further insight into their ecology. For example, the model </w:t>
      </w:r>
      <w:proofErr w:type="spellStart"/>
      <w:r w:rsidR="007C3BA7">
        <w:t>methlyotrophs</w:t>
      </w:r>
      <w:proofErr w:type="spellEnd"/>
      <w:r w:rsidR="007C3BA7">
        <w:t xml:space="preserve"> </w:t>
      </w:r>
      <w:proofErr w:type="spellStart"/>
      <w:r w:rsidR="007C3BA7">
        <w:t>Methylococcales</w:t>
      </w:r>
      <w:proofErr w:type="spellEnd"/>
      <w:r w:rsidR="007C3BA7">
        <w:t xml:space="preserve"> and </w:t>
      </w:r>
      <w:proofErr w:type="spellStart"/>
      <w:r w:rsidR="007C3BA7">
        <w:t>Methylophilales</w:t>
      </w:r>
      <w:proofErr w:type="spellEnd"/>
      <w:r w:rsidR="007C3BA7">
        <w:t xml:space="preserve"> show distinct trends over time in each study site (Fig. 5). </w:t>
      </w:r>
      <w:proofErr w:type="spellStart"/>
      <w:r w:rsidR="007C3BA7">
        <w:t>Methylococcales</w:t>
      </w:r>
      <w:proofErr w:type="spellEnd"/>
      <w:r w:rsidR="007C3BA7">
        <w:t xml:space="preserve"> are aerobes that consume methane; in lakes, oxygen is available in the epilimnion during stratification and throughout the water column during spring and fall mixing only, while methane is produced in the anaerobic hypolimnion and sediments.  Therefore, </w:t>
      </w:r>
      <w:proofErr w:type="spellStart"/>
      <w:r w:rsidR="007C3BA7">
        <w:t>Methylococcales</w:t>
      </w:r>
      <w:proofErr w:type="spellEnd"/>
      <w:r w:rsidR="007C3BA7">
        <w:t xml:space="preserve"> can likely only thrive where both oxygen and methane are present. As expected, MAGs classified as </w:t>
      </w:r>
      <w:proofErr w:type="spellStart"/>
      <w:r w:rsidR="007C3BA7">
        <w:t>Methylococcales</w:t>
      </w:r>
      <w:proofErr w:type="spellEnd"/>
      <w:r w:rsidR="007C3BA7">
        <w:t xml:space="preserve"> are found in the Trout Bog hypolimnion only during fall mixing</w:t>
      </w:r>
      <w:r w:rsidR="00A06DFE">
        <w:t xml:space="preserve">, a time when those conditions are met in the deeper regions of the lake. </w:t>
      </w:r>
      <w:proofErr w:type="spellStart"/>
      <w:r w:rsidR="00A06DFE">
        <w:t>Methylococcales</w:t>
      </w:r>
      <w:proofErr w:type="spellEnd"/>
      <w:r w:rsidR="00A06DFE">
        <w:t xml:space="preserve"> in the epilimnion of Trout Bog decrease in the spring and early summer and increase again in the fall, likely reflecting methane concentrations, as oxygen is more constant. In the epilimnion of Lake Mendota, which has less stable stratification than Trout Bog, </w:t>
      </w:r>
      <w:proofErr w:type="spellStart"/>
      <w:r w:rsidR="00A06DFE">
        <w:t>Methylococcales</w:t>
      </w:r>
      <w:proofErr w:type="spellEnd"/>
      <w:r w:rsidR="00A06DFE">
        <w:t xml:space="preserve"> periodically increases in the summer fall. One possible explanation for this trend could be the small scale, wind-driven mixes that occur in Lake Mendota.</w:t>
      </w:r>
      <w:r w:rsidR="00483D84">
        <w:t xml:space="preserve"> </w:t>
      </w:r>
      <w:r w:rsidR="00A06DFE">
        <w:t xml:space="preserve">In contrast, </w:t>
      </w:r>
      <w:proofErr w:type="spellStart"/>
      <w:r w:rsidR="00A06DFE">
        <w:t>Methylophilales</w:t>
      </w:r>
      <w:proofErr w:type="spellEnd"/>
      <w:r w:rsidR="00A06DFE">
        <w:t xml:space="preserve"> was detected in both </w:t>
      </w:r>
      <w:proofErr w:type="spellStart"/>
      <w:r w:rsidR="00A06DFE">
        <w:t>epilimnia</w:t>
      </w:r>
      <w:proofErr w:type="spellEnd"/>
      <w:r w:rsidR="00A06DFE">
        <w:t xml:space="preserve"> and the Trout Bog </w:t>
      </w:r>
      <w:r w:rsidR="00A06DFE">
        <w:lastRenderedPageBreak/>
        <w:t xml:space="preserve">hypolimnion, suggesting it may be a facultative anaerobe. </w:t>
      </w:r>
      <w:r w:rsidR="00483D84">
        <w:t xml:space="preserve">The methylotrophic metabolism of this taxon, which likely utilized methanol and methylamines, does not require oxygen. Its abundance is relatively stable over time, suggesting that its niche and carbon sources are also stable in our study sites. </w:t>
      </w:r>
    </w:p>
    <w:p w14:paraId="65F94868" w14:textId="2CCB59B9" w:rsidR="00F26AFE" w:rsidRDefault="007B5D3B" w:rsidP="00377F14">
      <w:pPr>
        <w:pStyle w:val="Heading2"/>
        <w:spacing w:line="48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2227AAE6" w14:textId="248F7A2F" w:rsidR="001E58CA" w:rsidRPr="001E58CA" w:rsidRDefault="00C9067D" w:rsidP="001E58C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1E58CA" w:rsidRPr="001E58CA">
        <w:rPr>
          <w:rFonts w:cs="Times New Roman"/>
          <w:noProof/>
          <w:szCs w:val="24"/>
        </w:rPr>
        <w:t xml:space="preserve">Bendall, Matthew L et al. 2016. “Genome-Wide Selective Sweeps and Gene-Specific Sweeps in Natural Bacterial Populations.” </w:t>
      </w:r>
      <w:r w:rsidR="001E58CA" w:rsidRPr="001E58CA">
        <w:rPr>
          <w:rFonts w:cs="Times New Roman"/>
          <w:i/>
          <w:iCs/>
          <w:noProof/>
          <w:szCs w:val="24"/>
        </w:rPr>
        <w:t>ISME journal</w:t>
      </w:r>
      <w:r w:rsidR="001E58CA" w:rsidRPr="001E58CA">
        <w:rPr>
          <w:rFonts w:cs="Times New Roman"/>
          <w:noProof/>
          <w:szCs w:val="24"/>
        </w:rPr>
        <w:t xml:space="preserve"> 10: 1589–1601. http://dx.doi.org/10.1038/ismej.2015.241.</w:t>
      </w:r>
    </w:p>
    <w:p w14:paraId="66D3F1D3"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Beversdorf, Lucas J, Todd R Miller, and Katherine D McMahon. 2013. “The Role of Nitrogen Fixation in Cyanobacterial Bloom Toxicity in a Temperate , Eutrophic Lake.” </w:t>
      </w:r>
      <w:r w:rsidRPr="001E58CA">
        <w:rPr>
          <w:rFonts w:cs="Times New Roman"/>
          <w:i/>
          <w:iCs/>
          <w:noProof/>
          <w:szCs w:val="24"/>
        </w:rPr>
        <w:t>PloS one</w:t>
      </w:r>
      <w:r w:rsidRPr="001E58CA">
        <w:rPr>
          <w:rFonts w:cs="Times New Roman"/>
          <w:noProof/>
          <w:szCs w:val="24"/>
        </w:rPr>
        <w:t xml:space="preserve"> 8(2): 1–11.</w:t>
      </w:r>
    </w:p>
    <w:p w14:paraId="6BF1154D"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Bragg, Jason G. 2011. “How Prochlorococcus Bacteria Use Nitrogen Sparingly in Their Proteins.” </w:t>
      </w:r>
      <w:r w:rsidRPr="001E58CA">
        <w:rPr>
          <w:rFonts w:cs="Times New Roman"/>
          <w:i/>
          <w:iCs/>
          <w:noProof/>
          <w:szCs w:val="24"/>
        </w:rPr>
        <w:t>Molecular Ecology</w:t>
      </w:r>
      <w:r w:rsidRPr="001E58CA">
        <w:rPr>
          <w:rFonts w:cs="Times New Roman"/>
          <w:noProof/>
          <w:szCs w:val="24"/>
        </w:rPr>
        <w:t xml:space="preserve"> 20(1): 27–28.</w:t>
      </w:r>
    </w:p>
    <w:p w14:paraId="1ACB0929"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Brown, Christopher T. et al. 2015. “Unusual Biology across a Group Comprising More than 15% of Domain Bacteria.” </w:t>
      </w:r>
      <w:r w:rsidRPr="001E58CA">
        <w:rPr>
          <w:rFonts w:cs="Times New Roman"/>
          <w:i/>
          <w:iCs/>
          <w:noProof/>
          <w:szCs w:val="24"/>
        </w:rPr>
        <w:t>Nature</w:t>
      </w:r>
      <w:r w:rsidRPr="001E58CA">
        <w:rPr>
          <w:rFonts w:cs="Times New Roman"/>
          <w:noProof/>
          <w:szCs w:val="24"/>
        </w:rPr>
        <w:t xml:space="preserve"> 523(7559): 208–11.</w:t>
      </w:r>
    </w:p>
    <w:p w14:paraId="7A2B29CE"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Butman, David et al. 2015. “Aquatic Carbon Cycling in the Conterminous United States and Implications for Terrestrial Carbon Accounting.” </w:t>
      </w:r>
      <w:r w:rsidRPr="001E58CA">
        <w:rPr>
          <w:rFonts w:cs="Times New Roman"/>
          <w:i/>
          <w:iCs/>
          <w:noProof/>
          <w:szCs w:val="24"/>
        </w:rPr>
        <w:t>Proceedings of the National Academy of Sciences</w:t>
      </w:r>
      <w:r w:rsidRPr="001E58CA">
        <w:rPr>
          <w:rFonts w:cs="Times New Roman"/>
          <w:noProof/>
          <w:szCs w:val="24"/>
        </w:rPr>
        <w:t>: 1–6.</w:t>
      </w:r>
    </w:p>
    <w:p w14:paraId="64EFC1B7"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Chistoserdova, Ludmila, Marina G. Kalyuzhnaya, and Mary E. Lidstrom. 2009. “The Expanding World of Methylotrophic Metabolism.” </w:t>
      </w:r>
      <w:r w:rsidRPr="001E58CA">
        <w:rPr>
          <w:rFonts w:cs="Times New Roman"/>
          <w:i/>
          <w:iCs/>
          <w:noProof/>
          <w:szCs w:val="24"/>
        </w:rPr>
        <w:t>Annual review of microbiology</w:t>
      </w:r>
      <w:r w:rsidRPr="001E58CA">
        <w:rPr>
          <w:rFonts w:cs="Times New Roman"/>
          <w:noProof/>
          <w:szCs w:val="24"/>
        </w:rPr>
        <w:t xml:space="preserve"> 63: 477–99.</w:t>
      </w:r>
    </w:p>
    <w:p w14:paraId="5CE76950"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Eiler, Alexander et al. 2015. “Tuning Fresh: Radiation through Rewiring of Central Metabolism in Streamlined Bacteria.” </w:t>
      </w:r>
      <w:r w:rsidRPr="001E58CA">
        <w:rPr>
          <w:rFonts w:cs="Times New Roman"/>
          <w:i/>
          <w:iCs/>
          <w:noProof/>
          <w:szCs w:val="24"/>
        </w:rPr>
        <w:t>The ISME Journal</w:t>
      </w:r>
      <w:r w:rsidRPr="001E58CA">
        <w:rPr>
          <w:rFonts w:cs="Times New Roman"/>
          <w:noProof/>
          <w:szCs w:val="24"/>
        </w:rPr>
        <w:t xml:space="preserve"> (January 2016): 1–13. http://dx.doi.org/10.1038/ismej.2015.260.</w:t>
      </w:r>
    </w:p>
    <w:p w14:paraId="34C0081E"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Ghylin, Trevor W. et al. 2014. “Comparative Single-Cell Genomics Reveals Potential Ecological Niches for the Freshwater acI Actinobacteria Lineage.” </w:t>
      </w:r>
      <w:r w:rsidRPr="001E58CA">
        <w:rPr>
          <w:rFonts w:cs="Times New Roman"/>
          <w:i/>
          <w:iCs/>
          <w:noProof/>
          <w:szCs w:val="24"/>
        </w:rPr>
        <w:t>The ISME journal</w:t>
      </w:r>
      <w:r w:rsidRPr="001E58CA">
        <w:rPr>
          <w:rFonts w:cs="Times New Roman"/>
          <w:noProof/>
          <w:szCs w:val="24"/>
        </w:rPr>
        <w:t xml:space="preserve"> 8(12): 2503–16.</w:t>
      </w:r>
    </w:p>
    <w:p w14:paraId="46042982"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Gimmler, Anna et al. 2016. “The Tara Oceans Voyage Reveals Global Diversity and Distribution Patterns of Marine Planktonic Ciliates.” </w:t>
      </w:r>
      <w:r w:rsidRPr="001E58CA">
        <w:rPr>
          <w:rFonts w:cs="Times New Roman"/>
          <w:i/>
          <w:iCs/>
          <w:noProof/>
          <w:szCs w:val="24"/>
        </w:rPr>
        <w:t>Nature Publishing Group</w:t>
      </w:r>
      <w:r w:rsidRPr="001E58CA">
        <w:rPr>
          <w:rFonts w:cs="Times New Roman"/>
          <w:noProof/>
          <w:szCs w:val="24"/>
        </w:rPr>
        <w:t xml:space="preserve"> (April): 1–13. http://dx.doi.org/10.1038/srep33555.</w:t>
      </w:r>
    </w:p>
    <w:p w14:paraId="28B94C6D"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Giroldo, Danilo, Armando Augusto, and Henriques Vieira. 2005. “Polymeric and Free Sugars </w:t>
      </w:r>
      <w:r w:rsidRPr="001E58CA">
        <w:rPr>
          <w:rFonts w:cs="Times New Roman"/>
          <w:noProof/>
          <w:szCs w:val="24"/>
        </w:rPr>
        <w:lastRenderedPageBreak/>
        <w:t xml:space="preserve">Released by Three Phytoplanktonic Species from a Freshwater Tropical Eutrophic Reservoir.” </w:t>
      </w:r>
      <w:r w:rsidRPr="001E58CA">
        <w:rPr>
          <w:rFonts w:cs="Times New Roman"/>
          <w:i/>
          <w:iCs/>
          <w:noProof/>
          <w:szCs w:val="24"/>
        </w:rPr>
        <w:t>Journal of Plankton Research</w:t>
      </w:r>
      <w:r w:rsidRPr="001E58CA">
        <w:rPr>
          <w:rFonts w:cs="Times New Roman"/>
          <w:noProof/>
          <w:szCs w:val="24"/>
        </w:rPr>
        <w:t xml:space="preserve"> 27(7): 695–705.</w:t>
      </w:r>
    </w:p>
    <w:p w14:paraId="67B5B029"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Hall, Michael W et al. 2017. “Ananke : Temporal Clustering Reveals Ecological Dynamics of Microbial Communities.” </w:t>
      </w:r>
      <w:r w:rsidRPr="001E58CA">
        <w:rPr>
          <w:rFonts w:cs="Times New Roman"/>
          <w:i/>
          <w:iCs/>
          <w:noProof/>
          <w:szCs w:val="24"/>
        </w:rPr>
        <w:t>PeerJ</w:t>
      </w:r>
      <w:r w:rsidRPr="001E58CA">
        <w:rPr>
          <w:rFonts w:cs="Times New Roman"/>
          <w:noProof/>
          <w:szCs w:val="24"/>
        </w:rPr>
        <w:t xml:space="preserve"> 5(e3812): 1–19.</w:t>
      </w:r>
    </w:p>
    <w:p w14:paraId="4034086F"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Hamilton, Joshua J et al. 2017. “Metabolic Network Analysis and Metatranscriptomics Reveal Auxotrophies and Nutrient Sources of the Cosmopolitan Freshwater Microbial Lineage acI.” 2(4): 1–13.</w:t>
      </w:r>
    </w:p>
    <w:p w14:paraId="2734679D"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Hanson, T E, and F R Tabita. 2001. “A Ribulose-1,5-Bisphosphate Carboxylase/oxygenase (RubisCO)-like Protein from Chlorobium Tepidum That Is Involved with Sulfur Metabolism and the Response to Oxidative Stress.” </w:t>
      </w:r>
      <w:r w:rsidRPr="001E58CA">
        <w:rPr>
          <w:rFonts w:cs="Times New Roman"/>
          <w:i/>
          <w:iCs/>
          <w:noProof/>
          <w:szCs w:val="24"/>
        </w:rPr>
        <w:t>Proceedings of the National Academy of Sciences of the United States of America</w:t>
      </w:r>
      <w:r w:rsidRPr="001E58CA">
        <w:rPr>
          <w:rFonts w:cs="Times New Roman"/>
          <w:noProof/>
          <w:szCs w:val="24"/>
        </w:rPr>
        <w:t xml:space="preserve"> 98(8): 4397–4402. http://www.pubmedcentral.nih.gov/articlerender.fcgi?artid=31846&amp;tool=pmcentrez&amp;rendertype=abstract.</w:t>
      </w:r>
    </w:p>
    <w:p w14:paraId="2077AAFC"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He, Shaomei et al. 2017. “Ecophysiology of Freshwater Verrucomicrobia Inferred from Metagenome-Assembled Genomes.” </w:t>
      </w:r>
      <w:r w:rsidRPr="001E58CA">
        <w:rPr>
          <w:rFonts w:cs="Times New Roman"/>
          <w:i/>
          <w:iCs/>
          <w:noProof/>
          <w:szCs w:val="24"/>
        </w:rPr>
        <w:t>mSphere</w:t>
      </w:r>
      <w:r w:rsidRPr="001E58CA">
        <w:rPr>
          <w:rFonts w:cs="Times New Roman"/>
          <w:noProof/>
          <w:szCs w:val="24"/>
        </w:rPr>
        <w:t xml:space="preserve"> 2(5): 1–17.</w:t>
      </w:r>
    </w:p>
    <w:p w14:paraId="29E73AD3"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Igarashi, Kazuei, and Keiko Kashiwagi. 1999. “Polyamine Transport in Bacteria and Yeast.” </w:t>
      </w:r>
      <w:r w:rsidRPr="001E58CA">
        <w:rPr>
          <w:rFonts w:cs="Times New Roman"/>
          <w:i/>
          <w:iCs/>
          <w:noProof/>
          <w:szCs w:val="24"/>
        </w:rPr>
        <w:t>Biochem. J.</w:t>
      </w:r>
      <w:r w:rsidRPr="001E58CA">
        <w:rPr>
          <w:rFonts w:cs="Times New Roman"/>
          <w:noProof/>
          <w:szCs w:val="24"/>
        </w:rPr>
        <w:t xml:space="preserve"> 344: 633–42.</w:t>
      </w:r>
    </w:p>
    <w:p w14:paraId="26C869C0"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Jorgenson, Niels OG et al. 1998. “Effects of Sunlight on Occurrence and Bacterial Turnover of Specific Carbon and Nitrogen Compounds in Lake Water.” </w:t>
      </w:r>
      <w:r w:rsidRPr="001E58CA">
        <w:rPr>
          <w:rFonts w:cs="Times New Roman"/>
          <w:i/>
          <w:iCs/>
          <w:noProof/>
          <w:szCs w:val="24"/>
        </w:rPr>
        <w:t>FEMS Microbiology Ecology</w:t>
      </w:r>
      <w:r w:rsidRPr="001E58CA">
        <w:rPr>
          <w:rFonts w:cs="Times New Roman"/>
          <w:noProof/>
          <w:szCs w:val="24"/>
        </w:rPr>
        <w:t xml:space="preserve"> 25: 217–27.</w:t>
      </w:r>
    </w:p>
    <w:p w14:paraId="718DADF5"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Juttner, F, and T Matuschek. 1977. “The Release of Low Molecular Weight Compounds by the Phytoplankton in an Eutrophic Lake.” </w:t>
      </w:r>
      <w:r w:rsidRPr="001E58CA">
        <w:rPr>
          <w:rFonts w:cs="Times New Roman"/>
          <w:i/>
          <w:iCs/>
          <w:noProof/>
          <w:szCs w:val="24"/>
        </w:rPr>
        <w:t>Water</w:t>
      </w:r>
      <w:r w:rsidRPr="001E58CA">
        <w:rPr>
          <w:rFonts w:cs="Times New Roman"/>
          <w:noProof/>
          <w:szCs w:val="24"/>
        </w:rPr>
        <w:t xml:space="preserve"> 12: 251–55.</w:t>
      </w:r>
    </w:p>
    <w:p w14:paraId="63578D95"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Kalyuzhnaya, Marina G et al. 2012. “Novel Methylotrophic Isolates from Lake Sediment, Description of Methylotenera Versatilis Sp. Nov. and Emended Description of the Genus Methylotenera.” </w:t>
      </w:r>
      <w:r w:rsidRPr="001E58CA">
        <w:rPr>
          <w:rFonts w:cs="Times New Roman"/>
          <w:i/>
          <w:iCs/>
          <w:noProof/>
          <w:szCs w:val="24"/>
        </w:rPr>
        <w:t>International journal of systematic and evolutionary microbiology</w:t>
      </w:r>
      <w:r w:rsidRPr="001E58CA">
        <w:rPr>
          <w:rFonts w:cs="Times New Roman"/>
          <w:noProof/>
          <w:szCs w:val="24"/>
        </w:rPr>
        <w:t xml:space="preserve"> 62(Pt 1): 106–11. http://www.ncbi.nlm.nih.gov/pubmed/21335496.</w:t>
      </w:r>
    </w:p>
    <w:p w14:paraId="30DF7774"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1E58CA">
        <w:rPr>
          <w:rFonts w:cs="Times New Roman"/>
          <w:i/>
          <w:iCs/>
          <w:noProof/>
          <w:szCs w:val="24"/>
        </w:rPr>
        <w:t>European Journal of Biochemistry</w:t>
      </w:r>
      <w:r w:rsidRPr="001E58CA">
        <w:rPr>
          <w:rFonts w:cs="Times New Roman"/>
          <w:noProof/>
          <w:szCs w:val="24"/>
        </w:rPr>
        <w:t xml:space="preserve"> 269(7): 1926–31.</w:t>
      </w:r>
    </w:p>
    <w:p w14:paraId="07F66D51"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Kara, Emily L et al. 2013. “A Decade of Seasonal Dynamics and Co-Occurrences within Freshwater Bacterioplankton Communities from Eutrophic Lake Mendota, WI, USA.” </w:t>
      </w:r>
      <w:r w:rsidRPr="001E58CA">
        <w:rPr>
          <w:rFonts w:cs="Times New Roman"/>
          <w:i/>
          <w:iCs/>
          <w:noProof/>
          <w:szCs w:val="24"/>
        </w:rPr>
        <w:t>The ISME journal</w:t>
      </w:r>
      <w:r w:rsidRPr="001E58CA">
        <w:rPr>
          <w:rFonts w:cs="Times New Roman"/>
          <w:noProof/>
          <w:szCs w:val="24"/>
        </w:rPr>
        <w:t xml:space="preserve"> 7(3): 680–84. http://www.ncbi.nlm.nih.gov/pubmed/23051691 (February 11, 2014).</w:t>
      </w:r>
    </w:p>
    <w:p w14:paraId="13CC7D8B"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1E58CA">
        <w:rPr>
          <w:rFonts w:cs="Times New Roman"/>
          <w:i/>
          <w:iCs/>
          <w:noProof/>
          <w:szCs w:val="24"/>
        </w:rPr>
        <w:t>Aquatic Microbial Ecology</w:t>
      </w:r>
      <w:r w:rsidRPr="001E58CA">
        <w:rPr>
          <w:rFonts w:cs="Times New Roman"/>
          <w:noProof/>
          <w:szCs w:val="24"/>
        </w:rPr>
        <w:t xml:space="preserve"> 68: 267–72.</w:t>
      </w:r>
    </w:p>
    <w:p w14:paraId="26F8EB0E"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365E3C59"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lastRenderedPageBreak/>
        <w:t xml:space="preserve">Linz, Alexandra M. et al. 2017. “Bacterial Community Composition and Dynamics Spanning Five Years in Freshwater Bog Lakes.” </w:t>
      </w:r>
      <w:r w:rsidRPr="001E58CA">
        <w:rPr>
          <w:rFonts w:cs="Times New Roman"/>
          <w:i/>
          <w:iCs/>
          <w:noProof/>
          <w:szCs w:val="24"/>
        </w:rPr>
        <w:t>mSphere</w:t>
      </w:r>
      <w:r w:rsidRPr="001E58CA">
        <w:rPr>
          <w:rFonts w:cs="Times New Roman"/>
          <w:noProof/>
          <w:szCs w:val="24"/>
        </w:rPr>
        <w:t xml:space="preserve"> 2(3): 1–15.</w:t>
      </w:r>
    </w:p>
    <w:p w14:paraId="583DE804"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Martinez-Garcia, Manuel et al. 2012. “High-Throughput Single-Cell Sequencing Identifies Photoheterotrophs and Chemoautotrophs in Freshwater Bacterioplankton.” </w:t>
      </w:r>
      <w:r w:rsidRPr="001E58CA">
        <w:rPr>
          <w:rFonts w:cs="Times New Roman"/>
          <w:i/>
          <w:iCs/>
          <w:noProof/>
          <w:szCs w:val="24"/>
        </w:rPr>
        <w:t>The ISME Journal</w:t>
      </w:r>
      <w:r w:rsidRPr="001E58CA">
        <w:rPr>
          <w:rFonts w:cs="Times New Roman"/>
          <w:noProof/>
          <w:szCs w:val="24"/>
        </w:rPr>
        <w:t xml:space="preserve"> 6(1): 113–23. http://dx.doi.org/10.1038/ismej.2011.84.</w:t>
      </w:r>
    </w:p>
    <w:p w14:paraId="59FAB872"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McGowan, Suzanne et al. 2016. “Long-Term Perspectives on Terrestrial and Aquatic Carbon Cycling from Palaeolimnology.” </w:t>
      </w:r>
      <w:r w:rsidRPr="001E58CA">
        <w:rPr>
          <w:rFonts w:cs="Times New Roman"/>
          <w:i/>
          <w:iCs/>
          <w:noProof/>
          <w:szCs w:val="24"/>
        </w:rPr>
        <w:t>WIREs Water</w:t>
      </w:r>
      <w:r w:rsidRPr="001E58CA">
        <w:rPr>
          <w:rFonts w:cs="Times New Roman"/>
          <w:noProof/>
          <w:szCs w:val="24"/>
        </w:rPr>
        <w:t xml:space="preserve"> 3: 211–34.</w:t>
      </w:r>
    </w:p>
    <w:p w14:paraId="0282C2D6"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Miles, R J. 1992. “Review Article Catabolism in </w:t>
      </w:r>
      <w:r w:rsidRPr="001E58CA">
        <w:rPr>
          <w:rFonts w:cs="Times New Roman"/>
          <w:i/>
          <w:iCs/>
          <w:noProof/>
          <w:szCs w:val="24"/>
        </w:rPr>
        <w:t>Mollicutes</w:t>
      </w:r>
      <w:r w:rsidRPr="001E58CA">
        <w:rPr>
          <w:rFonts w:cs="Times New Roman"/>
          <w:noProof/>
          <w:szCs w:val="24"/>
        </w:rPr>
        <w:t xml:space="preserve">.” </w:t>
      </w:r>
      <w:r w:rsidRPr="001E58CA">
        <w:rPr>
          <w:rFonts w:cs="Times New Roman"/>
          <w:i/>
          <w:iCs/>
          <w:noProof/>
          <w:szCs w:val="24"/>
        </w:rPr>
        <w:t>Journal of General Microbiology</w:t>
      </w:r>
      <w:r w:rsidRPr="001E58CA">
        <w:rPr>
          <w:rFonts w:cs="Times New Roman"/>
          <w:noProof/>
          <w:szCs w:val="24"/>
        </w:rPr>
        <w:t xml:space="preserve"> 138(1 992): 1773–83.</w:t>
      </w:r>
    </w:p>
    <w:p w14:paraId="6D7941EA"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Mou, Xiaozhen et al. 2011. “Metatranscriptomic Signature of Exogenous Polyamine Utilization by Coastal Bacterioplankton.” 3: 798–806.</w:t>
      </w:r>
    </w:p>
    <w:p w14:paraId="5FE2945C"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Parks, Donovan H et al. 2015. “CheckM: Assessing the Quality of Microbial Genomes Recovered from Isolates, Single Cells, and Metagenomes.” </w:t>
      </w:r>
      <w:r w:rsidRPr="001E58CA">
        <w:rPr>
          <w:rFonts w:cs="Times New Roman"/>
          <w:i/>
          <w:iCs/>
          <w:noProof/>
          <w:szCs w:val="24"/>
        </w:rPr>
        <w:t>Genome Research</w:t>
      </w:r>
      <w:r w:rsidRPr="001E58CA">
        <w:rPr>
          <w:rFonts w:cs="Times New Roman"/>
          <w:noProof/>
          <w:szCs w:val="24"/>
        </w:rPr>
        <w:t xml:space="preserve"> 25(7).</w:t>
      </w:r>
    </w:p>
    <w:p w14:paraId="126282FD"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6847D729"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Peters, John W. et al. 2015. “[FeFe]- and [NiFe]-Hydrogenase Diversity, Mechanism, and Maturation.” </w:t>
      </w:r>
      <w:r w:rsidRPr="001E58CA">
        <w:rPr>
          <w:rFonts w:cs="Times New Roman"/>
          <w:i/>
          <w:iCs/>
          <w:noProof/>
          <w:szCs w:val="24"/>
        </w:rPr>
        <w:t>Biochimica et Biophysica Acta - Molecular Cell Research</w:t>
      </w:r>
      <w:r w:rsidRPr="001E58CA">
        <w:rPr>
          <w:rFonts w:cs="Times New Roman"/>
          <w:noProof/>
          <w:szCs w:val="24"/>
        </w:rPr>
        <w:t xml:space="preserve"> 1853(6): 1350–69. http://dx.doi.org/10.1016/j.bbamcr.2014.11.021.</w:t>
      </w:r>
    </w:p>
    <w:p w14:paraId="27162307"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Peura, Sari et al. 2012. “Distinct and Diverse Anaerobic Bacterial Communities in Boreal Lakes Dominated by Candidate Division OD1.” </w:t>
      </w:r>
      <w:r w:rsidRPr="001E58CA">
        <w:rPr>
          <w:rFonts w:cs="Times New Roman"/>
          <w:i/>
          <w:iCs/>
          <w:noProof/>
          <w:szCs w:val="24"/>
        </w:rPr>
        <w:t>ISME journal</w:t>
      </w:r>
      <w:r w:rsidRPr="001E58CA">
        <w:rPr>
          <w:rFonts w:cs="Times New Roman"/>
          <w:noProof/>
          <w:szCs w:val="24"/>
        </w:rPr>
        <w:t xml:space="preserve"> 6: 1640–52.</w:t>
      </w:r>
    </w:p>
    <w:p w14:paraId="174A82EF"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Remsen, Charles C, Edward J Carpenter, and Brian W Schroeder. 1972. “Competition for Urea among Estuarine Microorganisms.” </w:t>
      </w:r>
      <w:r w:rsidRPr="001E58CA">
        <w:rPr>
          <w:rFonts w:cs="Times New Roman"/>
          <w:i/>
          <w:iCs/>
          <w:noProof/>
          <w:szCs w:val="24"/>
        </w:rPr>
        <w:t>Ecological Society of America</w:t>
      </w:r>
      <w:r w:rsidRPr="001E58CA">
        <w:rPr>
          <w:rFonts w:cs="Times New Roman"/>
          <w:noProof/>
          <w:szCs w:val="24"/>
        </w:rPr>
        <w:t xml:space="preserve"> 53(5): 921–26.</w:t>
      </w:r>
    </w:p>
    <w:p w14:paraId="208DD7ED"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7CA17569"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 2015b. “The Ecology of Pelagic Freshwater Methylotrophs Assessed by a High-Resolution Monitoring and Isolation Campaign.” </w:t>
      </w:r>
      <w:r w:rsidRPr="001E58CA">
        <w:rPr>
          <w:rFonts w:cs="Times New Roman"/>
          <w:i/>
          <w:iCs/>
          <w:noProof/>
          <w:szCs w:val="24"/>
        </w:rPr>
        <w:t>The ISME Journal</w:t>
      </w:r>
      <w:r w:rsidRPr="001E58CA">
        <w:rPr>
          <w:rFonts w:cs="Times New Roman"/>
          <w:noProof/>
          <w:szCs w:val="24"/>
        </w:rPr>
        <w:t>: 1–12. http://www.nature.com/doifinder/10.1038/ismej.2015.55.</w:t>
      </w:r>
    </w:p>
    <w:p w14:paraId="592246F0"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Tang, Kuo Hsiang, and Robert E. Blankenship. 2010. “Both Forward and Reverse TCA Cycles Operate in Green Sulfur Bacteria.” </w:t>
      </w:r>
      <w:r w:rsidRPr="001E58CA">
        <w:rPr>
          <w:rFonts w:cs="Times New Roman"/>
          <w:i/>
          <w:iCs/>
          <w:noProof/>
          <w:szCs w:val="24"/>
        </w:rPr>
        <w:t>Journal of Biological Chemistry</w:t>
      </w:r>
      <w:r w:rsidRPr="001E58CA">
        <w:rPr>
          <w:rFonts w:cs="Times New Roman"/>
          <w:noProof/>
          <w:szCs w:val="24"/>
        </w:rPr>
        <w:t xml:space="preserve"> 285(46): 35848–54.</w:t>
      </w:r>
    </w:p>
    <w:p w14:paraId="13084087" w14:textId="77777777" w:rsidR="001E58CA" w:rsidRPr="001E58CA" w:rsidRDefault="001E58CA" w:rsidP="001E58CA">
      <w:pPr>
        <w:widowControl w:val="0"/>
        <w:autoSpaceDE w:val="0"/>
        <w:autoSpaceDN w:val="0"/>
        <w:adjustRightInd w:val="0"/>
        <w:spacing w:line="240" w:lineRule="auto"/>
        <w:ind w:left="480" w:hanging="480"/>
        <w:rPr>
          <w:rFonts w:cs="Times New Roman"/>
          <w:noProof/>
          <w:szCs w:val="24"/>
        </w:rPr>
      </w:pPr>
      <w:r w:rsidRPr="001E58CA">
        <w:rPr>
          <w:rFonts w:cs="Times New Roman"/>
          <w:noProof/>
          <w:szCs w:val="24"/>
        </w:rPr>
        <w:t xml:space="preserve">Williamson, Craig E., Walter Dodds, Timothy K. Kratz, and Margaret A. Palmer. 2008. “Lakes and Streams as Sentinels of Environmental Change in Terrestrial and Atmospheric Processes.” </w:t>
      </w:r>
      <w:r w:rsidRPr="001E58CA">
        <w:rPr>
          <w:rFonts w:cs="Times New Roman"/>
          <w:i/>
          <w:iCs/>
          <w:noProof/>
          <w:szCs w:val="24"/>
        </w:rPr>
        <w:t>Frontiers in Ecology and the Environment</w:t>
      </w:r>
      <w:r w:rsidRPr="001E58CA">
        <w:rPr>
          <w:rFonts w:cs="Times New Roman"/>
          <w:noProof/>
          <w:szCs w:val="24"/>
        </w:rPr>
        <w:t xml:space="preserve"> 6(5): 247–54.</w:t>
      </w:r>
    </w:p>
    <w:p w14:paraId="3EA03EA1" w14:textId="77777777" w:rsidR="001E58CA" w:rsidRPr="001E58CA" w:rsidRDefault="001E58CA" w:rsidP="001E58CA">
      <w:pPr>
        <w:widowControl w:val="0"/>
        <w:autoSpaceDE w:val="0"/>
        <w:autoSpaceDN w:val="0"/>
        <w:adjustRightInd w:val="0"/>
        <w:spacing w:line="240" w:lineRule="auto"/>
        <w:ind w:left="480" w:hanging="480"/>
        <w:rPr>
          <w:rFonts w:cs="Times New Roman"/>
          <w:noProof/>
        </w:rPr>
      </w:pPr>
      <w:r w:rsidRPr="001E58CA">
        <w:rPr>
          <w:rFonts w:cs="Times New Roman"/>
          <w:noProof/>
          <w:szCs w:val="24"/>
        </w:rPr>
        <w:t xml:space="preserve">Zheng, Yanning et al. 2018. “A Pathway for Biological Methane Production Using Bacterial Iron-Only Nitrogenase.” </w:t>
      </w:r>
      <w:r w:rsidRPr="001E58CA">
        <w:rPr>
          <w:rFonts w:cs="Times New Roman"/>
          <w:i/>
          <w:iCs/>
          <w:noProof/>
          <w:szCs w:val="24"/>
        </w:rPr>
        <w:t>Nature Microbiology</w:t>
      </w:r>
      <w:r w:rsidRPr="001E58CA">
        <w:rPr>
          <w:rFonts w:cs="Times New Roman"/>
          <w:noProof/>
          <w:szCs w:val="24"/>
        </w:rPr>
        <w:t xml:space="preserve"> 4. http://www.nature.com/articles/s41564-</w:t>
      </w:r>
      <w:r w:rsidRPr="001E58CA">
        <w:rPr>
          <w:rFonts w:cs="Times New Roman"/>
          <w:noProof/>
          <w:szCs w:val="24"/>
        </w:rPr>
        <w:lastRenderedPageBreak/>
        <w:t>017-0091-5.</w:t>
      </w:r>
    </w:p>
    <w:p w14:paraId="072EEDC6" w14:textId="7F1B029C" w:rsidR="00C9067D" w:rsidRDefault="00C9067D" w:rsidP="00C9067D">
      <w:r>
        <w:fldChar w:fldCharType="end"/>
      </w:r>
    </w:p>
    <w:p w14:paraId="4A4025F7" w14:textId="09EA0E3E" w:rsidR="00791216" w:rsidRDefault="00791216" w:rsidP="00791216">
      <w:pPr>
        <w:pStyle w:val="Heading2"/>
      </w:pPr>
      <w:r>
        <w:t>Supplemental</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5576A798"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39.87 (7.44)</w:t>
            </w:r>
          </w:p>
        </w:tc>
        <w:tc>
          <w:tcPr>
            <w:tcW w:w="2610" w:type="dxa"/>
          </w:tcPr>
          <w:p w14:paraId="3D1CFD7F" w14:textId="0D5AAD20"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0.22 (0.07)</w:t>
            </w:r>
          </w:p>
        </w:tc>
        <w:tc>
          <w:tcPr>
            <w:tcW w:w="2880" w:type="dxa"/>
          </w:tcPr>
          <w:p w14:paraId="1C35B9AB" w14:textId="0A1F6FE6"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0.28 (0.08)</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0E5CE7BE"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E074490" w14:textId="4A33A80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17DE1711" w14:textId="4218BB44"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4FEAE25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27CF5EEE" w14:textId="73D265C3"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597988F5" w14:textId="5C7292BB"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6A43ED1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42B6F35C" w14:textId="653CDD3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7FA2DCEC" w14:textId="1072354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0049A34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6A0C4B6" w14:textId="7C6194CC"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10A783B0" w14:textId="0DAB6D2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B101DD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7B0F52C4" w14:textId="2EADD359"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15E7163A" w14:textId="3DED30A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36262A7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072AE659" w14:textId="659B962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13D3999C" w14:textId="5B241CD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73311FFC" w14:textId="77777777" w:rsidR="00791216" w:rsidRPr="00C9067D" w:rsidRDefault="00791216" w:rsidP="00C9067D"/>
    <w:sectPr w:rsidR="00791216"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753E0"/>
    <w:rsid w:val="00084F23"/>
    <w:rsid w:val="00096680"/>
    <w:rsid w:val="000A1F9F"/>
    <w:rsid w:val="000B240E"/>
    <w:rsid w:val="000E1E18"/>
    <w:rsid w:val="00105E49"/>
    <w:rsid w:val="001162B5"/>
    <w:rsid w:val="00131DF7"/>
    <w:rsid w:val="001476D8"/>
    <w:rsid w:val="00153C67"/>
    <w:rsid w:val="00194180"/>
    <w:rsid w:val="001E58CA"/>
    <w:rsid w:val="001F01FF"/>
    <w:rsid w:val="0020406E"/>
    <w:rsid w:val="00206C7B"/>
    <w:rsid w:val="00222B88"/>
    <w:rsid w:val="002409B3"/>
    <w:rsid w:val="00242EB5"/>
    <w:rsid w:val="00254972"/>
    <w:rsid w:val="00260505"/>
    <w:rsid w:val="00266869"/>
    <w:rsid w:val="0028221F"/>
    <w:rsid w:val="00283E2E"/>
    <w:rsid w:val="002B3736"/>
    <w:rsid w:val="002C1146"/>
    <w:rsid w:val="002F0582"/>
    <w:rsid w:val="002F5E38"/>
    <w:rsid w:val="003318E6"/>
    <w:rsid w:val="0034414A"/>
    <w:rsid w:val="003618A3"/>
    <w:rsid w:val="00363484"/>
    <w:rsid w:val="00364AC2"/>
    <w:rsid w:val="00365AF9"/>
    <w:rsid w:val="00377F14"/>
    <w:rsid w:val="0038091D"/>
    <w:rsid w:val="00393F1B"/>
    <w:rsid w:val="003B06F5"/>
    <w:rsid w:val="003C25F8"/>
    <w:rsid w:val="003D1F63"/>
    <w:rsid w:val="003D5A73"/>
    <w:rsid w:val="003F2F8C"/>
    <w:rsid w:val="003F7145"/>
    <w:rsid w:val="00401ACA"/>
    <w:rsid w:val="004138AB"/>
    <w:rsid w:val="0041614F"/>
    <w:rsid w:val="00436542"/>
    <w:rsid w:val="0044567C"/>
    <w:rsid w:val="00483D84"/>
    <w:rsid w:val="00487299"/>
    <w:rsid w:val="004A46AC"/>
    <w:rsid w:val="004A6010"/>
    <w:rsid w:val="004A78B2"/>
    <w:rsid w:val="004B510D"/>
    <w:rsid w:val="004C0F8F"/>
    <w:rsid w:val="004D27D2"/>
    <w:rsid w:val="004E0516"/>
    <w:rsid w:val="004F1920"/>
    <w:rsid w:val="004F6FF4"/>
    <w:rsid w:val="00501404"/>
    <w:rsid w:val="005705CE"/>
    <w:rsid w:val="0057242B"/>
    <w:rsid w:val="00576C40"/>
    <w:rsid w:val="005965AE"/>
    <w:rsid w:val="005A5527"/>
    <w:rsid w:val="005B0EB6"/>
    <w:rsid w:val="005E24DA"/>
    <w:rsid w:val="005E35C7"/>
    <w:rsid w:val="005E5B8D"/>
    <w:rsid w:val="0060026A"/>
    <w:rsid w:val="006263CE"/>
    <w:rsid w:val="00632A77"/>
    <w:rsid w:val="006412FF"/>
    <w:rsid w:val="00644EC2"/>
    <w:rsid w:val="00662055"/>
    <w:rsid w:val="006711EE"/>
    <w:rsid w:val="00687196"/>
    <w:rsid w:val="00687C64"/>
    <w:rsid w:val="00687EFB"/>
    <w:rsid w:val="006F42C8"/>
    <w:rsid w:val="00701B59"/>
    <w:rsid w:val="00704B80"/>
    <w:rsid w:val="00705F64"/>
    <w:rsid w:val="00732488"/>
    <w:rsid w:val="00737662"/>
    <w:rsid w:val="00751DCB"/>
    <w:rsid w:val="007615B7"/>
    <w:rsid w:val="00777F2B"/>
    <w:rsid w:val="0078604B"/>
    <w:rsid w:val="007879EE"/>
    <w:rsid w:val="00791216"/>
    <w:rsid w:val="00793164"/>
    <w:rsid w:val="007A25BD"/>
    <w:rsid w:val="007B5D3B"/>
    <w:rsid w:val="007C0A8C"/>
    <w:rsid w:val="007C3BA7"/>
    <w:rsid w:val="007E726F"/>
    <w:rsid w:val="007F1A1E"/>
    <w:rsid w:val="00801431"/>
    <w:rsid w:val="00822990"/>
    <w:rsid w:val="0083766F"/>
    <w:rsid w:val="00887063"/>
    <w:rsid w:val="008A5CFA"/>
    <w:rsid w:val="008F5749"/>
    <w:rsid w:val="008F651D"/>
    <w:rsid w:val="00907EF0"/>
    <w:rsid w:val="0094429B"/>
    <w:rsid w:val="0095001B"/>
    <w:rsid w:val="009552BD"/>
    <w:rsid w:val="0097677A"/>
    <w:rsid w:val="00982A50"/>
    <w:rsid w:val="00990A37"/>
    <w:rsid w:val="00990D17"/>
    <w:rsid w:val="00991A92"/>
    <w:rsid w:val="009C20E9"/>
    <w:rsid w:val="009D0694"/>
    <w:rsid w:val="009D4394"/>
    <w:rsid w:val="009E15D3"/>
    <w:rsid w:val="009F65A4"/>
    <w:rsid w:val="00A062F7"/>
    <w:rsid w:val="00A06DFE"/>
    <w:rsid w:val="00A26E1A"/>
    <w:rsid w:val="00A37C26"/>
    <w:rsid w:val="00A57D83"/>
    <w:rsid w:val="00A830DF"/>
    <w:rsid w:val="00A874F2"/>
    <w:rsid w:val="00A95153"/>
    <w:rsid w:val="00AA676C"/>
    <w:rsid w:val="00AB3825"/>
    <w:rsid w:val="00AB7112"/>
    <w:rsid w:val="00AE05E6"/>
    <w:rsid w:val="00AE127B"/>
    <w:rsid w:val="00AE3753"/>
    <w:rsid w:val="00AF731F"/>
    <w:rsid w:val="00B05CCB"/>
    <w:rsid w:val="00B214AE"/>
    <w:rsid w:val="00B25EC0"/>
    <w:rsid w:val="00B42A56"/>
    <w:rsid w:val="00B4745F"/>
    <w:rsid w:val="00B54DAC"/>
    <w:rsid w:val="00B57552"/>
    <w:rsid w:val="00BA208D"/>
    <w:rsid w:val="00BA4C1C"/>
    <w:rsid w:val="00BA5790"/>
    <w:rsid w:val="00BD76E8"/>
    <w:rsid w:val="00BE4306"/>
    <w:rsid w:val="00BE484D"/>
    <w:rsid w:val="00BF3B0E"/>
    <w:rsid w:val="00C02EA1"/>
    <w:rsid w:val="00C04B82"/>
    <w:rsid w:val="00C12FD2"/>
    <w:rsid w:val="00C208E1"/>
    <w:rsid w:val="00C213C5"/>
    <w:rsid w:val="00C34AE3"/>
    <w:rsid w:val="00C4283D"/>
    <w:rsid w:val="00C54FFE"/>
    <w:rsid w:val="00C64D38"/>
    <w:rsid w:val="00C67198"/>
    <w:rsid w:val="00C9067D"/>
    <w:rsid w:val="00C93A65"/>
    <w:rsid w:val="00CB1014"/>
    <w:rsid w:val="00CB4BEF"/>
    <w:rsid w:val="00CD2B02"/>
    <w:rsid w:val="00CD5DBD"/>
    <w:rsid w:val="00CD631C"/>
    <w:rsid w:val="00CD786A"/>
    <w:rsid w:val="00CE5FF6"/>
    <w:rsid w:val="00CF4312"/>
    <w:rsid w:val="00D00FD2"/>
    <w:rsid w:val="00D11FC2"/>
    <w:rsid w:val="00D23AA4"/>
    <w:rsid w:val="00D33E54"/>
    <w:rsid w:val="00D407BC"/>
    <w:rsid w:val="00D43B03"/>
    <w:rsid w:val="00D70442"/>
    <w:rsid w:val="00D71A65"/>
    <w:rsid w:val="00D74007"/>
    <w:rsid w:val="00D8003E"/>
    <w:rsid w:val="00D80656"/>
    <w:rsid w:val="00DB0C6F"/>
    <w:rsid w:val="00DB50A6"/>
    <w:rsid w:val="00DD2E1C"/>
    <w:rsid w:val="00DF5B3C"/>
    <w:rsid w:val="00DF606D"/>
    <w:rsid w:val="00E508C6"/>
    <w:rsid w:val="00E54A3A"/>
    <w:rsid w:val="00E54EFD"/>
    <w:rsid w:val="00E71475"/>
    <w:rsid w:val="00E8160D"/>
    <w:rsid w:val="00E8497A"/>
    <w:rsid w:val="00E863DA"/>
    <w:rsid w:val="00EA2895"/>
    <w:rsid w:val="00EA42C4"/>
    <w:rsid w:val="00EB63E9"/>
    <w:rsid w:val="00EC2782"/>
    <w:rsid w:val="00ED1D87"/>
    <w:rsid w:val="00ED6B89"/>
    <w:rsid w:val="00EF284B"/>
    <w:rsid w:val="00EF418D"/>
    <w:rsid w:val="00EF4926"/>
    <w:rsid w:val="00F067D9"/>
    <w:rsid w:val="00F17423"/>
    <w:rsid w:val="00F26AFE"/>
    <w:rsid w:val="00F313D0"/>
    <w:rsid w:val="00F37CA0"/>
    <w:rsid w:val="00F513F6"/>
    <w:rsid w:val="00F64B28"/>
    <w:rsid w:val="00F67CDC"/>
    <w:rsid w:val="00F74885"/>
    <w:rsid w:val="00F80C19"/>
    <w:rsid w:val="00F838A1"/>
    <w:rsid w:val="00FA386C"/>
    <w:rsid w:val="00FA426B"/>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95BE2042-7D55-42A7-9A91-267C763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3B06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06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B06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B06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B06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E31F-B739-4EE4-99D4-11689DA2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Pages>
  <Words>19219</Words>
  <Characters>109549</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2018-01-19T15:30:00Z</dcterms:created>
  <dcterms:modified xsi:type="dcterms:W3CDTF">2018-01-31T01:17:00Z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