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6661C17B"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Temperate Lakes - </w:t>
      </w:r>
      <w:r w:rsidR="00F67CDC">
        <w:t xml:space="preserve">Long Term Ecological Research program,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0810CEA1" w:rsidR="00A062F7" w:rsidRDefault="00377F14"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610" w:type="dxa"/>
          </w:tcPr>
          <w:p w14:paraId="47A11A2E" w14:textId="768704AC" w:rsidR="00A062F7" w:rsidRDefault="00377F14"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880" w:type="dxa"/>
          </w:tcPr>
          <w:p w14:paraId="0A761FC5" w14:textId="75C48C57"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w:t>
            </w:r>
            <w:r w:rsidR="00377F14">
              <w:t>aerobic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16240B82"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t>Results/Discussion</w:t>
      </w:r>
    </w:p>
    <w:p w14:paraId="3027F7E7" w14:textId="77777777" w:rsidR="00C64D38" w:rsidRPr="00C54FFE" w:rsidRDefault="00C64D38" w:rsidP="004A6010">
      <w:pPr>
        <w:pStyle w:val="Heading2"/>
        <w:spacing w:line="360" w:lineRule="auto"/>
      </w:pPr>
      <w:r w:rsidRPr="00C54FFE">
        <w:t>Overview of Dataset</w:t>
      </w:r>
    </w:p>
    <w:p w14:paraId="21E9BADF" w14:textId="1E51CC38" w:rsidR="00E863DA" w:rsidRDefault="00C64D38" w:rsidP="004A6010">
      <w:pPr>
        <w:spacing w:line="360" w:lineRule="auto"/>
        <w:ind w:firstLine="720"/>
        <w:jc w:val="both"/>
      </w:pPr>
      <w:r>
        <w:t xml:space="preserve">Analyzing genomes of uncultured microbes can provide insight into the potential metabolic functions of those organisms. </w:t>
      </w:r>
      <w:r w:rsidR="00EC2782">
        <w:t xml:space="preserve">A total of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w:t>
      </w:r>
      <w:r>
        <w:lastRenderedPageBreak/>
        <w:t>31 were recovered from the epilimnion of Trout Bog, and 6</w:t>
      </w:r>
      <w:r w:rsidR="007C0A8C">
        <w:t>3</w:t>
      </w:r>
      <w:r>
        <w:t xml:space="preserve"> were recovered from the hypolimnion of Trout Bog. </w:t>
      </w:r>
      <w:r w:rsidR="00A062F7">
        <w:t>Despite differences in dissolved oxygen concentrations, s</w:t>
      </w:r>
      <w:r>
        <w:t>everal MAGs in the epilimnion and hypolimnion of Trout Bog appeared to be from the same population based on average nucleotide identities</w:t>
      </w:r>
      <w:r w:rsidR="00E863DA">
        <w:t xml:space="preserve"> great than 99%</w:t>
      </w:r>
      <w:r>
        <w:t xml:space="preserve"> </w:t>
      </w:r>
      <w:r w:rsidR="00EF418D">
        <w:t>&lt;Table S</w:t>
      </w:r>
      <w:r w:rsidR="007C0A8C">
        <w:t>2</w:t>
      </w:r>
      <w:r w:rsidR="00EF418D">
        <w:t xml:space="preserve">, </w:t>
      </w:r>
      <w:r w:rsidR="007C0A8C">
        <w:t>ANI_matrix</w:t>
      </w:r>
      <w:r w:rsidR="00EF418D">
        <w:t xml:space="preserve">.csv&gt;. </w:t>
      </w:r>
      <w:r w:rsidR="00E863DA">
        <w:t>This is possible because genomes from the epilimnion and hypolimnion were assembled separately.</w:t>
      </w:r>
    </w:p>
    <w:p w14:paraId="085E1D2E" w14:textId="6E99EB6E" w:rsidR="00C64D38" w:rsidRPr="001476D8" w:rsidRDefault="00C64D38" w:rsidP="004A6010">
      <w:pPr>
        <w:spacing w:line="36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73B63424"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w:t>
      </w:r>
      <w:r w:rsidR="00DB0C6F">
        <w:lastRenderedPageBreak/>
        <w:t xml:space="preserve">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41367C89" w:rsidR="00260505" w:rsidRDefault="00260505" w:rsidP="00705F64">
      <w:pPr>
        <w:spacing w:line="36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Of the quinol-based cytochromes, genes encoding cytochrome d were most often observed in MAGs from the hypolimnion of Trout Bog, while cytochrome aa3-600 was found only in MAGs classified as Bacteroidetes and Proteobacteria in the Trout Bog epilimnion and cytochrome o was 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 unique bacterial community compositions.</w:t>
      </w:r>
    </w:p>
    <w:p w14:paraId="62547480" w14:textId="25B7AA65" w:rsidR="00687EFB" w:rsidRDefault="00687EFB" w:rsidP="00705F64">
      <w:pPr>
        <w:spacing w:line="360" w:lineRule="auto"/>
      </w:pPr>
      <w:r>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w:t>
      </w:r>
      <w:r w:rsidR="00C213C5">
        <w:lastRenderedPageBreak/>
        <w:t xml:space="preserve">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w:t>
      </w:r>
      <w:r w:rsidR="00BA5790">
        <w:rPr>
          <w:rFonts w:cs="Times New Roman"/>
          <w:szCs w:val="24"/>
        </w:rPr>
        <w:lastRenderedPageBreak/>
        <w:t>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19293859" w:rsidR="009E15D3" w:rsidRPr="004A46AC" w:rsidRDefault="00BD76E8" w:rsidP="004A46AC">
      <w:pPr>
        <w:spacing w:line="360" w:lineRule="auto"/>
        <w:rPr>
          <w:rFonts w:cs="Times New Roman"/>
          <w:szCs w:val="24"/>
        </w:rPr>
      </w:pPr>
      <w:r>
        <w:rPr>
          <w:rFonts w:cs="Times New Roman"/>
          <w:noProof/>
          <w:szCs w:val="24"/>
        </w:rPr>
        <w:lastRenderedPageBreak/>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5">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7F1A1E">
      <w:pPr>
        <w:pStyle w:val="Heading2"/>
      </w:pPr>
      <w:r>
        <w:lastRenderedPageBreak/>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w:t>
      </w:r>
      <w:r w:rsidR="00BA4C1C">
        <w:rPr>
          <w:rFonts w:cs="Times New Roman"/>
          <w:szCs w:val="24"/>
        </w:rPr>
        <w:lastRenderedPageBreak/>
        <w:t xml:space="preserve">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FE23AB">
      <w:pPr>
        <w:spacing w:line="36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6">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E5868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w:t>
      </w:r>
      <w:r w:rsidR="00D71A65">
        <w:rPr>
          <w:rFonts w:cs="Times New Roman"/>
          <w:szCs w:val="24"/>
        </w:rPr>
        <w:lastRenderedPageBreak/>
        <w:t xml:space="preserve">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337"/>
        <w:gridCol w:w="2337"/>
        <w:gridCol w:w="2338"/>
        <w:gridCol w:w="2338"/>
      </w:tblGrid>
      <w:tr w:rsidR="003B06F5" w14:paraId="43119C24" w14:textId="77777777" w:rsidTr="003B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CF1F9" w14:textId="77777777" w:rsidR="003B06F5" w:rsidRDefault="003B06F5" w:rsidP="003B06F5">
            <w:pPr>
              <w:jc w:val="both"/>
              <w:rPr>
                <w:rFonts w:cs="Times New Roman"/>
                <w:b w:val="0"/>
                <w:szCs w:val="24"/>
              </w:rPr>
            </w:pPr>
          </w:p>
        </w:tc>
        <w:tc>
          <w:tcPr>
            <w:tcW w:w="2337" w:type="dxa"/>
          </w:tcPr>
          <w:p w14:paraId="77EBC1B5" w14:textId="2137311E" w:rsidR="003B06F5" w:rsidRDefault="003B06F5"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2338" w:type="dxa"/>
          </w:tcPr>
          <w:p w14:paraId="2A733E4E" w14:textId="3C4D3039" w:rsidR="003B06F5" w:rsidRDefault="003B06F5"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2338" w:type="dxa"/>
          </w:tcPr>
          <w:p w14:paraId="222A126D" w14:textId="422000FA" w:rsidR="003B06F5" w:rsidRDefault="003B06F5"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3B06F5" w14:paraId="5EE2B146" w14:textId="77777777" w:rsidTr="003B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9FE1EE" w14:textId="59172CC6" w:rsidR="003B06F5" w:rsidRDefault="003B06F5" w:rsidP="003B06F5">
            <w:pPr>
              <w:jc w:val="right"/>
              <w:rPr>
                <w:rFonts w:cs="Times New Roman"/>
                <w:b w:val="0"/>
                <w:szCs w:val="24"/>
              </w:rPr>
            </w:pPr>
            <w:r>
              <w:rPr>
                <w:rFonts w:cs="Times New Roman"/>
                <w:b w:val="0"/>
                <w:szCs w:val="24"/>
              </w:rPr>
              <w:t>Flavocytochrome c</w:t>
            </w:r>
          </w:p>
        </w:tc>
        <w:tc>
          <w:tcPr>
            <w:tcW w:w="2337" w:type="dxa"/>
          </w:tcPr>
          <w:p w14:paraId="31AB1A90" w14:textId="2350C687"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3%</w:t>
            </w:r>
          </w:p>
        </w:tc>
        <w:tc>
          <w:tcPr>
            <w:tcW w:w="2338" w:type="dxa"/>
          </w:tcPr>
          <w:p w14:paraId="0C26DB82" w14:textId="3F86B311"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16%</w:t>
            </w:r>
          </w:p>
        </w:tc>
        <w:tc>
          <w:tcPr>
            <w:tcW w:w="2338" w:type="dxa"/>
          </w:tcPr>
          <w:p w14:paraId="49BFD1DC" w14:textId="01C03EEC"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w:t>
            </w:r>
          </w:p>
        </w:tc>
      </w:tr>
      <w:tr w:rsidR="003B06F5" w14:paraId="7D00B85F" w14:textId="77777777" w:rsidTr="003B06F5">
        <w:tc>
          <w:tcPr>
            <w:cnfStyle w:val="001000000000" w:firstRow="0" w:lastRow="0" w:firstColumn="1" w:lastColumn="0" w:oddVBand="0" w:evenVBand="0" w:oddHBand="0" w:evenHBand="0" w:firstRowFirstColumn="0" w:firstRowLastColumn="0" w:lastRowFirstColumn="0" w:lastRowLastColumn="0"/>
            <w:tcW w:w="2337" w:type="dxa"/>
          </w:tcPr>
          <w:p w14:paraId="39B7A7CB" w14:textId="2375BA92" w:rsidR="003B06F5" w:rsidRDefault="003B06F5" w:rsidP="003B06F5">
            <w:pPr>
              <w:jc w:val="right"/>
              <w:rPr>
                <w:rFonts w:cs="Times New Roman"/>
                <w:b w:val="0"/>
                <w:szCs w:val="24"/>
              </w:rPr>
            </w:pPr>
            <w:r>
              <w:rPr>
                <w:rFonts w:cs="Times New Roman"/>
                <w:b w:val="0"/>
                <w:szCs w:val="24"/>
              </w:rPr>
              <w:t>Dissimilatory sulfite reductase</w:t>
            </w:r>
          </w:p>
        </w:tc>
        <w:tc>
          <w:tcPr>
            <w:tcW w:w="2337" w:type="dxa"/>
          </w:tcPr>
          <w:p w14:paraId="55ACD6A9" w14:textId="6CDCE74E"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0%</w:t>
            </w:r>
          </w:p>
        </w:tc>
        <w:tc>
          <w:tcPr>
            <w:tcW w:w="2338" w:type="dxa"/>
          </w:tcPr>
          <w:p w14:paraId="62B3E8E9" w14:textId="770FB22B"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6 %</w:t>
            </w:r>
          </w:p>
        </w:tc>
        <w:tc>
          <w:tcPr>
            <w:tcW w:w="2338" w:type="dxa"/>
          </w:tcPr>
          <w:p w14:paraId="2AFB127B" w14:textId="2C15B7D2"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8%</w:t>
            </w:r>
          </w:p>
        </w:tc>
      </w:tr>
      <w:tr w:rsidR="003B06F5" w14:paraId="1EB05CEB" w14:textId="77777777" w:rsidTr="003B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ADFD7D" w14:textId="06E22C43" w:rsidR="003B06F5" w:rsidRDefault="003B06F5" w:rsidP="003B06F5">
            <w:pPr>
              <w:jc w:val="right"/>
              <w:rPr>
                <w:rFonts w:cs="Times New Roman"/>
                <w:b w:val="0"/>
                <w:szCs w:val="24"/>
              </w:rPr>
            </w:pPr>
            <w:r>
              <w:rPr>
                <w:rFonts w:cs="Times New Roman"/>
                <w:b w:val="0"/>
                <w:szCs w:val="24"/>
              </w:rPr>
              <w:t>Thiosulfate dehydrogenase</w:t>
            </w:r>
          </w:p>
        </w:tc>
        <w:tc>
          <w:tcPr>
            <w:tcW w:w="2337" w:type="dxa"/>
          </w:tcPr>
          <w:p w14:paraId="70E26A51" w14:textId="71A2995D"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1%</w:t>
            </w:r>
          </w:p>
        </w:tc>
        <w:tc>
          <w:tcPr>
            <w:tcW w:w="2338" w:type="dxa"/>
          </w:tcPr>
          <w:p w14:paraId="39159153" w14:textId="412F5DE1"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19%</w:t>
            </w:r>
          </w:p>
        </w:tc>
        <w:tc>
          <w:tcPr>
            <w:tcW w:w="2338" w:type="dxa"/>
          </w:tcPr>
          <w:p w14:paraId="0B74E636" w14:textId="41526F80" w:rsidR="003B06F5" w:rsidRPr="003B06F5" w:rsidRDefault="003B06F5" w:rsidP="003B06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19%</w:t>
            </w:r>
          </w:p>
        </w:tc>
      </w:tr>
      <w:tr w:rsidR="003B06F5" w14:paraId="5ABB649A" w14:textId="77777777" w:rsidTr="003B06F5">
        <w:tc>
          <w:tcPr>
            <w:cnfStyle w:val="001000000000" w:firstRow="0" w:lastRow="0" w:firstColumn="1" w:lastColumn="0" w:oddVBand="0" w:evenVBand="0" w:oddHBand="0" w:evenHBand="0" w:firstRowFirstColumn="0" w:firstRowLastColumn="0" w:lastRowFirstColumn="0" w:lastRowLastColumn="0"/>
            <w:tcW w:w="2337" w:type="dxa"/>
          </w:tcPr>
          <w:p w14:paraId="6EE958CB" w14:textId="30C5F066" w:rsidR="003B06F5" w:rsidRDefault="003B06F5" w:rsidP="003B06F5">
            <w:pPr>
              <w:jc w:val="right"/>
              <w:rPr>
                <w:rFonts w:cs="Times New Roman"/>
                <w:b w:val="0"/>
                <w:szCs w:val="24"/>
              </w:rPr>
            </w:pPr>
            <w:r>
              <w:rPr>
                <w:rFonts w:cs="Times New Roman"/>
                <w:b w:val="0"/>
                <w:szCs w:val="24"/>
              </w:rPr>
              <w:t xml:space="preserve">Sulfate </w:t>
            </w:r>
            <w:proofErr w:type="spellStart"/>
            <w:r>
              <w:rPr>
                <w:rFonts w:cs="Times New Roman"/>
                <w:b w:val="0"/>
                <w:szCs w:val="24"/>
              </w:rPr>
              <w:t>adenylyltransferase</w:t>
            </w:r>
            <w:proofErr w:type="spellEnd"/>
          </w:p>
        </w:tc>
        <w:tc>
          <w:tcPr>
            <w:tcW w:w="2337" w:type="dxa"/>
          </w:tcPr>
          <w:p w14:paraId="09005125" w14:textId="05E272B5"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45%</w:t>
            </w:r>
          </w:p>
        </w:tc>
        <w:tc>
          <w:tcPr>
            <w:tcW w:w="2338" w:type="dxa"/>
          </w:tcPr>
          <w:p w14:paraId="6C35B368" w14:textId="1A3F6C96"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52%</w:t>
            </w:r>
          </w:p>
        </w:tc>
        <w:tc>
          <w:tcPr>
            <w:tcW w:w="2338" w:type="dxa"/>
          </w:tcPr>
          <w:p w14:paraId="63309B1C" w14:textId="0A7AFDA7" w:rsidR="003B06F5" w:rsidRPr="003B06F5" w:rsidRDefault="003B06F5" w:rsidP="003B06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49%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bookmarkStart w:id="0" w:name="_GoBack"/>
      <w:bookmarkEnd w:id="0"/>
    </w:p>
    <w:p w14:paraId="6AE39F3E" w14:textId="233E3108" w:rsidR="008A5CFA" w:rsidRPr="008A5CFA" w:rsidRDefault="00C64D38" w:rsidP="008A5CFA">
      <w:pPr>
        <w:pStyle w:val="Heading2"/>
        <w:rPr>
          <w:rFonts w:cstheme="majorBidi"/>
          <w:szCs w:val="32"/>
        </w:rPr>
      </w:pPr>
      <w:r>
        <w:t>Sulfur Cycling</w:t>
      </w:r>
    </w:p>
    <w:p w14:paraId="6EE8AFB2" w14:textId="6EAF8191" w:rsidR="00364AC2"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A26E1A">
        <w:rPr>
          <w:rFonts w:cs="Times New Roman"/>
          <w:szCs w:val="24"/>
        </w:rPr>
        <w:t>A</w:t>
      </w:r>
      <w:r w:rsidR="006263CE">
        <w:rPr>
          <w:rFonts w:cs="Times New Roman"/>
          <w:szCs w:val="24"/>
        </w:rPr>
        <w:t>s expected, a</w:t>
      </w:r>
      <w:r w:rsidR="00A26E1A">
        <w:rPr>
          <w:rFonts w:cs="Times New Roman"/>
          <w:szCs w:val="24"/>
        </w:rPr>
        <w:t>ssimilatory sulfate reduction was the most common pathway identified. For sulfur us</w:t>
      </w:r>
      <w:r w:rsidR="006263CE">
        <w:rPr>
          <w:rFonts w:cs="Times New Roman"/>
          <w:szCs w:val="24"/>
        </w:rPr>
        <w:t>e</w:t>
      </w:r>
      <w:r w:rsidR="00A26E1A">
        <w:rPr>
          <w:rFonts w:cs="Times New Roman"/>
          <w:szCs w:val="24"/>
        </w:rPr>
        <w:t xml:space="preserve"> as a terminal electron acceptor or donor, </w:t>
      </w:r>
      <w:r w:rsidR="00EA42C4">
        <w:rPr>
          <w:rFonts w:cs="Times New Roman"/>
          <w:szCs w:val="24"/>
        </w:rPr>
        <w:t>oxidation</w:t>
      </w:r>
      <w:r w:rsidR="007B5D3B">
        <w:rPr>
          <w:rFonts w:cs="Times New Roman"/>
          <w:szCs w:val="24"/>
        </w:rPr>
        <w:t xml:space="preserve"> </w:t>
      </w:r>
      <w:r w:rsidR="00A26E1A">
        <w:rPr>
          <w:rFonts w:cs="Times New Roman"/>
          <w:szCs w:val="24"/>
        </w:rPr>
        <w:t>pathways</w:t>
      </w:r>
      <w:r w:rsidR="007B5D3B">
        <w:rPr>
          <w:rFonts w:cs="Times New Roman"/>
          <w:szCs w:val="24"/>
        </w:rPr>
        <w:t xml:space="preserve"> </w:t>
      </w:r>
      <w:r w:rsidR="00EA42C4">
        <w:rPr>
          <w:rFonts w:cs="Times New Roman"/>
          <w:szCs w:val="24"/>
        </w:rPr>
        <w:t xml:space="preserve">were more prevalent than reduction pathways </w:t>
      </w:r>
      <w:r w:rsidR="007B5D3B">
        <w:rPr>
          <w:rFonts w:cs="Times New Roman"/>
          <w:szCs w:val="24"/>
        </w:rPr>
        <w:t xml:space="preserve">in both systems, presumably reflecting the </w:t>
      </w:r>
      <w:r w:rsidR="007879EE">
        <w:rPr>
          <w:rFonts w:cs="Times New Roman"/>
          <w:szCs w:val="24"/>
        </w:rPr>
        <w:t xml:space="preserve">physiological and </w:t>
      </w:r>
      <w:r w:rsidR="007B5D3B">
        <w:rPr>
          <w:rFonts w:cs="Times New Roman"/>
          <w:szCs w:val="24"/>
        </w:rPr>
        <w:t>ecological importance of oxidation vs</w:t>
      </w:r>
      <w:r w:rsidR="006263CE">
        <w:rPr>
          <w:rFonts w:cs="Times New Roman"/>
          <w:szCs w:val="24"/>
        </w:rPr>
        <w:t>.</w:t>
      </w:r>
      <w:r w:rsidR="007B5D3B">
        <w:rPr>
          <w:rFonts w:cs="Times New Roman"/>
          <w:szCs w:val="24"/>
        </w:rPr>
        <w:t xml:space="preserve"> reduction</w:t>
      </w:r>
      <w:r w:rsidR="007879EE">
        <w:rPr>
          <w:rFonts w:cs="Times New Roman"/>
          <w:szCs w:val="24"/>
        </w:rPr>
        <w:t xml:space="preserve"> (Fig. 4</w:t>
      </w:r>
      <w:r w:rsidR="007C3BA7">
        <w:rPr>
          <w:rFonts w:cs="Times New Roman"/>
          <w:szCs w:val="24"/>
        </w:rPr>
        <w:t>A</w:t>
      </w:r>
      <w:r w:rsidR="007879EE">
        <w:rPr>
          <w:rFonts w:cs="Times New Roman"/>
          <w:szCs w:val="24"/>
        </w:rPr>
        <w:t>)</w:t>
      </w:r>
      <w:r w:rsidR="007B5D3B">
        <w:rPr>
          <w:rFonts w:cs="Times New Roman"/>
          <w:szCs w:val="24"/>
        </w:rPr>
        <w:t xml:space="preserve">. </w:t>
      </w:r>
    </w:p>
    <w:p w14:paraId="279C3E6A" w14:textId="00CF8280" w:rsidR="006263CE" w:rsidRDefault="006263CE" w:rsidP="009D0694">
      <w:pPr>
        <w:spacing w:line="360" w:lineRule="auto"/>
        <w:ind w:firstLine="720"/>
        <w:jc w:val="both"/>
        <w:rPr>
          <w:rFonts w:cs="Times New Roman"/>
          <w:szCs w:val="24"/>
        </w:rPr>
      </w:pPr>
      <w:r>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proofErr w:type="gramStart"/>
      <w:r w:rsidR="007E726F">
        <w:rPr>
          <w:rFonts w:cs="Times New Roman"/>
          <w:szCs w:val="24"/>
        </w:rPr>
        <w:t>reductases, but</w:t>
      </w:r>
      <w:proofErr w:type="gramEnd"/>
      <w:r w:rsidR="007E726F">
        <w:rPr>
          <w:rFonts w:cs="Times New Roman"/>
          <w:szCs w:val="24"/>
        </w:rPr>
        <w:t xml:space="preserve"> did not detect any. </w:t>
      </w:r>
      <w:proofErr w:type="gramStart"/>
      <w:r w:rsidR="007E726F">
        <w:rPr>
          <w:rFonts w:cs="Times New Roman"/>
          <w:szCs w:val="24"/>
        </w:rPr>
        <w:t>Similar to</w:t>
      </w:r>
      <w:proofErr w:type="gramEnd"/>
      <w:r w:rsidR="007E726F">
        <w:rPr>
          <w:rFonts w:cs="Times New Roman"/>
          <w:szCs w:val="24"/>
        </w:rPr>
        <w:t xml:space="preserve"> the results of the sulfur pathway analysis, oxidation was observed more frequently than reduction (Table 2). The most common marker gene was sulfate </w:t>
      </w:r>
      <w:proofErr w:type="spellStart"/>
      <w:r w:rsidR="007E726F">
        <w:rPr>
          <w:rFonts w:cs="Times New Roman"/>
          <w:szCs w:val="24"/>
        </w:rPr>
        <w:t>adenylyltransferase</w:t>
      </w:r>
      <w:proofErr w:type="spellEnd"/>
      <w:r w:rsidR="007E726F">
        <w:rPr>
          <w:rFonts w:cs="Times New Roman"/>
          <w:szCs w:val="24"/>
        </w:rPr>
        <w:t xml:space="preserve">, found in approximately half of MAGs from each study site. Thiosulfate dehydrogenase was observed more frequently in MAGs from Trout Bog than in MAGs from Lake Mendota. Dissimilatory sulfite reductase was 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p>
    <w:p w14:paraId="51D5E0B8" w14:textId="36F31F74" w:rsidR="00377F14" w:rsidRPr="009D0694" w:rsidRDefault="00377F14" w:rsidP="009D0694">
      <w:pPr>
        <w:spacing w:line="360" w:lineRule="auto"/>
        <w:ind w:firstLine="720"/>
        <w:jc w:val="both"/>
        <w:rPr>
          <w:rFonts w:cs="Times New Roman"/>
          <w:szCs w:val="24"/>
        </w:rPr>
      </w:pPr>
    </w:p>
    <w:p w14:paraId="78FEBA62" w14:textId="34DBE443" w:rsidR="00364AC2" w:rsidRDefault="00377F14" w:rsidP="00377F14">
      <w:pPr>
        <w:pStyle w:val="Heading2"/>
        <w:spacing w:line="360" w:lineRule="auto"/>
      </w:pPr>
      <w:r>
        <w:t>MAGs over Time</w:t>
      </w:r>
    </w:p>
    <w:p w14:paraId="11DDE286" w14:textId="1CD19AE7" w:rsidR="00A06DFE" w:rsidRPr="00377F14" w:rsidRDefault="007E726F" w:rsidP="00377F14">
      <w:pPr>
        <w:spacing w:line="360" w:lineRule="auto"/>
        <w:jc w:val="both"/>
      </w:pPr>
      <w:r>
        <w:rPr>
          <w:noProof/>
        </w:rPr>
        <w:drawing>
          <wp:anchor distT="0" distB="0" distL="114300" distR="114300" simplePos="0" relativeHeight="251672576" behindDoc="1" locked="0" layoutInCell="1" allowOverlap="1" wp14:anchorId="5509BFF7" wp14:editId="6107F82B">
            <wp:simplePos x="0" y="0"/>
            <wp:positionH relativeFrom="page">
              <wp:align>right</wp:align>
            </wp:positionH>
            <wp:positionV relativeFrom="paragraph">
              <wp:posOffset>5225415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8">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377F14">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 fall. One possible explanation for this trend could be the small scale, wind-driven mixes that occur in Lake Mendota.</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hypolimnion, suggesting it may be a facultative anaerobe. </w:t>
      </w:r>
      <w:r w:rsidR="00483D84">
        <w:t xml:space="preserve">The methylotrophic metabolism of this taxon, which likely utilized methanol and methylamines, does not require oxygen. Its abundance </w:t>
      </w:r>
      <w:r w:rsidR="00483D84">
        <w:lastRenderedPageBreak/>
        <w:t xml:space="preserve">is relatively stable over time, suggesting that its niche and carbon sources are also stable in our study sites. </w:t>
      </w:r>
    </w:p>
    <w:p w14:paraId="65F94868" w14:textId="2CCB59B9" w:rsidR="00F26AFE" w:rsidRDefault="007B5D3B" w:rsidP="00377F14">
      <w:pPr>
        <w:pStyle w:val="Heading2"/>
        <w:spacing w:line="48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3E8B8592" w14:textId="06D7D6DC" w:rsidR="00C213C5" w:rsidRPr="00C213C5" w:rsidRDefault="00C9067D" w:rsidP="00C213C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213C5" w:rsidRPr="00C213C5">
        <w:rPr>
          <w:rFonts w:cs="Times New Roman"/>
          <w:noProof/>
          <w:szCs w:val="24"/>
        </w:rPr>
        <w:t xml:space="preserve">Bendall, Matthew L et al. 2016. “Genome-Wide Selective Sweeps and Gene-Specific Sweeps in Natural Bacterial Populations.” </w:t>
      </w:r>
      <w:r w:rsidR="00C213C5" w:rsidRPr="00C213C5">
        <w:rPr>
          <w:rFonts w:cs="Times New Roman"/>
          <w:i/>
          <w:iCs/>
          <w:noProof/>
          <w:szCs w:val="24"/>
        </w:rPr>
        <w:t>ISME journal</w:t>
      </w:r>
      <w:r w:rsidR="00C213C5" w:rsidRPr="00C213C5">
        <w:rPr>
          <w:rFonts w:cs="Times New Roman"/>
          <w:noProof/>
          <w:szCs w:val="24"/>
        </w:rPr>
        <w:t xml:space="preserve"> 10: 1589–1601. http://dx.doi.org/10.1038/ismej.2015.241.</w:t>
      </w:r>
    </w:p>
    <w:p w14:paraId="098FF72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Beversdorf, Lucas J, Todd R Miller, and Katherine D McMahon. 2013. “The Role of Nitrogen Fixation in Cyanobacterial Bloom Toxicity in a Temperate , Eutrophic Lake.” </w:t>
      </w:r>
      <w:r w:rsidRPr="00C213C5">
        <w:rPr>
          <w:rFonts w:cs="Times New Roman"/>
          <w:i/>
          <w:iCs/>
          <w:noProof/>
          <w:szCs w:val="24"/>
        </w:rPr>
        <w:t>PloS one</w:t>
      </w:r>
      <w:r w:rsidRPr="00C213C5">
        <w:rPr>
          <w:rFonts w:cs="Times New Roman"/>
          <w:noProof/>
          <w:szCs w:val="24"/>
        </w:rPr>
        <w:t xml:space="preserve"> 8(2): 1–11.</w:t>
      </w:r>
    </w:p>
    <w:p w14:paraId="73084C3B"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Bragg, Jason G. 2011. “How Prochlorococcus Bacteria Use Nitrogen Sparingly in Their Proteins.” </w:t>
      </w:r>
      <w:r w:rsidRPr="00C213C5">
        <w:rPr>
          <w:rFonts w:cs="Times New Roman"/>
          <w:i/>
          <w:iCs/>
          <w:noProof/>
          <w:szCs w:val="24"/>
        </w:rPr>
        <w:t>Molecular Ecology</w:t>
      </w:r>
      <w:r w:rsidRPr="00C213C5">
        <w:rPr>
          <w:rFonts w:cs="Times New Roman"/>
          <w:noProof/>
          <w:szCs w:val="24"/>
        </w:rPr>
        <w:t xml:space="preserve"> 20(1): 27–28.</w:t>
      </w:r>
    </w:p>
    <w:p w14:paraId="206169D3"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Brown, Christopher T. et al. 2015. “Unusual Biology across a Group Comprising More than 15% of Domain Bacteria.” </w:t>
      </w:r>
      <w:r w:rsidRPr="00C213C5">
        <w:rPr>
          <w:rFonts w:cs="Times New Roman"/>
          <w:i/>
          <w:iCs/>
          <w:noProof/>
          <w:szCs w:val="24"/>
        </w:rPr>
        <w:t>Nature</w:t>
      </w:r>
      <w:r w:rsidRPr="00C213C5">
        <w:rPr>
          <w:rFonts w:cs="Times New Roman"/>
          <w:noProof/>
          <w:szCs w:val="24"/>
        </w:rPr>
        <w:t xml:space="preserve"> 523(7559): 208–11.</w:t>
      </w:r>
    </w:p>
    <w:p w14:paraId="542576D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Butman, David et al. 2015. “Aquatic Carbon Cycling in the Conterminous United States and Implications for Terrestrial Carbon Accounting.” </w:t>
      </w:r>
      <w:r w:rsidRPr="00C213C5">
        <w:rPr>
          <w:rFonts w:cs="Times New Roman"/>
          <w:i/>
          <w:iCs/>
          <w:noProof/>
          <w:szCs w:val="24"/>
        </w:rPr>
        <w:t>Proceedings of the National Academy of Sciences</w:t>
      </w:r>
      <w:r w:rsidRPr="00C213C5">
        <w:rPr>
          <w:rFonts w:cs="Times New Roman"/>
          <w:noProof/>
          <w:szCs w:val="24"/>
        </w:rPr>
        <w:t>: 1–6.</w:t>
      </w:r>
    </w:p>
    <w:p w14:paraId="3C4C7F2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Chistoserdova, Ludmila, Marina G. Kalyuzhnaya, and Mary E. Lidstrom. 2009. “The Expanding World of Methylotrophic Metabolism.” </w:t>
      </w:r>
      <w:r w:rsidRPr="00C213C5">
        <w:rPr>
          <w:rFonts w:cs="Times New Roman"/>
          <w:i/>
          <w:iCs/>
          <w:noProof/>
          <w:szCs w:val="24"/>
        </w:rPr>
        <w:t>Annual review of microbiology</w:t>
      </w:r>
      <w:r w:rsidRPr="00C213C5">
        <w:rPr>
          <w:rFonts w:cs="Times New Roman"/>
          <w:noProof/>
          <w:szCs w:val="24"/>
        </w:rPr>
        <w:t xml:space="preserve"> 63: 477–99.</w:t>
      </w:r>
    </w:p>
    <w:p w14:paraId="5DB7CB3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Eiler, Alexander et al. 2015. “Tuning Fresh: Radiation through Rewiring of Central Metabolism in Streamlined Bacteria.” </w:t>
      </w:r>
      <w:r w:rsidRPr="00C213C5">
        <w:rPr>
          <w:rFonts w:cs="Times New Roman"/>
          <w:i/>
          <w:iCs/>
          <w:noProof/>
          <w:szCs w:val="24"/>
        </w:rPr>
        <w:t>The ISME Journal</w:t>
      </w:r>
      <w:r w:rsidRPr="00C213C5">
        <w:rPr>
          <w:rFonts w:cs="Times New Roman"/>
          <w:noProof/>
          <w:szCs w:val="24"/>
        </w:rPr>
        <w:t xml:space="preserve"> (January 2016): 1–13. http://dx.doi.org/10.1038/ismej.2015.260.</w:t>
      </w:r>
    </w:p>
    <w:p w14:paraId="6EFC166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Ghylin, Trevor W. et al. 2014. “Comparative Single-Cell Genomics Reveals Potential Ecological Niches for the Freshwater acI Actinobacteria Lineage.” </w:t>
      </w:r>
      <w:r w:rsidRPr="00C213C5">
        <w:rPr>
          <w:rFonts w:cs="Times New Roman"/>
          <w:i/>
          <w:iCs/>
          <w:noProof/>
          <w:szCs w:val="24"/>
        </w:rPr>
        <w:t>The ISME journal</w:t>
      </w:r>
      <w:r w:rsidRPr="00C213C5">
        <w:rPr>
          <w:rFonts w:cs="Times New Roman"/>
          <w:noProof/>
          <w:szCs w:val="24"/>
        </w:rPr>
        <w:t xml:space="preserve"> 8(12): 2503–16.</w:t>
      </w:r>
    </w:p>
    <w:p w14:paraId="57F57A2A"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Gimmler, Anna et al. 2016. “The Tara Oceans Voyage Reveals Global Diversity and Distribution Patterns of Marine Planktonic Ciliates.” </w:t>
      </w:r>
      <w:r w:rsidRPr="00C213C5">
        <w:rPr>
          <w:rFonts w:cs="Times New Roman"/>
          <w:i/>
          <w:iCs/>
          <w:noProof/>
          <w:szCs w:val="24"/>
        </w:rPr>
        <w:t>Nature Publishing Group</w:t>
      </w:r>
      <w:r w:rsidRPr="00C213C5">
        <w:rPr>
          <w:rFonts w:cs="Times New Roman"/>
          <w:noProof/>
          <w:szCs w:val="24"/>
        </w:rPr>
        <w:t xml:space="preserve"> (April): 1–13. http://dx.doi.org/10.1038/srep33555.</w:t>
      </w:r>
    </w:p>
    <w:p w14:paraId="7F5C6F0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Giroldo, Danilo, Armando Augusto, and Henriques Vieira. 2005. “Polymeric and Free Sugars Released by Three Phytoplanktonic Species from a Freshwater Tropical Eutrophic Reservoir.” </w:t>
      </w:r>
      <w:r w:rsidRPr="00C213C5">
        <w:rPr>
          <w:rFonts w:cs="Times New Roman"/>
          <w:i/>
          <w:iCs/>
          <w:noProof/>
          <w:szCs w:val="24"/>
        </w:rPr>
        <w:t>Journal of Plankton Research</w:t>
      </w:r>
      <w:r w:rsidRPr="00C213C5">
        <w:rPr>
          <w:rFonts w:cs="Times New Roman"/>
          <w:noProof/>
          <w:szCs w:val="24"/>
        </w:rPr>
        <w:t xml:space="preserve"> 27(7): 695–705.</w:t>
      </w:r>
    </w:p>
    <w:p w14:paraId="181B59B9"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Hall, Michael W et al. 2017. “Ananke : Temporal Clustering Reveals Ecological Dynamics of </w:t>
      </w:r>
      <w:r w:rsidRPr="00C213C5">
        <w:rPr>
          <w:rFonts w:cs="Times New Roman"/>
          <w:noProof/>
          <w:szCs w:val="24"/>
        </w:rPr>
        <w:lastRenderedPageBreak/>
        <w:t xml:space="preserve">Microbial Communities.” </w:t>
      </w:r>
      <w:r w:rsidRPr="00C213C5">
        <w:rPr>
          <w:rFonts w:cs="Times New Roman"/>
          <w:i/>
          <w:iCs/>
          <w:noProof/>
          <w:szCs w:val="24"/>
        </w:rPr>
        <w:t>PeerJ</w:t>
      </w:r>
      <w:r w:rsidRPr="00C213C5">
        <w:rPr>
          <w:rFonts w:cs="Times New Roman"/>
          <w:noProof/>
          <w:szCs w:val="24"/>
        </w:rPr>
        <w:t xml:space="preserve"> 5(e3812): 1–19.</w:t>
      </w:r>
    </w:p>
    <w:p w14:paraId="6C4DD875"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Hamilton, Joshua J et al. 2017. “Metabolic Network Analysis and Metatranscriptomics Reveal Auxotrophies and Nutrient Sources of the Cosmopolitan Freshwater Microbial Lineage acI.” 2(4): 1–13.</w:t>
      </w:r>
    </w:p>
    <w:p w14:paraId="017600EF"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C213C5">
        <w:rPr>
          <w:rFonts w:cs="Times New Roman"/>
          <w:i/>
          <w:iCs/>
          <w:noProof/>
          <w:szCs w:val="24"/>
        </w:rPr>
        <w:t>Proceedings of the National Academy of Sciences of the United States of America</w:t>
      </w:r>
      <w:r w:rsidRPr="00C213C5">
        <w:rPr>
          <w:rFonts w:cs="Times New Roman"/>
          <w:noProof/>
          <w:szCs w:val="24"/>
        </w:rPr>
        <w:t xml:space="preserve"> 98(8): 4397–4402. http://www.pubmedcentral.nih.gov/articlerender.fcgi?artid=31846&amp;tool=pmcentrez&amp;rendertype=abstract.</w:t>
      </w:r>
    </w:p>
    <w:p w14:paraId="270E9131"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He, Shaomei et al. 2017. “Ecophysiology of Freshwater Verrucomicrobia Inferred from Metagenome-Assembled Genomes.” </w:t>
      </w:r>
      <w:r w:rsidRPr="00C213C5">
        <w:rPr>
          <w:rFonts w:cs="Times New Roman"/>
          <w:i/>
          <w:iCs/>
          <w:noProof/>
          <w:szCs w:val="24"/>
        </w:rPr>
        <w:t>mSphere</w:t>
      </w:r>
      <w:r w:rsidRPr="00C213C5">
        <w:rPr>
          <w:rFonts w:cs="Times New Roman"/>
          <w:noProof/>
          <w:szCs w:val="24"/>
        </w:rPr>
        <w:t xml:space="preserve"> 2(5): 1–17.</w:t>
      </w:r>
    </w:p>
    <w:p w14:paraId="74E4B966"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Igarashi, Kazuei, and Keiko Kashiwagi. 1999. “Polyamine Transport in Bacteria and Yeast.” </w:t>
      </w:r>
      <w:r w:rsidRPr="00C213C5">
        <w:rPr>
          <w:rFonts w:cs="Times New Roman"/>
          <w:i/>
          <w:iCs/>
          <w:noProof/>
          <w:szCs w:val="24"/>
        </w:rPr>
        <w:t>Biochem. J.</w:t>
      </w:r>
      <w:r w:rsidRPr="00C213C5">
        <w:rPr>
          <w:rFonts w:cs="Times New Roman"/>
          <w:noProof/>
          <w:szCs w:val="24"/>
        </w:rPr>
        <w:t xml:space="preserve"> 344: 633–42.</w:t>
      </w:r>
    </w:p>
    <w:p w14:paraId="05A9770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Jorgenson, Niels OG et al. 1998. “Effects of Sunlight on Occurrence and Bacterial Turnover of Specific Carbon and Nitrogen Compounds in Lake Water.” </w:t>
      </w:r>
      <w:r w:rsidRPr="00C213C5">
        <w:rPr>
          <w:rFonts w:cs="Times New Roman"/>
          <w:i/>
          <w:iCs/>
          <w:noProof/>
          <w:szCs w:val="24"/>
        </w:rPr>
        <w:t>FEMS Microbiology Ecology</w:t>
      </w:r>
      <w:r w:rsidRPr="00C213C5">
        <w:rPr>
          <w:rFonts w:cs="Times New Roman"/>
          <w:noProof/>
          <w:szCs w:val="24"/>
        </w:rPr>
        <w:t xml:space="preserve"> 25: 217–27.</w:t>
      </w:r>
    </w:p>
    <w:p w14:paraId="5148183D"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Juttner, F, and T Matuschek. 1977. “The Release of Low Molecular Weight Compounds by the Phytoplankton in an Eutrophic Lake.” </w:t>
      </w:r>
      <w:r w:rsidRPr="00C213C5">
        <w:rPr>
          <w:rFonts w:cs="Times New Roman"/>
          <w:i/>
          <w:iCs/>
          <w:noProof/>
          <w:szCs w:val="24"/>
        </w:rPr>
        <w:t>Water</w:t>
      </w:r>
      <w:r w:rsidRPr="00C213C5">
        <w:rPr>
          <w:rFonts w:cs="Times New Roman"/>
          <w:noProof/>
          <w:szCs w:val="24"/>
        </w:rPr>
        <w:t xml:space="preserve"> 12: 251–55.</w:t>
      </w:r>
    </w:p>
    <w:p w14:paraId="55D6CE0D"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Kalyuzhnaya, Marina G et al. 2012. “Novel Methylotrophic Isolates from Lake Sediment, Description of Methylotenera Versatilis Sp. Nov. and Emended Description of the Genus Methylotenera.” </w:t>
      </w:r>
      <w:r w:rsidRPr="00C213C5">
        <w:rPr>
          <w:rFonts w:cs="Times New Roman"/>
          <w:i/>
          <w:iCs/>
          <w:noProof/>
          <w:szCs w:val="24"/>
        </w:rPr>
        <w:t>International journal of systematic and evolutionary microbiology</w:t>
      </w:r>
      <w:r w:rsidRPr="00C213C5">
        <w:rPr>
          <w:rFonts w:cs="Times New Roman"/>
          <w:noProof/>
          <w:szCs w:val="24"/>
        </w:rPr>
        <w:t xml:space="preserve"> 62(Pt 1): 106–11. http://www.ncbi.nlm.nih.gov/pubmed/21335496.</w:t>
      </w:r>
    </w:p>
    <w:p w14:paraId="2CABA629"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213C5">
        <w:rPr>
          <w:rFonts w:cs="Times New Roman"/>
          <w:i/>
          <w:iCs/>
          <w:noProof/>
          <w:szCs w:val="24"/>
        </w:rPr>
        <w:t>European Journal of Biochemistry</w:t>
      </w:r>
      <w:r w:rsidRPr="00C213C5">
        <w:rPr>
          <w:rFonts w:cs="Times New Roman"/>
          <w:noProof/>
          <w:szCs w:val="24"/>
        </w:rPr>
        <w:t xml:space="preserve"> 269(7): 1926–31.</w:t>
      </w:r>
    </w:p>
    <w:p w14:paraId="501239C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Kara, Emily L et al. 2013. “A Decade of Seasonal Dynamics and Co-Occurrences within Freshwater Bacterioplankton Communities from Eutrophic Lake Mendota, WI, USA.” </w:t>
      </w:r>
      <w:r w:rsidRPr="00C213C5">
        <w:rPr>
          <w:rFonts w:cs="Times New Roman"/>
          <w:i/>
          <w:iCs/>
          <w:noProof/>
          <w:szCs w:val="24"/>
        </w:rPr>
        <w:t>The ISME journal</w:t>
      </w:r>
      <w:r w:rsidRPr="00C213C5">
        <w:rPr>
          <w:rFonts w:cs="Times New Roman"/>
          <w:noProof/>
          <w:szCs w:val="24"/>
        </w:rPr>
        <w:t xml:space="preserve"> 7(3): 680–84. http://www.ncbi.nlm.nih.gov/pubmed/23051691 (February 11, 2014).</w:t>
      </w:r>
    </w:p>
    <w:p w14:paraId="663F5AB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213C5">
        <w:rPr>
          <w:rFonts w:cs="Times New Roman"/>
          <w:i/>
          <w:iCs/>
          <w:noProof/>
          <w:szCs w:val="24"/>
        </w:rPr>
        <w:t>Aquatic Microbial Ecology</w:t>
      </w:r>
      <w:r w:rsidRPr="00C213C5">
        <w:rPr>
          <w:rFonts w:cs="Times New Roman"/>
          <w:noProof/>
          <w:szCs w:val="24"/>
        </w:rPr>
        <w:t xml:space="preserve"> 68: 267–72.</w:t>
      </w:r>
    </w:p>
    <w:p w14:paraId="2786F226"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7F0457F8"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Linz, Alexandra M. et al. 2017. “Bacterial Community Composition and Dynamics Spanning Five Years in Freshwater Bog Lakes.” </w:t>
      </w:r>
      <w:r w:rsidRPr="00C213C5">
        <w:rPr>
          <w:rFonts w:cs="Times New Roman"/>
          <w:i/>
          <w:iCs/>
          <w:noProof/>
          <w:szCs w:val="24"/>
        </w:rPr>
        <w:t>mSphere</w:t>
      </w:r>
      <w:r w:rsidRPr="00C213C5">
        <w:rPr>
          <w:rFonts w:cs="Times New Roman"/>
          <w:noProof/>
          <w:szCs w:val="24"/>
        </w:rPr>
        <w:t xml:space="preserve"> 2(3): 1–15.</w:t>
      </w:r>
    </w:p>
    <w:p w14:paraId="64AFBFD3"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Martinez-Garcia, Manuel et al. 2012. “High-Throughput Single-Cell Sequencing Identifies </w:t>
      </w:r>
      <w:r w:rsidRPr="00C213C5">
        <w:rPr>
          <w:rFonts w:cs="Times New Roman"/>
          <w:noProof/>
          <w:szCs w:val="24"/>
        </w:rPr>
        <w:lastRenderedPageBreak/>
        <w:t xml:space="preserve">Photoheterotrophs and Chemoautotrophs in Freshwater Bacterioplankton.” </w:t>
      </w:r>
      <w:r w:rsidRPr="00C213C5">
        <w:rPr>
          <w:rFonts w:cs="Times New Roman"/>
          <w:i/>
          <w:iCs/>
          <w:noProof/>
          <w:szCs w:val="24"/>
        </w:rPr>
        <w:t>The ISME Journal</w:t>
      </w:r>
      <w:r w:rsidRPr="00C213C5">
        <w:rPr>
          <w:rFonts w:cs="Times New Roman"/>
          <w:noProof/>
          <w:szCs w:val="24"/>
        </w:rPr>
        <w:t xml:space="preserve"> 6(1): 113–23. http://dx.doi.org/10.1038/ismej.2011.84.</w:t>
      </w:r>
    </w:p>
    <w:p w14:paraId="455EEFDF"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McGowan, Suzanne et al. 2016. “Long-Term Perspectives on Terrestrial and Aquatic Carbon Cycling from Palaeolimnology.” </w:t>
      </w:r>
      <w:r w:rsidRPr="00C213C5">
        <w:rPr>
          <w:rFonts w:cs="Times New Roman"/>
          <w:i/>
          <w:iCs/>
          <w:noProof/>
          <w:szCs w:val="24"/>
        </w:rPr>
        <w:t>WIREs Water</w:t>
      </w:r>
      <w:r w:rsidRPr="00C213C5">
        <w:rPr>
          <w:rFonts w:cs="Times New Roman"/>
          <w:noProof/>
          <w:szCs w:val="24"/>
        </w:rPr>
        <w:t xml:space="preserve"> 3: 211–34.</w:t>
      </w:r>
    </w:p>
    <w:p w14:paraId="66251F4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Miles, R J. 1992. “Review Article Catabolism in </w:t>
      </w:r>
      <w:r w:rsidRPr="00C213C5">
        <w:rPr>
          <w:rFonts w:cs="Times New Roman"/>
          <w:i/>
          <w:iCs/>
          <w:noProof/>
          <w:szCs w:val="24"/>
        </w:rPr>
        <w:t>Mollicutes</w:t>
      </w:r>
      <w:r w:rsidRPr="00C213C5">
        <w:rPr>
          <w:rFonts w:cs="Times New Roman"/>
          <w:noProof/>
          <w:szCs w:val="24"/>
        </w:rPr>
        <w:t xml:space="preserve">.” </w:t>
      </w:r>
      <w:r w:rsidRPr="00C213C5">
        <w:rPr>
          <w:rFonts w:cs="Times New Roman"/>
          <w:i/>
          <w:iCs/>
          <w:noProof/>
          <w:szCs w:val="24"/>
        </w:rPr>
        <w:t>Journal of General Microbiology</w:t>
      </w:r>
      <w:r w:rsidRPr="00C213C5">
        <w:rPr>
          <w:rFonts w:cs="Times New Roman"/>
          <w:noProof/>
          <w:szCs w:val="24"/>
        </w:rPr>
        <w:t xml:space="preserve"> 138(1 992): 1773–83.</w:t>
      </w:r>
    </w:p>
    <w:p w14:paraId="392D6B11"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Mou, Xiaozhen et al. 2011. “Metatranscriptomic Signature of Exogenous Polyamine Utilization by Coastal Bacterioplankton.” 3: 798–806.</w:t>
      </w:r>
    </w:p>
    <w:p w14:paraId="1E712C3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Parks, Donovan H et al. 2015. “CheckM: Assessing the Quality of Microbial Genomes Recovered from Isolates, Single Cells, and Metagenomes.” </w:t>
      </w:r>
      <w:r w:rsidRPr="00C213C5">
        <w:rPr>
          <w:rFonts w:cs="Times New Roman"/>
          <w:i/>
          <w:iCs/>
          <w:noProof/>
          <w:szCs w:val="24"/>
        </w:rPr>
        <w:t>Genome Research</w:t>
      </w:r>
      <w:r w:rsidRPr="00C213C5">
        <w:rPr>
          <w:rFonts w:cs="Times New Roman"/>
          <w:noProof/>
          <w:szCs w:val="24"/>
        </w:rPr>
        <w:t xml:space="preserve"> 25(7).</w:t>
      </w:r>
    </w:p>
    <w:p w14:paraId="76BA06E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59A8C734"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Peters, John W. et al. 2015. “[FeFe]- and [NiFe]-Hydrogenase Diversity, Mechanism, and Maturation.” </w:t>
      </w:r>
      <w:r w:rsidRPr="00C213C5">
        <w:rPr>
          <w:rFonts w:cs="Times New Roman"/>
          <w:i/>
          <w:iCs/>
          <w:noProof/>
          <w:szCs w:val="24"/>
        </w:rPr>
        <w:t>Biochimica et Biophysica Acta - Molecular Cell Research</w:t>
      </w:r>
      <w:r w:rsidRPr="00C213C5">
        <w:rPr>
          <w:rFonts w:cs="Times New Roman"/>
          <w:noProof/>
          <w:szCs w:val="24"/>
        </w:rPr>
        <w:t xml:space="preserve"> 1853(6): 1350–69. http://dx.doi.org/10.1016/j.bbamcr.2014.11.021.</w:t>
      </w:r>
    </w:p>
    <w:p w14:paraId="3AEF01B7"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Peura, Sari et al. 2012. “Distinct and Diverse Anaerobic Bacterial Communities in Boreal Lakes Dominated by Candidate Division OD1.” </w:t>
      </w:r>
      <w:r w:rsidRPr="00C213C5">
        <w:rPr>
          <w:rFonts w:cs="Times New Roman"/>
          <w:i/>
          <w:iCs/>
          <w:noProof/>
          <w:szCs w:val="24"/>
        </w:rPr>
        <w:t>ISME journal</w:t>
      </w:r>
      <w:r w:rsidRPr="00C213C5">
        <w:rPr>
          <w:rFonts w:cs="Times New Roman"/>
          <w:noProof/>
          <w:szCs w:val="24"/>
        </w:rPr>
        <w:t xml:space="preserve"> 6: 1640–52.</w:t>
      </w:r>
    </w:p>
    <w:p w14:paraId="7E218B90"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Remsen, Charles C, Edward J Carpenter, and Brian W Schroeder. 1972. “Competition for Urea among Estuarine Microorganisms.” </w:t>
      </w:r>
      <w:r w:rsidRPr="00C213C5">
        <w:rPr>
          <w:rFonts w:cs="Times New Roman"/>
          <w:i/>
          <w:iCs/>
          <w:noProof/>
          <w:szCs w:val="24"/>
        </w:rPr>
        <w:t>Ecological Society of America</w:t>
      </w:r>
      <w:r w:rsidRPr="00C213C5">
        <w:rPr>
          <w:rFonts w:cs="Times New Roman"/>
          <w:noProof/>
          <w:szCs w:val="24"/>
        </w:rPr>
        <w:t xml:space="preserve"> 53(5): 921–26.</w:t>
      </w:r>
    </w:p>
    <w:p w14:paraId="67F41B75"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1ACE32FE"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 2015b. “The Ecology of Pelagic Freshwater Methylotrophs Assessed by a High-Resolution Monitoring and Isolation Campaign.” </w:t>
      </w:r>
      <w:r w:rsidRPr="00C213C5">
        <w:rPr>
          <w:rFonts w:cs="Times New Roman"/>
          <w:i/>
          <w:iCs/>
          <w:noProof/>
          <w:szCs w:val="24"/>
        </w:rPr>
        <w:t>The ISME Journal</w:t>
      </w:r>
      <w:r w:rsidRPr="00C213C5">
        <w:rPr>
          <w:rFonts w:cs="Times New Roman"/>
          <w:noProof/>
          <w:szCs w:val="24"/>
        </w:rPr>
        <w:t>: 1–12. http://www.nature.com/doifinder/10.1038/ismej.2015.55.</w:t>
      </w:r>
    </w:p>
    <w:p w14:paraId="73870BCB" w14:textId="77777777" w:rsidR="00C213C5" w:rsidRPr="00C213C5" w:rsidRDefault="00C213C5" w:rsidP="00C213C5">
      <w:pPr>
        <w:widowControl w:val="0"/>
        <w:autoSpaceDE w:val="0"/>
        <w:autoSpaceDN w:val="0"/>
        <w:adjustRightInd w:val="0"/>
        <w:spacing w:line="240" w:lineRule="auto"/>
        <w:ind w:left="480" w:hanging="480"/>
        <w:rPr>
          <w:rFonts w:cs="Times New Roman"/>
          <w:noProof/>
          <w:szCs w:val="24"/>
        </w:rPr>
      </w:pPr>
      <w:r w:rsidRPr="00C213C5">
        <w:rPr>
          <w:rFonts w:cs="Times New Roman"/>
          <w:noProof/>
          <w:szCs w:val="24"/>
        </w:rPr>
        <w:t xml:space="preserve">Tang, Kuo Hsiang, and Robert E. Blankenship. 2010. “Both Forward and Reverse TCA Cycles Operate in Green Sulfur Bacteria.” </w:t>
      </w:r>
      <w:r w:rsidRPr="00C213C5">
        <w:rPr>
          <w:rFonts w:cs="Times New Roman"/>
          <w:i/>
          <w:iCs/>
          <w:noProof/>
          <w:szCs w:val="24"/>
        </w:rPr>
        <w:t>Journal of Biological Chemistry</w:t>
      </w:r>
      <w:r w:rsidRPr="00C213C5">
        <w:rPr>
          <w:rFonts w:cs="Times New Roman"/>
          <w:noProof/>
          <w:szCs w:val="24"/>
        </w:rPr>
        <w:t xml:space="preserve"> 285(46): 35848–54.</w:t>
      </w:r>
    </w:p>
    <w:p w14:paraId="1EDC5C91" w14:textId="77777777" w:rsidR="00C213C5" w:rsidRPr="00C213C5" w:rsidRDefault="00C213C5" w:rsidP="00C213C5">
      <w:pPr>
        <w:widowControl w:val="0"/>
        <w:autoSpaceDE w:val="0"/>
        <w:autoSpaceDN w:val="0"/>
        <w:adjustRightInd w:val="0"/>
        <w:spacing w:line="240" w:lineRule="auto"/>
        <w:ind w:left="480" w:hanging="480"/>
        <w:rPr>
          <w:rFonts w:cs="Times New Roman"/>
          <w:noProof/>
        </w:rPr>
      </w:pPr>
      <w:r w:rsidRPr="00C213C5">
        <w:rPr>
          <w:rFonts w:cs="Times New Roman"/>
          <w:noProof/>
          <w:szCs w:val="24"/>
        </w:rPr>
        <w:t xml:space="preserve">Williamson, Craig E., Walter Dodds, Timothy K. Kratz, and Margaret A. Palmer. 2008. “Lakes and Streams as Sentinels of Environmental Change in Terrestrial and Atmospheric Processes.” </w:t>
      </w:r>
      <w:r w:rsidRPr="00C213C5">
        <w:rPr>
          <w:rFonts w:cs="Times New Roman"/>
          <w:i/>
          <w:iCs/>
          <w:noProof/>
          <w:szCs w:val="24"/>
        </w:rPr>
        <w:t>Frontiers in Ecology and the Environment</w:t>
      </w:r>
      <w:r w:rsidRPr="00C213C5">
        <w:rPr>
          <w:rFonts w:cs="Times New Roman"/>
          <w:noProof/>
          <w:szCs w:val="24"/>
        </w:rPr>
        <w:t xml:space="preserve"> 6(5): 247–54.</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77777777" w:rsidR="00791216" w:rsidRPr="00C9067D" w:rsidRDefault="00791216" w:rsidP="00C9067D"/>
    <w:sectPr w:rsidR="00791216"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5E49"/>
    <w:rsid w:val="001476D8"/>
    <w:rsid w:val="00153C67"/>
    <w:rsid w:val="00194180"/>
    <w:rsid w:val="001F01FF"/>
    <w:rsid w:val="0020406E"/>
    <w:rsid w:val="00206C7B"/>
    <w:rsid w:val="00222B88"/>
    <w:rsid w:val="002409B3"/>
    <w:rsid w:val="00242EB5"/>
    <w:rsid w:val="00254972"/>
    <w:rsid w:val="00260505"/>
    <w:rsid w:val="00266869"/>
    <w:rsid w:val="0028221F"/>
    <w:rsid w:val="00283E2E"/>
    <w:rsid w:val="002B3736"/>
    <w:rsid w:val="002C1146"/>
    <w:rsid w:val="002F0582"/>
    <w:rsid w:val="002F5E38"/>
    <w:rsid w:val="003318E6"/>
    <w:rsid w:val="0034414A"/>
    <w:rsid w:val="003618A3"/>
    <w:rsid w:val="00363484"/>
    <w:rsid w:val="00364AC2"/>
    <w:rsid w:val="00365AF9"/>
    <w:rsid w:val="00377F14"/>
    <w:rsid w:val="0038091D"/>
    <w:rsid w:val="00393F1B"/>
    <w:rsid w:val="003B06F5"/>
    <w:rsid w:val="003D1F63"/>
    <w:rsid w:val="003D5A73"/>
    <w:rsid w:val="003F2F8C"/>
    <w:rsid w:val="003F7145"/>
    <w:rsid w:val="00401ACA"/>
    <w:rsid w:val="004138AB"/>
    <w:rsid w:val="0041614F"/>
    <w:rsid w:val="00483D84"/>
    <w:rsid w:val="00487299"/>
    <w:rsid w:val="004A46AC"/>
    <w:rsid w:val="004A6010"/>
    <w:rsid w:val="004A78B2"/>
    <w:rsid w:val="004B510D"/>
    <w:rsid w:val="004C0F8F"/>
    <w:rsid w:val="004D27D2"/>
    <w:rsid w:val="004E0516"/>
    <w:rsid w:val="004F1920"/>
    <w:rsid w:val="00501404"/>
    <w:rsid w:val="005705CE"/>
    <w:rsid w:val="0057242B"/>
    <w:rsid w:val="00576C40"/>
    <w:rsid w:val="005965AE"/>
    <w:rsid w:val="005A5527"/>
    <w:rsid w:val="005B0EB6"/>
    <w:rsid w:val="005E24DA"/>
    <w:rsid w:val="005E35C7"/>
    <w:rsid w:val="005E5B8D"/>
    <w:rsid w:val="0060026A"/>
    <w:rsid w:val="006263CE"/>
    <w:rsid w:val="00632A77"/>
    <w:rsid w:val="006412FF"/>
    <w:rsid w:val="00644EC2"/>
    <w:rsid w:val="00662055"/>
    <w:rsid w:val="006711EE"/>
    <w:rsid w:val="00687196"/>
    <w:rsid w:val="00687C64"/>
    <w:rsid w:val="00687EFB"/>
    <w:rsid w:val="006F42C8"/>
    <w:rsid w:val="00701B59"/>
    <w:rsid w:val="00704B80"/>
    <w:rsid w:val="00705F64"/>
    <w:rsid w:val="00732488"/>
    <w:rsid w:val="00737662"/>
    <w:rsid w:val="00751DCB"/>
    <w:rsid w:val="007615B7"/>
    <w:rsid w:val="00777F2B"/>
    <w:rsid w:val="007879EE"/>
    <w:rsid w:val="00791216"/>
    <w:rsid w:val="00793164"/>
    <w:rsid w:val="007A25BD"/>
    <w:rsid w:val="007B5D3B"/>
    <w:rsid w:val="007C0A8C"/>
    <w:rsid w:val="007C3BA7"/>
    <w:rsid w:val="007E726F"/>
    <w:rsid w:val="007F1A1E"/>
    <w:rsid w:val="00822990"/>
    <w:rsid w:val="0083766F"/>
    <w:rsid w:val="00887063"/>
    <w:rsid w:val="008A5CFA"/>
    <w:rsid w:val="008F5749"/>
    <w:rsid w:val="008F651D"/>
    <w:rsid w:val="00907EF0"/>
    <w:rsid w:val="0094429B"/>
    <w:rsid w:val="0095001B"/>
    <w:rsid w:val="009552BD"/>
    <w:rsid w:val="0097677A"/>
    <w:rsid w:val="00982A50"/>
    <w:rsid w:val="00990A37"/>
    <w:rsid w:val="00990D17"/>
    <w:rsid w:val="009C20E9"/>
    <w:rsid w:val="009D0694"/>
    <w:rsid w:val="009D4394"/>
    <w:rsid w:val="009E15D3"/>
    <w:rsid w:val="009F65A4"/>
    <w:rsid w:val="00A062F7"/>
    <w:rsid w:val="00A06DFE"/>
    <w:rsid w:val="00A26E1A"/>
    <w:rsid w:val="00A37C26"/>
    <w:rsid w:val="00A57D83"/>
    <w:rsid w:val="00A830DF"/>
    <w:rsid w:val="00A874F2"/>
    <w:rsid w:val="00AA676C"/>
    <w:rsid w:val="00AB7112"/>
    <w:rsid w:val="00AE05E6"/>
    <w:rsid w:val="00AE127B"/>
    <w:rsid w:val="00AE3753"/>
    <w:rsid w:val="00AF731F"/>
    <w:rsid w:val="00B05CCB"/>
    <w:rsid w:val="00B214AE"/>
    <w:rsid w:val="00B25EC0"/>
    <w:rsid w:val="00B42A56"/>
    <w:rsid w:val="00B4745F"/>
    <w:rsid w:val="00B54DAC"/>
    <w:rsid w:val="00B57552"/>
    <w:rsid w:val="00BA208D"/>
    <w:rsid w:val="00BA4C1C"/>
    <w:rsid w:val="00BA5790"/>
    <w:rsid w:val="00BD76E8"/>
    <w:rsid w:val="00BE4306"/>
    <w:rsid w:val="00BE484D"/>
    <w:rsid w:val="00BF3B0E"/>
    <w:rsid w:val="00C02EA1"/>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F4312"/>
    <w:rsid w:val="00D00FD2"/>
    <w:rsid w:val="00D11FC2"/>
    <w:rsid w:val="00D23AA4"/>
    <w:rsid w:val="00D33E54"/>
    <w:rsid w:val="00D407BC"/>
    <w:rsid w:val="00D43B03"/>
    <w:rsid w:val="00D70442"/>
    <w:rsid w:val="00D71A65"/>
    <w:rsid w:val="00D74007"/>
    <w:rsid w:val="00D8003E"/>
    <w:rsid w:val="00D80656"/>
    <w:rsid w:val="00DB0C6F"/>
    <w:rsid w:val="00DB50A6"/>
    <w:rsid w:val="00DD2E1C"/>
    <w:rsid w:val="00DF5B3C"/>
    <w:rsid w:val="00DF606D"/>
    <w:rsid w:val="00E508C6"/>
    <w:rsid w:val="00E54A3A"/>
    <w:rsid w:val="00E54EFD"/>
    <w:rsid w:val="00E71475"/>
    <w:rsid w:val="00E8160D"/>
    <w:rsid w:val="00E8497A"/>
    <w:rsid w:val="00E863DA"/>
    <w:rsid w:val="00EA42C4"/>
    <w:rsid w:val="00EB63E9"/>
    <w:rsid w:val="00EC2782"/>
    <w:rsid w:val="00ED1D87"/>
    <w:rsid w:val="00ED6B89"/>
    <w:rsid w:val="00EF284B"/>
    <w:rsid w:val="00EF418D"/>
    <w:rsid w:val="00EF4926"/>
    <w:rsid w:val="00F067D9"/>
    <w:rsid w:val="00F17423"/>
    <w:rsid w:val="00F26AFE"/>
    <w:rsid w:val="00F313D0"/>
    <w:rsid w:val="00F37CA0"/>
    <w:rsid w:val="00F513F6"/>
    <w:rsid w:val="00F64B28"/>
    <w:rsid w:val="00F67CDC"/>
    <w:rsid w:val="00F74885"/>
    <w:rsid w:val="00F80C19"/>
    <w:rsid w:val="00F838A1"/>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6EEB-8721-4452-B176-5CEE6D30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20</Pages>
  <Words>18474</Words>
  <Characters>105307</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2018-01-19T15:30:00Z</dcterms:created>
  <dcterms:modified xsi:type="dcterms:W3CDTF">2018-01-26T18:44:00Z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