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xml:space="preserve">. However, many metagenomics-based studies take a gene-centric approach to investigating microbial functions. In this study, we use metagenome-assembled genomes (MAGs) to compare microbial functions between two lakes </w:t>
      </w:r>
      <w:r w:rsidR="00242EB5">
        <w:lastRenderedPageBreak/>
        <w:t>of different trophic statuses with an organism-centric approach instead. Analyzing genomes rather than genes provides better insight into the ecological roles of specific microbes within freshwater communities.</w:t>
      </w:r>
    </w:p>
    <w:p w14:paraId="24EF6CB0" w14:textId="18CA984A"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allochthonous carbon,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118B288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w:t>
      </w:r>
      <w:bookmarkStart w:id="0" w:name="_GoBack"/>
      <w:bookmarkEnd w:id="0"/>
      <w:r>
        <w:t xml:space="preserve">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lastRenderedPageBreak/>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w:t>
      </w:r>
      <w:r>
        <w:rPr>
          <w:rFonts w:cs="Times New Roman"/>
          <w:szCs w:val="24"/>
        </w:rPr>
        <w:lastRenderedPageBreak/>
        <w:t xml:space="preserve">both lakes, Bacteroidetes and </w:t>
      </w:r>
      <w:proofErr w:type="spellStart"/>
      <w:r>
        <w:rPr>
          <w:rFonts w:cs="Times New Roman"/>
          <w:szCs w:val="24"/>
        </w:rPr>
        <w:t>Verrucomicrobia</w:t>
      </w:r>
      <w:proofErr w:type="spellEnd"/>
      <w:r>
        <w:rPr>
          <w:rFonts w:cs="Times New Roman"/>
          <w:szCs w:val="24"/>
        </w:rPr>
        <w:t xml:space="preserve"> MAGs contained genes encoding cellulases,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Actinobacteria, and </w:t>
      </w:r>
      <w:proofErr w:type="spellStart"/>
      <w:r>
        <w:rPr>
          <w:rFonts w:cs="Times New Roman"/>
          <w:szCs w:val="24"/>
        </w:rPr>
        <w:t>Methylococcales</w:t>
      </w:r>
      <w:proofErr w:type="spellEnd"/>
      <w:r>
        <w:rPr>
          <w:rFonts w:cs="Times New Roman"/>
          <w:szCs w:val="24"/>
        </w:rPr>
        <w:t xml:space="preserve"> in Trout Bog. Genes relating to the degradation of cellobiose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raffinose, </w:t>
      </w:r>
      <w:proofErr w:type="spellStart"/>
      <w:r>
        <w:t>trehalose</w:t>
      </w:r>
      <w:proofErr w:type="spellEnd"/>
      <w:r>
        <w:t xml:space="preserve">, lactose, and </w:t>
      </w:r>
      <w:proofErr w:type="spellStart"/>
      <w:r>
        <w:t>melibiose</w:t>
      </w:r>
      <w:proofErr w:type="spellEnd"/>
      <w:r>
        <w:t xml:space="preserve">) were identified in MAGs classified as Bacteroidetes, </w:t>
      </w:r>
      <w:proofErr w:type="spellStart"/>
      <w:r>
        <w:t>Verrucomicrobia</w:t>
      </w:r>
      <w:proofErr w:type="spellEnd"/>
      <w:r>
        <w:t>, and Actinobacteria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methylotrophs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w:t>
      </w:r>
      <w:r w:rsidR="00737662">
        <w:rPr>
          <w:rFonts w:cs="Times New Roman"/>
          <w:szCs w:val="24"/>
        </w:rPr>
        <w:lastRenderedPageBreak/>
        <w:t xml:space="preserve">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methylotrophs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methylotrophs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8">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2"/>
      <w:r w:rsidR="00C12FD2">
        <w:t>between</w:t>
      </w:r>
      <w:commentRangeEnd w:id="2"/>
      <w:r w:rsidR="003F2F8C">
        <w:rPr>
          <w:rStyle w:val="CommentReference"/>
        </w:rPr>
        <w:commentReference w:id="2"/>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9">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w:t>
      </w:r>
      <w:commentRangeStart w:id="3"/>
      <w:r w:rsidR="00E8160D">
        <w:rPr>
          <w:rFonts w:cs="Times New Roman"/>
          <w:szCs w:val="24"/>
        </w:rPr>
        <w:t>cycles</w:t>
      </w:r>
      <w:commentRangeEnd w:id="3"/>
      <w:r w:rsidR="003F7145">
        <w:rPr>
          <w:rStyle w:val="CommentReference"/>
        </w:rPr>
        <w:commentReference w:id="3"/>
      </w:r>
      <w:r w:rsidR="00E8160D">
        <w:rPr>
          <w:rFonts w:cs="Times New Roman"/>
          <w:szCs w:val="24"/>
        </w:rPr>
        <w:t>.</w:t>
      </w:r>
    </w:p>
    <w:p w14:paraId="190F50EC" w14:textId="598FB0D8" w:rsidR="00C64D38" w:rsidRDefault="00C64D38" w:rsidP="004A6010">
      <w:pPr>
        <w:spacing w:line="360" w:lineRule="auto"/>
        <w:jc w:val="both"/>
        <w:rPr>
          <w:rFonts w:cs="Times New Roman"/>
          <w:szCs w:val="24"/>
        </w:rPr>
      </w:pPr>
    </w:p>
    <w:p w14:paraId="78803A96" w14:textId="79533E32" w:rsidR="00EF418D" w:rsidRDefault="00CD786A" w:rsidP="00EF418D">
      <w:pPr>
        <w:pStyle w:val="Heading2"/>
      </w:pPr>
      <w:r>
        <w:t>Carbohydrate Active Enzymes</w:t>
      </w:r>
    </w:p>
    <w:p w14:paraId="12BDB664" w14:textId="77777777" w:rsidR="00CD786A" w:rsidRDefault="00CD786A" w:rsidP="00CD786A">
      <w:proofErr w:type="spellStart"/>
      <w:r>
        <w:t>Shaomei’s</w:t>
      </w:r>
      <w:proofErr w:type="spellEnd"/>
      <w:r>
        <w:t xml:space="preserve"> </w:t>
      </w:r>
      <w:proofErr w:type="spellStart"/>
      <w:r>
        <w:t>Verruco</w:t>
      </w:r>
      <w:proofErr w:type="spellEnd"/>
      <w:r>
        <w:t xml:space="preserve"> paper suggests we’ll see far more glucoside hydrolases in Trout Bog than in Lake Mendota. </w:t>
      </w:r>
      <w:proofErr w:type="spellStart"/>
      <w:r>
        <w:t>Planctomyces</w:t>
      </w:r>
      <w:proofErr w:type="spellEnd"/>
      <w:r>
        <w:t xml:space="preserve"> in Lake Mendota had many GHs, though. Move that here and eliminate unusual microbes section?</w:t>
      </w:r>
    </w:p>
    <w:p w14:paraId="130AE7F5" w14:textId="77777777" w:rsidR="00CD786A" w:rsidRPr="003F7145" w:rsidRDefault="00CD786A" w:rsidP="00CD786A">
      <w:r>
        <w:t>Include figure of heatmap of GH families by order by lake</w:t>
      </w:r>
    </w:p>
    <w:p w14:paraId="1BC0F44A" w14:textId="77777777" w:rsidR="00CD786A" w:rsidRPr="00CD786A" w:rsidRDefault="00CD786A" w:rsidP="00CD786A"/>
    <w:p w14:paraId="14A80647" w14:textId="56EF43EC" w:rsidR="00F26AFE" w:rsidRPr="00F26AFE" w:rsidRDefault="00C64D38" w:rsidP="004A6010">
      <w:pPr>
        <w:pStyle w:val="Heading2"/>
        <w:spacing w:line="360" w:lineRule="auto"/>
      </w:pPr>
      <w:r>
        <w:lastRenderedPageBreak/>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4"/>
      <w:r>
        <w:rPr>
          <w:rFonts w:cs="Times New Roman"/>
          <w:szCs w:val="24"/>
        </w:rPr>
        <w:t>different</w:t>
      </w:r>
      <w:commentRangeEnd w:id="4"/>
      <w:r w:rsidR="00DF606D">
        <w:rPr>
          <w:rStyle w:val="CommentReference"/>
        </w:rPr>
        <w:commentReference w:id="4"/>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 xml:space="preserve">of these </w:t>
      </w:r>
      <w:r w:rsidR="00096680">
        <w:rPr>
          <w:rFonts w:cs="Times New Roman"/>
          <w:szCs w:val="24"/>
        </w:rPr>
        <w:lastRenderedPageBreak/>
        <w:t>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10">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5"/>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6"/>
      <w:r>
        <w:t>Lake</w:t>
      </w:r>
      <w:commentRangeEnd w:id="6"/>
      <w:r w:rsidR="00990D17">
        <w:rPr>
          <w:rStyle w:val="CommentReference"/>
        </w:rPr>
        <w:commentReference w:id="6"/>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1">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7"/>
      <w:r>
        <w:rPr>
          <w:rFonts w:cs="Times New Roman"/>
          <w:szCs w:val="24"/>
        </w:rPr>
        <w:t>lakes</w:t>
      </w:r>
      <w:commentRangeEnd w:id="7"/>
      <w:r w:rsidR="000178B6">
        <w:rPr>
          <w:rStyle w:val="CommentReference"/>
        </w:rPr>
        <w:commentReference w:id="7"/>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2">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2661C" w14:textId="4CBED862" w:rsidR="003F7145" w:rsidRPr="003F7145" w:rsidRDefault="00AE05E6" w:rsidP="00CD786A">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w:t>
      </w:r>
      <w:commentRangeStart w:id="8"/>
      <w:r w:rsidR="004A6010">
        <w:t>Mendota</w:t>
      </w:r>
      <w:commentRangeEnd w:id="8"/>
      <w:r w:rsidR="003F7145">
        <w:rPr>
          <w:rStyle w:val="CommentReference"/>
        </w:rPr>
        <w:commentReference w:id="8"/>
      </w:r>
      <w:r w:rsidR="004A6010">
        <w:t>.</w:t>
      </w:r>
      <w:r w:rsidR="003F7145">
        <w:tab/>
      </w: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was recovered from Trout Bog. While this genome is only 44% complete, we can propose that </w:t>
      </w:r>
      <w:r w:rsidR="000178B6">
        <w:t xml:space="preserve">it </w:t>
      </w:r>
      <w:r>
        <w:lastRenderedPageBreak/>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3">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lastRenderedPageBreak/>
        <w:t>Add section on # read mapping back to each MAG across the time series</w:t>
      </w:r>
    </w:p>
    <w:p w14:paraId="3153BA81" w14:textId="5261C21F" w:rsidR="003F7145" w:rsidRDefault="003F7145" w:rsidP="003F7145">
      <w:r>
        <w:t xml:space="preserve">This is something </w:t>
      </w:r>
      <w:proofErr w:type="spellStart"/>
      <w:r>
        <w:t>Shaomei’s</w:t>
      </w:r>
      <w:proofErr w:type="spellEnd"/>
      <w:r>
        <w:t xml:space="preserve"> reviewers wanted. Don’t need an in depth analysis –</w:t>
      </w:r>
      <w:r w:rsidR="00CD786A">
        <w:t xml:space="preserve"> </w:t>
      </w:r>
      <w:r>
        <w:t xml:space="preserve">just classify as abundant vs rare, persistent vs variable. Will map as soon as </w:t>
      </w:r>
      <w:proofErr w:type="spellStart"/>
      <w:r>
        <w:t>Gluster</w:t>
      </w:r>
      <w:proofErr w:type="spellEnd"/>
      <w:r>
        <w:t xml:space="preserve"> on CHTC is back up and running.</w:t>
      </w:r>
    </w:p>
    <w:p w14:paraId="2BC59BF2" w14:textId="4A77BD2F" w:rsidR="00CD786A" w:rsidRPr="003F7145" w:rsidRDefault="00CD786A" w:rsidP="003F7145">
      <w:r>
        <w:t>Use SQUID instead if file sizes are below 1GB?</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lastRenderedPageBreak/>
        <w:t xml:space="preserve">Herlemann, D P R et al. 2009. “Genomic Analysis of ‘ Elusimicrobium Minutum ,’ the First Cultivated Representative of the Phylum ‘ Elusimicrobia ’ ( Formerly Termite Group 1 ).” </w:t>
      </w:r>
      <w:r w:rsidRPr="00EF418D">
        <w:rPr>
          <w:rFonts w:cs="Times New Roman"/>
          <w:i/>
          <w:iCs/>
          <w:noProof/>
          <w:szCs w:val="24"/>
        </w:rPr>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w:t>
      </w:r>
      <w:r w:rsidRPr="00EF418D">
        <w:rPr>
          <w:rFonts w:cs="Times New Roman"/>
          <w:noProof/>
          <w:szCs w:val="24"/>
        </w:rPr>
        <w:lastRenderedPageBreak/>
        <w:t xml:space="preserve">“The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1–12. 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a Linz" w:date="2017-10-27T12:39:00Z" w:initials="AL">
    <w:p w14:paraId="790C759C" w14:textId="6CB2D3E2" w:rsidR="0028221F" w:rsidRDefault="0028221F">
      <w:pPr>
        <w:pStyle w:val="CommentText"/>
      </w:pPr>
      <w:r>
        <w:rPr>
          <w:rStyle w:val="CommentReference"/>
        </w:rPr>
        <w:annotationRef/>
      </w:r>
      <w:r w:rsidR="003F7145">
        <w:t xml:space="preserve">Add </w:t>
      </w:r>
      <w:r>
        <w:t xml:space="preserve">%reads </w:t>
      </w:r>
      <w:r w:rsidR="003F7145">
        <w:t>mapped to each MAG</w:t>
      </w:r>
    </w:p>
  </w:comment>
  <w:comment w:id="2" w:author="Alexandra Linz" w:date="2017-11-03T13:36:00Z" w:initials="AL">
    <w:p w14:paraId="0C433E63" w14:textId="45F0C68E" w:rsidR="003F2F8C" w:rsidRDefault="003F2F8C">
      <w:pPr>
        <w:pStyle w:val="CommentText"/>
      </w:pPr>
      <w:r>
        <w:rPr>
          <w:rStyle w:val="CommentReference"/>
        </w:rPr>
        <w:annotationRef/>
      </w:r>
      <w:r>
        <w:t>Add legend back in</w:t>
      </w:r>
      <w:r w:rsidR="003F7145">
        <w:t>. Green = Mendota, gold = Trout Bog</w:t>
      </w:r>
    </w:p>
  </w:comment>
  <w:comment w:id="3" w:author="Alexandra Linz" w:date="2017-11-20T10:11:00Z" w:initials="AL">
    <w:p w14:paraId="74CCB84A" w14:textId="0E9C1EF9" w:rsidR="003F7145" w:rsidRDefault="003F7145">
      <w:pPr>
        <w:pStyle w:val="CommentText"/>
      </w:pPr>
      <w:r>
        <w:rPr>
          <w:rStyle w:val="CommentReference"/>
        </w:rPr>
        <w:annotationRef/>
      </w:r>
      <w:r>
        <w:t>Add carbohydrate enzymes and Josh’s transporters</w:t>
      </w:r>
    </w:p>
  </w:comment>
  <w:comment w:id="4"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5" w:author="Alexandra Linz" w:date="2017-10-27T12:34:00Z" w:initials="AL">
    <w:p w14:paraId="0D4FF670" w14:textId="6675E031" w:rsidR="0028221F" w:rsidRDefault="0028221F">
      <w:pPr>
        <w:pStyle w:val="CommentText"/>
      </w:pPr>
      <w:r>
        <w:rPr>
          <w:rStyle w:val="CommentReference"/>
        </w:rPr>
        <w:annotationRef/>
      </w:r>
      <w:r>
        <w:t>Switch to %</w:t>
      </w:r>
    </w:p>
  </w:comment>
  <w:comment w:id="6"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7"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8" w:author="Alexandra Linz" w:date="2017-11-20T10:13:00Z" w:initials="AL">
    <w:p w14:paraId="5406D431" w14:textId="5D908858" w:rsidR="003F7145" w:rsidRDefault="003F7145">
      <w:pPr>
        <w:pStyle w:val="CommentText"/>
      </w:pPr>
      <w:r>
        <w:rPr>
          <w:rStyle w:val="CommentReference"/>
        </w:rPr>
        <w:annotationRef/>
      </w:r>
      <w:r>
        <w:t>Combine with nitrogen figure to free up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C759C" w15:done="0"/>
  <w15:commentEx w15:paraId="0C433E63" w15:done="0"/>
  <w15:commentEx w15:paraId="74CCB84A" w15:done="0"/>
  <w15:commentEx w15:paraId="05B214C2" w15:done="0"/>
  <w15:commentEx w15:paraId="0D4FF670" w15:done="0"/>
  <w15:commentEx w15:paraId="0257D0CD" w15:done="0"/>
  <w15:commentEx w15:paraId="72758A8A" w15:done="0"/>
  <w15:commentEx w15:paraId="5406D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C433E63" w16cid:durableId="1DC8E78F"/>
  <w16cid:commentId w16cid:paraId="74CCB84A" w16cid:durableId="1DC8E790"/>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8091D"/>
    <w:rsid w:val="00393F1B"/>
    <w:rsid w:val="003F2F8C"/>
    <w:rsid w:val="003F7145"/>
    <w:rsid w:val="00401ACA"/>
    <w:rsid w:val="004138AB"/>
    <w:rsid w:val="0041614F"/>
    <w:rsid w:val="00487299"/>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687C64"/>
    <w:rsid w:val="00701B59"/>
    <w:rsid w:val="00704B80"/>
    <w:rsid w:val="00732488"/>
    <w:rsid w:val="00737662"/>
    <w:rsid w:val="00777F2B"/>
    <w:rsid w:val="00793164"/>
    <w:rsid w:val="007B5D3B"/>
    <w:rsid w:val="007C0A8C"/>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57552"/>
    <w:rsid w:val="00BE484D"/>
    <w:rsid w:val="00BF3B0E"/>
    <w:rsid w:val="00C12FD2"/>
    <w:rsid w:val="00C34AE3"/>
    <w:rsid w:val="00C4283D"/>
    <w:rsid w:val="00C54FFE"/>
    <w:rsid w:val="00C64D38"/>
    <w:rsid w:val="00C67198"/>
    <w:rsid w:val="00C9067D"/>
    <w:rsid w:val="00C93A65"/>
    <w:rsid w:val="00CD2B02"/>
    <w:rsid w:val="00CD631C"/>
    <w:rsid w:val="00CD786A"/>
    <w:rsid w:val="00D00FD2"/>
    <w:rsid w:val="00D11FC2"/>
    <w:rsid w:val="00D33E54"/>
    <w:rsid w:val="00D407BC"/>
    <w:rsid w:val="00D70442"/>
    <w:rsid w:val="00DB0C6F"/>
    <w:rsid w:val="00DB50A6"/>
    <w:rsid w:val="00DF5B3C"/>
    <w:rsid w:val="00DF606D"/>
    <w:rsid w:val="00E8160D"/>
    <w:rsid w:val="00EB63E9"/>
    <w:rsid w:val="00EF418D"/>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0957-7ADE-4D45-B027-4F169D9D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1</Pages>
  <Words>13026</Words>
  <Characters>74249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35</cp:revision>
  <dcterms:created xsi:type="dcterms:W3CDTF">2017-10-13T18:20:00Z</dcterms:created>
  <dcterms:modified xsi:type="dcterms:W3CDTF">2017-11-30T01:27:00Z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