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5A8655E0" w:rsidR="00C64D38" w:rsidRDefault="00317E09" w:rsidP="004A6010">
      <w:pPr>
        <w:pStyle w:val="Heading1"/>
        <w:spacing w:before="0" w:line="360" w:lineRule="auto"/>
        <w:jc w:val="both"/>
        <w:rPr>
          <w:noProof/>
        </w:rPr>
      </w:pPr>
      <w:r>
        <w:rPr>
          <w:noProof/>
        </w:rPr>
        <w:t xml:space="preserve">Metagenome-assembled genomes reveal </w:t>
      </w:r>
      <w:r w:rsidR="00636F56">
        <w:rPr>
          <w:noProof/>
        </w:rPr>
        <w:t>metabolic similarities and differences between freshwater lakes</w:t>
      </w:r>
    </w:p>
    <w:p w14:paraId="1DCDBD74" w14:textId="681B0935" w:rsidR="00C64D38" w:rsidRDefault="00C64D38" w:rsidP="004A6010">
      <w:pPr>
        <w:spacing w:line="360" w:lineRule="auto"/>
        <w:jc w:val="both"/>
      </w:pPr>
      <w:r>
        <w:t xml:space="preserve">Alexandra M. Linz, </w:t>
      </w:r>
      <w:proofErr w:type="spellStart"/>
      <w:r>
        <w:t>Shaomei</w:t>
      </w:r>
      <w:proofErr w:type="spellEnd"/>
      <w:r>
        <w:t xml:space="preserve"> He,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319A76E1" w:rsidR="00C64D38" w:rsidRDefault="00B238EA" w:rsidP="004A6010">
      <w:pPr>
        <w:spacing w:line="360" w:lineRule="auto"/>
        <w:jc w:val="both"/>
      </w:pPr>
      <w:r>
        <w:tab/>
      </w:r>
      <w:r w:rsidR="00981DA2">
        <w:t>Bacterial</w:t>
      </w:r>
      <w:r w:rsidR="00F2127E">
        <w:t xml:space="preserve"> communities play a major role in freshwater nutrient cycling, yet relatively little is known about the individuals in these communities. Freshwater microbial communities are diverse and dynamic, and most microbes cannot be cultivated in the laboratory, making the study of specific taxa difficult.</w:t>
      </w:r>
      <w:r w:rsidR="00981DA2">
        <w:t xml:space="preserve"> </w:t>
      </w:r>
      <w:r w:rsidR="00FA0DA2">
        <w:t xml:space="preserve">Identifying which bacterial taxa facilitate specific biogeochemical transformations would improve our understanding of freshwater nutrient cycling. </w:t>
      </w:r>
      <w:r w:rsidR="00F2127E">
        <w:t xml:space="preserve"> In this research, we use time-series resolved metagenome-assembled genomes (MAGs) to link </w:t>
      </w:r>
      <w:r w:rsidR="00FA0DA2">
        <w:t>bacterial</w:t>
      </w:r>
      <w:r w:rsidR="00F2127E">
        <w:t xml:space="preserve"> taxa to their functions in two contrasting freshwater lakes. Prediction of metabolic pathways based on gene content in these genomes is used to infer metabolic traits of wild bacterial populations. The two lakes chosen for this research have different chemical characteristics;</w:t>
      </w:r>
      <w:r w:rsidR="00981DA2">
        <w:t xml:space="preserve"> Trout Bog is a </w:t>
      </w:r>
      <w:proofErr w:type="spellStart"/>
      <w:r w:rsidR="00981DA2">
        <w:t>humic</w:t>
      </w:r>
      <w:proofErr w:type="spellEnd"/>
      <w:r w:rsidR="00981DA2">
        <w:t xml:space="preserve"> lake, while Lake Mendota is eutrophic.</w:t>
      </w:r>
      <w:r w:rsidR="00F2127E">
        <w:t xml:space="preserve"> </w:t>
      </w:r>
      <w:r w:rsidR="00981DA2">
        <w:t>T</w:t>
      </w:r>
      <w:r w:rsidR="00F2127E">
        <w:t xml:space="preserve">herefore, we expected to find significant differences in gene content between our study sites. </w:t>
      </w:r>
      <w:r w:rsidR="00981DA2">
        <w:t xml:space="preserve">We found several key differences between Trout Bog and Lake Mendota in carbon fixation pathways, degradation of complex carbon compounds, and nitrogen usage. However, we also observed striking similarities, such as an overlap in sugar degradation pathways, enrichment for genes encoding the same steps of the sulfur cycle, high numbers of genes related to polyamine metabolism, and the presence of methylotrophy and </w:t>
      </w:r>
      <w:proofErr w:type="spellStart"/>
      <w:r w:rsidR="00981DA2">
        <w:t>anoxygenic</w:t>
      </w:r>
      <w:proofErr w:type="spellEnd"/>
      <w:r w:rsidR="00981DA2">
        <w:t xml:space="preserve"> aerobic photosynthesis in both lakes.  While further experiments are needed to confirm metabolic traits in these populations of bacteria, this work lays </w:t>
      </w:r>
      <w:r w:rsidR="00FA0DA2">
        <w:t>a</w:t>
      </w:r>
      <w:r w:rsidR="00981DA2">
        <w:t xml:space="preserve"> foundation by beginning to pull apart the complexity of freshwater bacterial communities</w:t>
      </w:r>
      <w:r w:rsidR="00FA0DA2">
        <w:t xml:space="preserve"> and their role in nutrient cycling</w:t>
      </w:r>
      <w:r w:rsidR="00981DA2">
        <w:t xml:space="preserve">. </w:t>
      </w:r>
    </w:p>
    <w:p w14:paraId="43E29287" w14:textId="77777777" w:rsidR="00C64D38" w:rsidRDefault="00C64D38" w:rsidP="004A6010">
      <w:pPr>
        <w:pStyle w:val="Heading1"/>
        <w:spacing w:before="0" w:line="360" w:lineRule="auto"/>
        <w:jc w:val="both"/>
      </w:pPr>
      <w:r>
        <w:t>Introduction</w:t>
      </w:r>
    </w:p>
    <w:p w14:paraId="6145B0F3" w14:textId="3AC58759"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 xml:space="preserve">ors of their surrounding landscapes, </w:t>
      </w:r>
      <w:r w:rsidR="00AC01EE">
        <w:t>processing</w:t>
      </w:r>
      <w:r w:rsidR="00F80C19">
        <w:t xml:space="preserve">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 xml:space="preserve">Within lakes, much of this nutrient processing is performed by the microbial community. </w:t>
      </w:r>
      <w:r w:rsidR="00216C2A">
        <w:t>P</w:t>
      </w:r>
      <w:r w:rsidR="00CB4BEF">
        <w:t>revious research has revealed high levels of diversity and change over time in these communities</w:t>
      </w:r>
      <w:r w:rsidR="00990A37">
        <w:t xml:space="preserve"> </w:t>
      </w:r>
      <w:r w:rsidR="00990A37">
        <w:lastRenderedPageBreak/>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216C2A">
        <w:t>, information which is currently not incorporated into models of ecosystem-level nutrient cycling</w:t>
      </w:r>
      <w:r w:rsidR="00CB4BEF">
        <w:t>.  We seek to integrate genomic information about individual bacterial taxa into our understanding of freshwater bacterial communities to better explain how microbes contribute to ecosystem</w:t>
      </w:r>
      <w:r w:rsidR="00216C2A">
        <w:t xml:space="preserve"> functions</w:t>
      </w:r>
      <w:r w:rsidR="00CB4BEF">
        <w:t>.</w:t>
      </w:r>
    </w:p>
    <w:p w14:paraId="6291298D" w14:textId="345A1557" w:rsidR="00EB63E9" w:rsidRDefault="00EB63E9" w:rsidP="004A6010">
      <w:pPr>
        <w:spacing w:line="360" w:lineRule="auto"/>
        <w:jc w:val="both"/>
      </w:pPr>
      <w:r>
        <w:tab/>
        <w:t xml:space="preserve">Nutrient cycling in lakes </w:t>
      </w:r>
      <w:r w:rsidR="00216C2A">
        <w:t>is often</w:t>
      </w:r>
      <w:r>
        <w:t xml:space="preserve"> </w:t>
      </w:r>
      <w:r w:rsidR="00216C2A">
        <w:t>described</w:t>
      </w:r>
      <w:r>
        <w:t xml:space="preserve"> in terms of primary production vs. respiration, allochthonous vs</w:t>
      </w:r>
      <w:r w:rsidR="009D4394">
        <w:t>.</w:t>
      </w:r>
      <w:r>
        <w:t xml:space="preserve">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w:t>
      </w:r>
      <w:r w:rsidR="00216C2A">
        <w:t>insights from the fields of traditional and microbial ecology must be combined to break down the</w:t>
      </w:r>
      <w:r w:rsidR="00F64B28">
        <w:t xml:space="preserve"> broad categories of nutrient cycling </w:t>
      </w:r>
      <w:r w:rsidR="00242EB5">
        <w:t>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and to compare microbial 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0C9CCB4D" w:rsidR="00242EB5" w:rsidRDefault="00401ACA" w:rsidP="004A6010">
      <w:pPr>
        <w:spacing w:line="360" w:lineRule="auto"/>
        <w:jc w:val="both"/>
      </w:pPr>
      <w:r>
        <w:tab/>
      </w:r>
      <w:r w:rsidR="00F67CDC">
        <w:t xml:space="preserve">Previously, we used time series metagenomics to assemble nearly 200 high-quality MAGs from Lake Mendota, a highly productive eutrophic lake, and Trout Bog, a </w:t>
      </w:r>
      <w:proofErr w:type="spellStart"/>
      <w:r w:rsidR="00F67CDC">
        <w:t>humic</w:t>
      </w:r>
      <w:proofErr w:type="spellEnd"/>
      <w:r w:rsidR="00F67CDC">
        <w:t xml:space="preserve"> bog lake. Genomes from this dataset have been used to study genome sweeps in Trout Bog </w:t>
      </w:r>
      <w:r w:rsidR="00F67CDC">
        <w:fldChar w:fldCharType="begin" w:fldLock="1"/>
      </w:r>
      <w:r w:rsidR="00F67C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F67CDC">
        <w:fldChar w:fldCharType="separate"/>
      </w:r>
      <w:r w:rsidR="00F67CDC" w:rsidRPr="00F67CDC">
        <w:rPr>
          <w:noProof/>
        </w:rPr>
        <w:t>(Bendall et al. 2016)</w:t>
      </w:r>
      <w:r w:rsidR="00F67CDC">
        <w:fldChar w:fldCharType="end"/>
      </w:r>
      <w:r w:rsidR="00F67CDC">
        <w:t xml:space="preserve">, to build metabolic networks of the ubiquitous freshwater Actinobacteria </w:t>
      </w:r>
      <w:proofErr w:type="spellStart"/>
      <w:r w:rsidR="00F67CDC">
        <w:t>acI</w:t>
      </w:r>
      <w:proofErr w:type="spellEnd"/>
      <w:r w:rsidR="00F67CDC">
        <w:t xml:space="preserve"> in Lake Mendota </w:t>
      </w:r>
      <w:r w:rsidR="00F67CDC">
        <w:fldChar w:fldCharType="begin" w:fldLock="1"/>
      </w:r>
      <w:r w:rsidR="00F67CDC">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F67CDC">
        <w:fldChar w:fldCharType="separate"/>
      </w:r>
      <w:r w:rsidR="00F67CDC" w:rsidRPr="00F67CDC">
        <w:rPr>
          <w:noProof/>
        </w:rPr>
        <w:t>(Hamilton et al. 2017)</w:t>
      </w:r>
      <w:r w:rsidR="00F67CDC">
        <w:fldChar w:fldCharType="end"/>
      </w:r>
      <w:r w:rsidR="00F67CDC">
        <w:t xml:space="preserve">, and to propose functions for freshwater </w:t>
      </w:r>
      <w:proofErr w:type="spellStart"/>
      <w:r w:rsidR="00F67CDC">
        <w:t>Verrucomicrobia</w:t>
      </w:r>
      <w:proofErr w:type="spellEnd"/>
      <w:r w:rsidR="00F67CDC">
        <w:t xml:space="preserve"> </w:t>
      </w:r>
      <w:r w:rsidR="00F67CDC">
        <w:fldChar w:fldCharType="begin" w:fldLock="1"/>
      </w:r>
      <w:r w:rsidR="00F67CDC">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F67CDC">
        <w:fldChar w:fldCharType="separate"/>
      </w:r>
      <w:r w:rsidR="00F67CDC" w:rsidRPr="00F67CDC">
        <w:rPr>
          <w:noProof/>
        </w:rPr>
        <w:t>(He et al. 2017)</w:t>
      </w:r>
      <w:r w:rsidR="00F67CDC">
        <w:fldChar w:fldCharType="end"/>
      </w:r>
      <w:r w:rsidR="00F67CDC">
        <w:t xml:space="preserve">. Lake Mendota and Trout Bog were chosen as the study sites for time series </w:t>
      </w:r>
      <w:r w:rsidR="00F67CDC">
        <w:lastRenderedPageBreak/>
        <w:t xml:space="preserve">metagenomics because of their history of extensive </w:t>
      </w:r>
      <w:r w:rsidR="00791216">
        <w:t xml:space="preserve">environmental </w:t>
      </w:r>
      <w:r w:rsidR="00F67CDC">
        <w:t xml:space="preserve">sampling by the </w:t>
      </w:r>
      <w:r w:rsidR="00791216">
        <w:t xml:space="preserve">North Temperate Lakes - </w:t>
      </w:r>
      <w:r w:rsidR="00F67CDC">
        <w:t>Long Term Ecological Research program</w:t>
      </w:r>
      <w:r w:rsidR="0018783E">
        <w:t xml:space="preserve"> (NTL-LTER, </w:t>
      </w:r>
      <w:hyperlink r:id="rId5" w:history="1">
        <w:r w:rsidR="00216C2A" w:rsidRPr="004E30EB">
          <w:rPr>
            <w:rStyle w:val="Hyperlink"/>
          </w:rPr>
          <w:t>http://lter.limnology.wisc.edu</w:t>
        </w:r>
      </w:hyperlink>
      <w:r w:rsidR="0018783E">
        <w:t>)</w:t>
      </w:r>
      <w:r w:rsidR="00F67CDC">
        <w:t xml:space="preserve">, their previous 16S time series analyses </w:t>
      </w:r>
      <w:r w:rsidR="00F67CDC">
        <w:fldChar w:fldCharType="begin" w:fldLock="1"/>
      </w:r>
      <w:r w:rsidR="00F67CDC">
        <w:instrText>ADDIN CSL_CITATION { "citationItems" : [ { "id" : "ITEM-1",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"ITEM-1", "issue" : "3", "issued" : { "date-parts" : [ [ "2017" ] ] }, "page" : "1-15", "title" : "Bacterial Community Composition and Dynamics Spanning Five Years in Freshwater Bog Lakes", "type" : "article-journal", "volume" : "2" }, "uris" : [ "http://www.mendeley.com/documents/?uuid=0e224bb9-eacd-47c2-894a-ec27ec238a9c"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F67CDC">
        <w:fldChar w:fldCharType="separate"/>
      </w:r>
      <w:r w:rsidR="00F67CDC" w:rsidRPr="00F67CDC">
        <w:rPr>
          <w:noProof/>
        </w:rPr>
        <w:t>(Hall et al. 2017; Linz et al. 2017)</w:t>
      </w:r>
      <w:r w:rsidR="00F67CDC">
        <w:fldChar w:fldCharType="end"/>
      </w:r>
      <w:r w:rsidR="00F67CDC">
        <w:t xml:space="preserve">, and because of their contrasting limnology (Table 1). </w:t>
      </w:r>
      <w:r>
        <w:t>We hypothesized that we would be able to infer information about ecosystem</w:t>
      </w:r>
      <w:r w:rsidR="00CB4BEF">
        <w:t>-level functions based on genomic</w:t>
      </w:r>
      <w:r>
        <w:t xml:space="preserve"> content in our </w:t>
      </w:r>
      <w:r w:rsidR="0094429B">
        <w:t xml:space="preserve">comprehensive </w:t>
      </w:r>
      <w:r>
        <w:t>dataset</w:t>
      </w:r>
      <w:r w:rsidR="00F67CDC">
        <w:t xml:space="preserve"> from</w:t>
      </w:r>
      <w:r w:rsidR="0057242B">
        <w:t xml:space="preserve"> a eutrophic and a </w:t>
      </w:r>
      <w:proofErr w:type="spellStart"/>
      <w:r w:rsidR="0057242B">
        <w:t>humic</w:t>
      </w:r>
      <w:proofErr w:type="spellEnd"/>
      <w:r w:rsidR="0057242B">
        <w:t xml:space="preserve"> lake</w:t>
      </w:r>
      <w:r>
        <w: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F67CDC">
        <w:t>these MAGs</w:t>
      </w:r>
      <w:r w:rsidR="0094429B">
        <w:t xml:space="preserv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11FCA538"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791216" w:rsidRDefault="00791216" w:rsidP="00704B80">
            <w:pPr>
              <w:spacing w:line="360" w:lineRule="auto"/>
            </w:pPr>
            <w:r>
              <w:t>Location</w:t>
            </w:r>
          </w:p>
        </w:tc>
        <w:tc>
          <w:tcPr>
            <w:tcW w:w="1980" w:type="dxa"/>
          </w:tcPr>
          <w:p w14:paraId="26CCF6F3" w14:textId="37F863E5"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5490" w:type="dxa"/>
            <w:gridSpan w:val="2"/>
          </w:tcPr>
          <w:p w14:paraId="1BD9EA42" w14:textId="791A8397"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791216" w14:paraId="35B95ED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791216" w:rsidRDefault="00791216" w:rsidP="00704B80">
            <w:pPr>
              <w:spacing w:line="360" w:lineRule="auto"/>
            </w:pPr>
            <w:r>
              <w:t>Depth of lake (m)</w:t>
            </w:r>
          </w:p>
        </w:tc>
        <w:tc>
          <w:tcPr>
            <w:tcW w:w="1980" w:type="dxa"/>
          </w:tcPr>
          <w:p w14:paraId="15F9774B" w14:textId="3021C0C7"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5490" w:type="dxa"/>
            <w:gridSpan w:val="2"/>
          </w:tcPr>
          <w:p w14:paraId="38C697C6" w14:textId="39138FE0" w:rsidR="00791216" w:rsidRDefault="00791216" w:rsidP="00791216">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791216" w14:paraId="1E6EA793"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791216" w:rsidRDefault="00791216" w:rsidP="00704B80">
            <w:pPr>
              <w:spacing w:line="360" w:lineRule="auto"/>
            </w:pPr>
            <w:r>
              <w:t>Surface area of lake (km</w:t>
            </w:r>
            <w:r w:rsidRPr="00791216">
              <w:rPr>
                <w:vertAlign w:val="superscript"/>
              </w:rPr>
              <w:t>2</w:t>
            </w:r>
            <w:r>
              <w:t>)</w:t>
            </w:r>
          </w:p>
        </w:tc>
        <w:tc>
          <w:tcPr>
            <w:tcW w:w="1980" w:type="dxa"/>
          </w:tcPr>
          <w:p w14:paraId="33F0B43A" w14:textId="5DAE8C61"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5490" w:type="dxa"/>
            <w:gridSpan w:val="2"/>
          </w:tcPr>
          <w:p w14:paraId="6D8EE832" w14:textId="510D9283"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62EC48E6" w:rsidR="00487299" w:rsidRDefault="00487299" w:rsidP="00704B80">
            <w:pPr>
              <w:spacing w:line="360" w:lineRule="auto"/>
            </w:pPr>
            <w:r>
              <w:t>Microbial sampling</w:t>
            </w:r>
            <w:r w:rsidR="00791216">
              <w:t xml:space="preserve"> depth</w:t>
            </w:r>
            <w:r>
              <w:t xml:space="preserve"> range (m)</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5E4BD6" w14:paraId="1056B89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940610B" w14:textId="7D37F043" w:rsidR="005E4BD6" w:rsidRDefault="005E4BD6" w:rsidP="00704B80">
            <w:pPr>
              <w:spacing w:line="360" w:lineRule="auto"/>
            </w:pPr>
            <w:r>
              <w:t>Years sampled</w:t>
            </w:r>
          </w:p>
        </w:tc>
        <w:tc>
          <w:tcPr>
            <w:tcW w:w="1980" w:type="dxa"/>
          </w:tcPr>
          <w:p w14:paraId="25D7BCFD" w14:textId="668DD4E2" w:rsidR="005E4BD6"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2008-2012</w:t>
            </w:r>
          </w:p>
        </w:tc>
        <w:tc>
          <w:tcPr>
            <w:tcW w:w="2610" w:type="dxa"/>
          </w:tcPr>
          <w:p w14:paraId="607A0628" w14:textId="00CC5C7F" w:rsidR="005E4BD6" w:rsidRDefault="005E4BD6" w:rsidP="00377F14">
            <w:pPr>
              <w:spacing w:line="360" w:lineRule="auto"/>
              <w:jc w:val="center"/>
              <w:cnfStyle w:val="000000100000" w:firstRow="0" w:lastRow="0" w:firstColumn="0" w:lastColumn="0" w:oddVBand="0" w:evenVBand="0" w:oddHBand="1" w:evenHBand="0" w:firstRowFirstColumn="0" w:firstRowLastColumn="0" w:lastRowFirstColumn="0" w:lastRowLastColumn="0"/>
            </w:pPr>
            <w:r>
              <w:t>2007-2009</w:t>
            </w:r>
          </w:p>
        </w:tc>
        <w:tc>
          <w:tcPr>
            <w:tcW w:w="2880" w:type="dxa"/>
          </w:tcPr>
          <w:p w14:paraId="444B1AFA" w14:textId="0CDEE9F0" w:rsidR="005E4BD6"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2007-2009</w:t>
            </w:r>
          </w:p>
        </w:tc>
      </w:tr>
      <w:tr w:rsidR="00A062F7" w14:paraId="70AD7FDC"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2CA6038A" w14:textId="6916275A" w:rsidR="00A062F7" w:rsidRDefault="00377F14" w:rsidP="00704B80">
            <w:pPr>
              <w:spacing w:line="360" w:lineRule="auto"/>
            </w:pPr>
            <w:r>
              <w:t>Oxygenation</w:t>
            </w:r>
          </w:p>
        </w:tc>
        <w:tc>
          <w:tcPr>
            <w:tcW w:w="1980" w:type="dxa"/>
          </w:tcPr>
          <w:p w14:paraId="77E281F9" w14:textId="7623B73F" w:rsidR="00A062F7" w:rsidRDefault="001520B7" w:rsidP="00704B80">
            <w:pPr>
              <w:spacing w:line="360" w:lineRule="auto"/>
              <w:jc w:val="center"/>
              <w:cnfStyle w:val="000000000000" w:firstRow="0" w:lastRow="0" w:firstColumn="0" w:lastColumn="0" w:oddVBand="0" w:evenVBand="0" w:oddHBand="0" w:evenHBand="0" w:firstRowFirstColumn="0" w:firstRowLastColumn="0" w:lastRowFirstColumn="0" w:lastRowLastColumn="0"/>
            </w:pPr>
            <w:proofErr w:type="spellStart"/>
            <w:r>
              <w:t>Oxic</w:t>
            </w:r>
            <w:proofErr w:type="spellEnd"/>
          </w:p>
        </w:tc>
        <w:tc>
          <w:tcPr>
            <w:tcW w:w="2610" w:type="dxa"/>
          </w:tcPr>
          <w:p w14:paraId="47A11A2E" w14:textId="130469DD" w:rsidR="00A062F7" w:rsidRDefault="001520B7" w:rsidP="00377F14">
            <w:pPr>
              <w:spacing w:line="360" w:lineRule="auto"/>
              <w:jc w:val="center"/>
              <w:cnfStyle w:val="000000000000" w:firstRow="0" w:lastRow="0" w:firstColumn="0" w:lastColumn="0" w:oddVBand="0" w:evenVBand="0" w:oddHBand="0" w:evenHBand="0" w:firstRowFirstColumn="0" w:firstRowLastColumn="0" w:lastRowFirstColumn="0" w:lastRowLastColumn="0"/>
            </w:pPr>
            <w:proofErr w:type="spellStart"/>
            <w:r>
              <w:t>Oxic</w:t>
            </w:r>
            <w:proofErr w:type="spellEnd"/>
          </w:p>
        </w:tc>
        <w:tc>
          <w:tcPr>
            <w:tcW w:w="2880" w:type="dxa"/>
          </w:tcPr>
          <w:p w14:paraId="0A761FC5" w14:textId="3CFAF58B" w:rsidR="00A062F7" w:rsidRDefault="001520B7"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Anoxic</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E197E4"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w:t>
            </w:r>
            <w:r w:rsidR="005E4BD6">
              <w:t>55</w:t>
            </w:r>
            <w:r>
              <w:t xml:space="preserve"> (0.3</w:t>
            </w:r>
            <w:r w:rsidR="005E4BD6">
              <w:t>6</w:t>
            </w:r>
            <w:r>
              <w:t>)</w:t>
            </w:r>
          </w:p>
        </w:tc>
        <w:tc>
          <w:tcPr>
            <w:tcW w:w="2610" w:type="dxa"/>
          </w:tcPr>
          <w:p w14:paraId="21EF5818" w14:textId="6979DCF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w:t>
            </w:r>
            <w:r w:rsidR="005E4BD6">
              <w:t>8</w:t>
            </w:r>
            <w:r>
              <w:t>)</w:t>
            </w:r>
          </w:p>
        </w:tc>
        <w:tc>
          <w:tcPr>
            <w:tcW w:w="2880" w:type="dxa"/>
          </w:tcPr>
          <w:p w14:paraId="76134551" w14:textId="773D03D9"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w:t>
            </w:r>
            <w:r w:rsidR="00774E95">
              <w:t>26</w:t>
            </w:r>
            <w:r>
              <w:t xml:space="preserve"> (0.2</w:t>
            </w:r>
            <w:r w:rsidR="00774E95">
              <w:t>1</w:t>
            </w:r>
            <w:r>
              <w:t>)</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1A9BAAC5" w:rsidR="00704B80" w:rsidRDefault="00704B80" w:rsidP="00704B80">
            <w:pPr>
              <w:spacing w:line="360" w:lineRule="auto"/>
            </w:pPr>
            <w:r>
              <w:t>D</w:t>
            </w:r>
            <w:r w:rsidR="00791216">
              <w:t>issolved inorganic carbon</w:t>
            </w:r>
            <w:r>
              <w:t xml:space="preserve"> (ppm)</w:t>
            </w:r>
          </w:p>
        </w:tc>
        <w:tc>
          <w:tcPr>
            <w:tcW w:w="1980" w:type="dxa"/>
          </w:tcPr>
          <w:p w14:paraId="7086337C" w14:textId="4058A108"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w:t>
            </w:r>
            <w:r w:rsidR="005E4BD6">
              <w:t>84</w:t>
            </w:r>
            <w:r>
              <w:t xml:space="preserve"> (</w:t>
            </w:r>
            <w:r w:rsidR="005E4BD6">
              <w:t>4.97</w:t>
            </w:r>
            <w:r>
              <w:t>)</w:t>
            </w:r>
          </w:p>
        </w:tc>
        <w:tc>
          <w:tcPr>
            <w:tcW w:w="2610" w:type="dxa"/>
          </w:tcPr>
          <w:p w14:paraId="677221F1" w14:textId="6BF91CC0" w:rsidR="00704B80" w:rsidRDefault="005E4BD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2.64</w:t>
            </w:r>
            <w:r w:rsidR="00704B80">
              <w:t xml:space="preserve"> (</w:t>
            </w:r>
            <w:r>
              <w:t>2.23</w:t>
            </w:r>
            <w:r w:rsidR="00704B80">
              <w:t>)</w:t>
            </w:r>
          </w:p>
        </w:tc>
        <w:tc>
          <w:tcPr>
            <w:tcW w:w="2880" w:type="dxa"/>
          </w:tcPr>
          <w:p w14:paraId="208D0B2C" w14:textId="05BCDF4E"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6.93</w:t>
            </w:r>
            <w:r w:rsidR="00704B80">
              <w:t xml:space="preserve"> (</w:t>
            </w:r>
            <w:r>
              <w:t>3.08</w:t>
            </w:r>
            <w:r w:rsidR="00704B80">
              <w:t>)</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2AF86E33" w:rsidR="00704B80" w:rsidRDefault="00704B80" w:rsidP="00704B80">
            <w:pPr>
              <w:spacing w:line="360" w:lineRule="auto"/>
            </w:pPr>
            <w:r>
              <w:t>D</w:t>
            </w:r>
            <w:r w:rsidR="00791216">
              <w:t>issolved organic carbon</w:t>
            </w:r>
            <w:r>
              <w:t xml:space="preserve"> (ppm)</w:t>
            </w:r>
          </w:p>
        </w:tc>
        <w:tc>
          <w:tcPr>
            <w:tcW w:w="1980" w:type="dxa"/>
          </w:tcPr>
          <w:p w14:paraId="20E75F32" w14:textId="7613B331" w:rsidR="00704B80"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6.02</w:t>
            </w:r>
            <w:r w:rsidR="00704B80">
              <w:t xml:space="preserve"> (</w:t>
            </w:r>
            <w:r>
              <w:t>6.20</w:t>
            </w:r>
            <w:r w:rsidR="00704B80">
              <w:t>)</w:t>
            </w:r>
          </w:p>
        </w:tc>
        <w:tc>
          <w:tcPr>
            <w:tcW w:w="2610" w:type="dxa"/>
          </w:tcPr>
          <w:p w14:paraId="673BD083" w14:textId="2E318DA1" w:rsidR="00704B80"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17.67</w:t>
            </w:r>
            <w:r w:rsidR="00704B80">
              <w:t xml:space="preserve"> (</w:t>
            </w:r>
            <w:r>
              <w:t>5.24</w:t>
            </w:r>
            <w:r w:rsidR="00704B80">
              <w:t>)</w:t>
            </w:r>
          </w:p>
        </w:tc>
        <w:tc>
          <w:tcPr>
            <w:tcW w:w="2880" w:type="dxa"/>
          </w:tcPr>
          <w:p w14:paraId="7CBB1923" w14:textId="6EC9AE13"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22.02</w:t>
            </w:r>
            <w:r w:rsidR="00704B80">
              <w:t xml:space="preserve"> (</w:t>
            </w:r>
            <w:r>
              <w:t>6.19</w:t>
            </w:r>
            <w:r w:rsidR="00704B80">
              <w:t>)</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499E948" w:rsidR="00704B80" w:rsidRDefault="005E4BD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922.64</w:t>
            </w:r>
            <w:r w:rsidR="00704B80">
              <w:t xml:space="preserve"> (</w:t>
            </w:r>
            <w:r>
              <w:t>486.89</w:t>
            </w:r>
            <w:r w:rsidR="00704B80">
              <w:t>)</w:t>
            </w:r>
          </w:p>
        </w:tc>
        <w:tc>
          <w:tcPr>
            <w:tcW w:w="2610" w:type="dxa"/>
          </w:tcPr>
          <w:p w14:paraId="56A243EB" w14:textId="5F27C619"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636.73</w:t>
            </w:r>
            <w:r w:rsidR="00704B80">
              <w:t xml:space="preserve"> (</w:t>
            </w:r>
            <w:r>
              <w:t>204.33</w:t>
            </w:r>
            <w:r w:rsidR="00704B80">
              <w:t>)</w:t>
            </w:r>
          </w:p>
        </w:tc>
        <w:tc>
          <w:tcPr>
            <w:tcW w:w="2880" w:type="dxa"/>
          </w:tcPr>
          <w:p w14:paraId="2A1475EC" w14:textId="6BC0B1DF"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1392.00</w:t>
            </w:r>
            <w:r w:rsidR="00704B80">
              <w:t xml:space="preserve"> (1</w:t>
            </w:r>
            <w:r>
              <w:t>031.63</w:t>
            </w:r>
            <w:r w:rsidR="00704B80">
              <w:t>)</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3ABE5DE2" w:rsidR="00704B80"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1098.81</w:t>
            </w:r>
            <w:r w:rsidR="00704B80">
              <w:t xml:space="preserve"> (</w:t>
            </w:r>
            <w:r>
              <w:t>520.92</w:t>
            </w:r>
            <w:r w:rsidR="00704B80">
              <w:t>)</w:t>
            </w:r>
          </w:p>
        </w:tc>
        <w:tc>
          <w:tcPr>
            <w:tcW w:w="2610" w:type="dxa"/>
          </w:tcPr>
          <w:p w14:paraId="1FA51150" w14:textId="32E30FBD"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831.49</w:t>
            </w:r>
            <w:r w:rsidR="00704B80">
              <w:t xml:space="preserve"> (</w:t>
            </w:r>
            <w:r>
              <w:t>315.65</w:t>
            </w:r>
            <w:r w:rsidR="00704B80">
              <w:t>)</w:t>
            </w:r>
          </w:p>
        </w:tc>
        <w:tc>
          <w:tcPr>
            <w:tcW w:w="2880" w:type="dxa"/>
          </w:tcPr>
          <w:p w14:paraId="1A95EAE1" w14:textId="441A9A84"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1684.18</w:t>
            </w:r>
            <w:r w:rsidR="00704B80">
              <w:t xml:space="preserve"> (</w:t>
            </w:r>
            <w:r>
              <w:t>1563.11</w:t>
            </w:r>
            <w:r w:rsidR="00704B80">
              <w:t>)</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3BA2DFBD" w:rsidR="00704B80" w:rsidRDefault="005E4BD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43.92</w:t>
            </w:r>
            <w:r w:rsidR="00704B80">
              <w:t xml:space="preserve"> (5</w:t>
            </w:r>
            <w:r>
              <w:t>0.97</w:t>
            </w:r>
            <w:r w:rsidR="00704B80">
              <w:t>)</w:t>
            </w:r>
          </w:p>
        </w:tc>
        <w:tc>
          <w:tcPr>
            <w:tcW w:w="2610" w:type="dxa"/>
          </w:tcPr>
          <w:p w14:paraId="22E6720C" w14:textId="454C0E83"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15.00</w:t>
            </w:r>
            <w:r w:rsidR="00704B80">
              <w:t xml:space="preserve"> (</w:t>
            </w:r>
            <w:r>
              <w:t>13.65</w:t>
            </w:r>
            <w:r w:rsidR="00704B80">
              <w:t>)</w:t>
            </w:r>
          </w:p>
        </w:tc>
        <w:tc>
          <w:tcPr>
            <w:tcW w:w="2880" w:type="dxa"/>
          </w:tcPr>
          <w:p w14:paraId="7DB2021C" w14:textId="17039328"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69.11</w:t>
            </w:r>
            <w:r w:rsidR="00704B80">
              <w:t xml:space="preserve"> (</w:t>
            </w:r>
            <w:r>
              <w:t>98.31</w:t>
            </w:r>
            <w:r w:rsidR="00704B80">
              <w:t>)</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4A7E3800" w:rsidR="00704B80"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64.11</w:t>
            </w:r>
            <w:r w:rsidR="00704B80">
              <w:t xml:space="preserve"> (</w:t>
            </w:r>
            <w:r>
              <w:t>52.30</w:t>
            </w:r>
            <w:r w:rsidR="00704B80">
              <w:t>)</w:t>
            </w:r>
          </w:p>
        </w:tc>
        <w:tc>
          <w:tcPr>
            <w:tcW w:w="2610" w:type="dxa"/>
          </w:tcPr>
          <w:p w14:paraId="4986B7BF" w14:textId="55AF7E6A"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32.29</w:t>
            </w:r>
            <w:r w:rsidR="00704B80">
              <w:t xml:space="preserve"> (</w:t>
            </w:r>
            <w:r>
              <w:t>13.65</w:t>
            </w:r>
            <w:r w:rsidR="00704B80">
              <w:t>)</w:t>
            </w:r>
          </w:p>
        </w:tc>
        <w:tc>
          <w:tcPr>
            <w:tcW w:w="2880" w:type="dxa"/>
          </w:tcPr>
          <w:p w14:paraId="5043E637" w14:textId="36AAFD3D"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94.93</w:t>
            </w:r>
            <w:r w:rsidR="00704B80">
              <w:t xml:space="preserve"> (12</w:t>
            </w:r>
            <w:r>
              <w:t>6.84</w:t>
            </w:r>
            <w:r w:rsidR="00704B80">
              <w:t>)</w:t>
            </w:r>
          </w:p>
        </w:tc>
      </w:tr>
      <w:tr w:rsidR="00791216" w14:paraId="6ADEA506"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5254C6DC" w14:textId="493ADD57" w:rsidR="00791216" w:rsidRDefault="00791216" w:rsidP="00704B80">
            <w:pPr>
              <w:spacing w:line="360" w:lineRule="auto"/>
            </w:pPr>
            <w:r>
              <w:t>Sulfate (ppm)</w:t>
            </w:r>
          </w:p>
        </w:tc>
        <w:tc>
          <w:tcPr>
            <w:tcW w:w="1980" w:type="dxa"/>
          </w:tcPr>
          <w:p w14:paraId="195DBAD1" w14:textId="23FF2F7B" w:rsidR="00791216" w:rsidRDefault="005E4BD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16.94</w:t>
            </w:r>
            <w:r w:rsidR="00791216">
              <w:t xml:space="preserve"> (</w:t>
            </w:r>
            <w:r>
              <w:t>1.53</w:t>
            </w:r>
            <w:r w:rsidR="00791216">
              <w:t>)</w:t>
            </w:r>
          </w:p>
        </w:tc>
        <w:tc>
          <w:tcPr>
            <w:tcW w:w="2610" w:type="dxa"/>
          </w:tcPr>
          <w:p w14:paraId="3BD4B60C" w14:textId="59DEEA93"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w:t>
            </w:r>
            <w:r w:rsidR="00774E95">
              <w:t>.15</w:t>
            </w:r>
            <w:r>
              <w:t xml:space="preserve"> (0.</w:t>
            </w:r>
            <w:r w:rsidR="00774E95">
              <w:t>27</w:t>
            </w:r>
            <w:r>
              <w:t>)</w:t>
            </w:r>
          </w:p>
        </w:tc>
        <w:tc>
          <w:tcPr>
            <w:tcW w:w="2880" w:type="dxa"/>
          </w:tcPr>
          <w:p w14:paraId="6A58C731" w14:textId="302EEE13"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w:t>
            </w:r>
            <w:r w:rsidR="00774E95">
              <w:t>91</w:t>
            </w:r>
            <w:r>
              <w:t xml:space="preserve"> (0.6</w:t>
            </w:r>
            <w:r w:rsidR="00774E95">
              <w:t>7</w:t>
            </w:r>
            <w:r>
              <w:t>)</w:t>
            </w:r>
          </w:p>
        </w:tc>
      </w:tr>
    </w:tbl>
    <w:p w14:paraId="11947384" w14:textId="77777777" w:rsidR="00B57552" w:rsidRDefault="00B57552" w:rsidP="004A6010">
      <w:pPr>
        <w:spacing w:line="360" w:lineRule="auto"/>
        <w:jc w:val="both"/>
        <w:rPr>
          <w:b/>
        </w:rPr>
      </w:pPr>
    </w:p>
    <w:p w14:paraId="23734024" w14:textId="2BB92268"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487299">
        <w:t>Lake Mendota and Trout Bog were sampled using an integrated water column for microbial DNA weekly during the ice-free periods.</w:t>
      </w:r>
      <w:r w:rsidR="00216C2A">
        <w:t xml:space="preserve"> Metagenomic sequencing was performed on samples collected 2008-2012 in Lake Mendota and 2007-2009 in Trout Bog. </w:t>
      </w:r>
      <w:r w:rsidR="00487299">
        <w:t xml:space="preserve"> </w:t>
      </w:r>
      <w:r w:rsidR="00216C2A">
        <w:t xml:space="preserve">The epilimnion (upper thermal layer) was sampled in both lakes, while </w:t>
      </w:r>
      <w:r w:rsidR="00216C2A">
        <w:lastRenderedPageBreak/>
        <w:t xml:space="preserve">the hypolimnion (bottom thermal layer) was sampled only in Trout Bog. </w:t>
      </w:r>
      <w:r w:rsidR="00487299">
        <w:t xml:space="preserve">Chemistry data was measured by NTL-LTER from depth discrete samples taken from 0 and 4 m for Lake Mendota, 0 m for the Trout Bog Epilimnion, and 3 and 7 m for the Trout Bog Hypolimnion. Values reported here are the means of all measurements in the sampling time span </w:t>
      </w:r>
      <w:r w:rsidR="004C53C9">
        <w:t>for each lake,</w:t>
      </w:r>
      <w:r w:rsidR="00487299">
        <w:t xml:space="preserve"> with standard deviations reported in parentheses.</w:t>
      </w:r>
    </w:p>
    <w:p w14:paraId="3503D248" w14:textId="706ADAE1" w:rsidR="00EB54BC" w:rsidRDefault="00EB54BC" w:rsidP="00EB54BC">
      <w:pPr>
        <w:pStyle w:val="Heading1"/>
      </w:pPr>
      <w:r>
        <w:t>Methods</w:t>
      </w:r>
    </w:p>
    <w:p w14:paraId="4E5BDF9A" w14:textId="091096DD" w:rsidR="00EB54BC" w:rsidRDefault="00102663" w:rsidP="00ED781E">
      <w:pPr>
        <w:spacing w:line="480" w:lineRule="auto"/>
        <w:jc w:val="both"/>
      </w:pPr>
      <w:r>
        <w:tab/>
        <w:t>Samples were collected from Lake Mendota and Trout Bog as described in Bendall et al. 2016</w:t>
      </w:r>
      <w:r w:rsidR="00D7439F">
        <w:t xml:space="preserve"> </w:t>
      </w:r>
      <w:r w:rsidR="00567DBB">
        <w:fldChar w:fldCharType="begin" w:fldLock="1"/>
      </w:r>
      <w:r w:rsidR="00567DBB">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567DBB">
        <w:fldChar w:fldCharType="separate"/>
      </w:r>
      <w:r w:rsidR="00567DBB" w:rsidRPr="00567DBB">
        <w:rPr>
          <w:noProof/>
        </w:rPr>
        <w:t>(Bendall et al. 2016)</w:t>
      </w:r>
      <w:r w:rsidR="00567DBB">
        <w:fldChar w:fldCharType="end"/>
      </w:r>
      <w:r>
        <w:t>. Briefly, integrated samples of the water column were collected during the ice-free periods of 2007-2009 in Trout Bog and 200</w:t>
      </w:r>
      <w:r w:rsidR="00D7439F">
        <w:t>8</w:t>
      </w:r>
      <w:r>
        <w:t>-20</w:t>
      </w:r>
      <w:r w:rsidR="00D7439F">
        <w:t>12</w:t>
      </w:r>
      <w:r>
        <w:t xml:space="preserve"> in Lake Mendota. In Lake Mendota, the top 12 meters of the water column were sampled, approximating the epilimnion</w:t>
      </w:r>
      <w:r w:rsidR="004C53C9">
        <w:t xml:space="preserve"> (upper, oxygenated, and warm thermal layer)</w:t>
      </w:r>
      <w:r>
        <w:t>. The epilimnion and hypolimnion</w:t>
      </w:r>
      <w:r w:rsidR="004C53C9">
        <w:t xml:space="preserve"> (bottom, anoxic, and cold thermal layer)</w:t>
      </w:r>
      <w:r>
        <w:t xml:space="preserve"> of Trout Bog were sampled separately at depths determined by measuring temperature and dissolved oxygen concentrations throughout the water column; the sampling depths were most consistently 0-2 meters for the epilimnion and 2-7 meters for the hypolimnion. DNA was collected by filtering 150-250mL of the integrated samples on 0.2-um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14:paraId="544EE17B" w14:textId="2BD3F8A9" w:rsidR="00102663" w:rsidRDefault="00102663" w:rsidP="00ED781E">
      <w:pPr>
        <w:spacing w:line="480" w:lineRule="auto"/>
        <w:jc w:val="both"/>
      </w:pPr>
      <w:r>
        <w:tab/>
        <w:t xml:space="preserve">As described in Bendall et al. 2016, </w:t>
      </w:r>
      <w:r w:rsidR="004E4F3A">
        <w:t xml:space="preserve">metagenomic sequencing was performed </w:t>
      </w:r>
      <w:r>
        <w:t>by the Department of Energy Joint Genome Institute</w:t>
      </w:r>
      <w:r w:rsidR="004E4F3A">
        <w:t xml:space="preserve"> (DOE JGI)</w:t>
      </w:r>
      <w:r>
        <w:t xml:space="preserve"> </w:t>
      </w:r>
      <w:r w:rsidR="004E4F3A">
        <w:t xml:space="preserve">(Walnut Creek, CA, USA). Samples were sequenced </w:t>
      </w:r>
      <w:r>
        <w:t>on the Illumina</w:t>
      </w:r>
      <w:r w:rsidR="004E4F3A">
        <w:t xml:space="preserve"> </w:t>
      </w:r>
      <w:proofErr w:type="spellStart"/>
      <w:r w:rsidR="004E4F3A">
        <w:t>HiSeq</w:t>
      </w:r>
      <w:proofErr w:type="spellEnd"/>
      <w:r w:rsidR="004E4F3A">
        <w:t xml:space="preserve"> 2500</w:t>
      </w:r>
      <w:r>
        <w:t xml:space="preserve"> platform (Illumina, San Diego, CA, USA), </w:t>
      </w:r>
      <w:r w:rsidR="004E4F3A">
        <w:t>except for</w:t>
      </w:r>
      <w:r>
        <w:t xml:space="preserve"> six libraries (two from each lake-layer) sequenced using the Illumina </w:t>
      </w:r>
      <w:proofErr w:type="spellStart"/>
      <w:r>
        <w:t>TruSeq</w:t>
      </w:r>
      <w:proofErr w:type="spellEnd"/>
      <w:r>
        <w:t xml:space="preserve"> protocol on the Illumina GA </w:t>
      </w:r>
      <w:proofErr w:type="spellStart"/>
      <w:r>
        <w:t>IIx</w:t>
      </w:r>
      <w:proofErr w:type="spellEnd"/>
      <w:r>
        <w:t xml:space="preserve"> platform (Illumina).</w:t>
      </w:r>
      <w:r w:rsidR="004E4F3A">
        <w:t xml:space="preserve"> Metadata on the samples sequenced is available in &lt;</w:t>
      </w:r>
      <w:proofErr w:type="spellStart"/>
      <w:r w:rsidR="004E4F3A">
        <w:t>supp</w:t>
      </w:r>
      <w:proofErr w:type="spellEnd"/>
      <w:r w:rsidR="004E4F3A">
        <w:t xml:space="preserve"> table&gt;. Metagenomic reads were pooled and then assembled by lake and layer using </w:t>
      </w:r>
      <w:proofErr w:type="spellStart"/>
      <w:r w:rsidR="004E4F3A">
        <w:t>SOAPdenovo</w:t>
      </w:r>
      <w:proofErr w:type="spellEnd"/>
      <w:r w:rsidR="004E4F3A">
        <w:t xml:space="preserve"> </w:t>
      </w:r>
      <w:r w:rsidR="00567DBB">
        <w:fldChar w:fldCharType="begin" w:fldLock="1"/>
      </w:r>
      <w:r w:rsidR="00567DBB">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Yong Yunjie Yong",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"Yunjie Yong Yunjie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"Jun Jian", "non-dropping-particle" : "", "parse-names" : false, "suffix" : "" }, { "dropping-particle" : "", "family" : "Lam", "given" : "Tak-Wah", "non-dropping-particle" : "", "parse-names" : false, "suffix" : "" }, { "dropping-particle" : "", "family" : "Wang", "given" : "Jun Jian", "non-dropping-particle" : "", "parse-names" : false, "suffix" : "" } ], "container-title" : "GigaScience", "id" : "ITEM-1", "issue" : "1", "issued" : { "date-parts" : [ [ "2012" ] ] }, "page" : "18",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567DBB">
        <w:fldChar w:fldCharType="separate"/>
      </w:r>
      <w:r w:rsidR="00567DBB" w:rsidRPr="00567DBB">
        <w:rPr>
          <w:noProof/>
        </w:rPr>
        <w:t>(Luo et al. 2012)</w:t>
      </w:r>
      <w:r w:rsidR="00567DBB">
        <w:fldChar w:fldCharType="end"/>
      </w:r>
      <w:r w:rsidR="004E4F3A">
        <w:t xml:space="preserve"> and </w:t>
      </w:r>
      <w:proofErr w:type="spellStart"/>
      <w:r w:rsidR="004E4F3A">
        <w:t>Minimus</w:t>
      </w:r>
      <w:proofErr w:type="spellEnd"/>
      <w:r w:rsidR="004E4F3A">
        <w:t xml:space="preserve"> </w:t>
      </w:r>
      <w:r w:rsidR="00567DBB">
        <w:fldChar w:fldCharType="begin" w:fldLock="1"/>
      </w:r>
      <w:r w:rsidR="00567DBB">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567DBB">
        <w:fldChar w:fldCharType="separate"/>
      </w:r>
      <w:r w:rsidR="00567DBB" w:rsidRPr="00567DBB">
        <w:rPr>
          <w:noProof/>
        </w:rPr>
        <w:t>(Sommer et al. 2007)</w:t>
      </w:r>
      <w:r w:rsidR="00567DBB">
        <w:fldChar w:fldCharType="end"/>
      </w:r>
      <w:r w:rsidR="004E4F3A">
        <w:t xml:space="preserve">, resulting in assemblies for Lake Mendota, </w:t>
      </w:r>
      <w:r w:rsidR="004E4F3A">
        <w:lastRenderedPageBreak/>
        <w:t xml:space="preserve">the Trout Bog epilimnion, and the Trout Bog hypolimnion containing information from multiple years of samples. Contigs from the combined assemblies were binned into metagenome assembled genomes (MAGs) using </w:t>
      </w:r>
      <w:proofErr w:type="spellStart"/>
      <w:r w:rsidR="004E4F3A">
        <w:t>MetaBat</w:t>
      </w:r>
      <w:proofErr w:type="spellEnd"/>
      <w:r w:rsidR="004E4F3A">
        <w:t xml:space="preserve"> </w:t>
      </w:r>
      <w:r w:rsidR="00E85E33">
        <w:fldChar w:fldCharType="begin" w:fldLock="1"/>
      </w:r>
      <w:r w:rsidR="00E85E33">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E85E33">
        <w:fldChar w:fldCharType="separate"/>
      </w:r>
      <w:r w:rsidR="00E85E33" w:rsidRPr="00E85E33">
        <w:rPr>
          <w:noProof/>
        </w:rPr>
        <w:t>(Kang et al. 2015)</w:t>
      </w:r>
      <w:r w:rsidR="00E85E33">
        <w:fldChar w:fldCharType="end"/>
      </w:r>
      <w:r w:rsidR="004E4F3A">
        <w:t xml:space="preserve"> and metagenomic reads were mapped to the assembled contigs using </w:t>
      </w:r>
      <w:r w:rsidR="00E85E33">
        <w:t>the Burrows-Wheeler Aligner</w:t>
      </w:r>
      <w:r w:rsidR="004E4F3A">
        <w:t xml:space="preserve"> </w:t>
      </w:r>
      <w:r w:rsidR="00E85E33">
        <w:fldChar w:fldCharType="begin" w:fldLock="1"/>
      </w:r>
      <w:r w:rsidR="00E85E33">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and Durbin 2010)", "plainTextFormattedCitation" : "(Li and Durbin 2010)", "previouslyFormattedCitation" : "(Li and Durbin 2010)" }, "properties" : {  }, "schema" : "https://github.com/citation-style-language/schema/raw/master/csl-citation.json" }</w:instrText>
      </w:r>
      <w:r w:rsidR="00E85E33">
        <w:fldChar w:fldCharType="separate"/>
      </w:r>
      <w:r w:rsidR="00E85E33" w:rsidRPr="00E85E33">
        <w:rPr>
          <w:noProof/>
        </w:rPr>
        <w:t>(Li and Durbin 2010)</w:t>
      </w:r>
      <w:r w:rsidR="00E85E33">
        <w:fldChar w:fldCharType="end"/>
      </w:r>
      <w:r w:rsidR="004E4F3A">
        <w:t xml:space="preserve">, allowing time-series resolved binning. DOE JGI’s Integrated Microbial Genome </w:t>
      </w:r>
      <w:r w:rsidR="00113EDB">
        <w:t xml:space="preserve">(IMG) </w:t>
      </w:r>
      <w:r w:rsidR="004E4F3A">
        <w:t xml:space="preserve">database tool </w:t>
      </w:r>
      <w:r w:rsidR="00E85E33">
        <w:fldChar w:fldCharType="begin" w:fldLock="1"/>
      </w:r>
      <w:r w:rsidR="00E85E33">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"http://www.mendeley.com/documents/?uuid=e7b77f75-972a-478d-8bf5-38a81c743f78" ] } ], "mendeley" : { "formattedCitation" : "(Markowitz et al. 2012)", "plainTextFormattedCitation" : "(Markowitz et al. 2012)", "previouslyFormattedCitation" : "(Markowitz et al. 2012)" }, "properties" : {  }, "schema" : "https://github.com/citation-style-language/schema/raw/master/csl-citation.json" }</w:instrText>
      </w:r>
      <w:r w:rsidR="00E85E33">
        <w:fldChar w:fldCharType="separate"/>
      </w:r>
      <w:r w:rsidR="00E85E33" w:rsidRPr="00E85E33">
        <w:rPr>
          <w:noProof/>
        </w:rPr>
        <w:t>(Markowitz et al. 2012)</w:t>
      </w:r>
      <w:r w:rsidR="00E85E33">
        <w:fldChar w:fldCharType="end"/>
      </w:r>
      <w:r w:rsidR="004E4F3A">
        <w:t xml:space="preserve"> was used for gene annotation and prediction. MAG completeness was estimated based on the presence of a core set of genes </w:t>
      </w:r>
      <w:r w:rsidR="00E85E33">
        <w:t xml:space="preserve">used </w:t>
      </w:r>
      <w:proofErr w:type="spellStart"/>
      <w:r w:rsidR="00E85E33">
        <w:t>CheckM</w:t>
      </w:r>
      <w:proofErr w:type="spellEnd"/>
      <w:r w:rsidR="00E85E33">
        <w:t xml:space="preserve"> and Rinke et al. 2013 </w:t>
      </w:r>
      <w:r w:rsidR="00E85E33">
        <w:fldChar w:fldCharType="begin" w:fldLock="1"/>
      </w:r>
      <w:r w:rsidR="00E85E33">
        <w:instrText>ADDIN CSL_CITATION { "citationItems" : [ { "id" : "ITEM-1",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"id" : "ITEM-2",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"ITEM-2",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Rinke et al. 2013)", "plainTextFormattedCitation" : "(Parks et al. 2015; Rinke et al. 2013)", "previouslyFormattedCitation" : "(Parks et al. 2015; Rinke et al. 2013)" }, "properties" : {  }, "schema" : "https://github.com/citation-style-language/schema/raw/master/csl-citation.json" }</w:instrText>
      </w:r>
      <w:r w:rsidR="00E85E33">
        <w:fldChar w:fldCharType="separate"/>
      </w:r>
      <w:r w:rsidR="00E85E33" w:rsidRPr="00E85E33">
        <w:rPr>
          <w:noProof/>
        </w:rPr>
        <w:t>(Parks et al. 2015; Rinke et al. 2013)</w:t>
      </w:r>
      <w:r w:rsidR="00E85E33">
        <w:fldChar w:fldCharType="end"/>
      </w:r>
      <w:r w:rsidR="004E4F3A">
        <w:t xml:space="preserve"> . The MAGs were classified using </w:t>
      </w:r>
      <w:proofErr w:type="spellStart"/>
      <w:r w:rsidR="004E4F3A">
        <w:t>Phylosift</w:t>
      </w:r>
      <w:proofErr w:type="spellEnd"/>
      <w:r w:rsidR="004E4F3A">
        <w:t xml:space="preserve"> </w:t>
      </w:r>
      <w:r w:rsidR="00E85E33">
        <w:fldChar w:fldCharType="begin" w:fldLock="1"/>
      </w:r>
      <w:r w:rsidR="00E85E33">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E85E33">
        <w:fldChar w:fldCharType="separate"/>
      </w:r>
      <w:r w:rsidR="00E85E33" w:rsidRPr="00E85E33">
        <w:rPr>
          <w:noProof/>
        </w:rPr>
        <w:t>(Darling et al. 2014)</w:t>
      </w:r>
      <w:r w:rsidR="00E85E33">
        <w:fldChar w:fldCharType="end"/>
      </w:r>
      <w:r w:rsidR="004E4F3A">
        <w:t>.</w:t>
      </w:r>
      <w:r w:rsidR="00D63038">
        <w:t xml:space="preserve"> Statistics about the assembly </w:t>
      </w:r>
      <w:proofErr w:type="gramStart"/>
      <w:r w:rsidR="00D63038">
        <w:t>are located in</w:t>
      </w:r>
      <w:proofErr w:type="gramEnd"/>
      <w:r w:rsidR="00D63038">
        <w:t xml:space="preserve"> Table S2. </w:t>
      </w:r>
    </w:p>
    <w:p w14:paraId="40869865" w14:textId="62EA2CFF" w:rsidR="00113EDB" w:rsidRPr="00ED781E" w:rsidRDefault="00113EDB" w:rsidP="00ED781E">
      <w:pPr>
        <w:spacing w:line="480" w:lineRule="auto"/>
        <w:rPr>
          <w:rFonts w:cs="Times New Roman"/>
          <w:szCs w:val="24"/>
        </w:rPr>
      </w:pPr>
      <w:r>
        <w:tab/>
        <w:t xml:space="preserve">Only MAGs that were at least 50% complete and must have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t xml:space="preserve"> were included in this study. A total of 194 high quality bacterial metagenome assembled genomes (MAGs) were recovered from a metagenomic time series in Trout Bog and Lake Mendota, ranging in completeness from 50-99%. Of the 194 MAGs, 100 were recovered from Lake Mendota, 31 were recovered from the epilimnion of Trout Bog, and 63 were recovered from the hypolimnion of Trout Bog &lt;</w:t>
      </w:r>
      <w:r w:rsidR="00D63038">
        <w:t>Supplemental Document 1</w:t>
      </w:r>
      <w:r>
        <w:t>, MAG_information.csv&gt;.  Several MAGs in the epilimnion and hypolimnion of Trout Bog appeared to be from the same population based on average nucleotide identities great</w:t>
      </w:r>
      <w:r w:rsidR="004C53C9">
        <w:t>er</w:t>
      </w:r>
      <w:r>
        <w:t xml:space="preserve"> than 99% </w:t>
      </w:r>
      <w:r w:rsidR="009D5AB9">
        <w:t xml:space="preserve">using JGI’s ANI calculator </w:t>
      </w:r>
      <w:r w:rsidR="00E14098">
        <w:fldChar w:fldCharType="begin" w:fldLock="1"/>
      </w:r>
      <w:r w:rsidR="00E14098">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E14098">
        <w:fldChar w:fldCharType="separate"/>
      </w:r>
      <w:r w:rsidR="00E14098" w:rsidRPr="00E14098">
        <w:rPr>
          <w:noProof/>
        </w:rPr>
        <w:t>(Varghese et al. 2015)</w:t>
      </w:r>
      <w:r w:rsidR="00E14098">
        <w:fldChar w:fldCharType="end"/>
      </w:r>
      <w:r w:rsidR="009D5AB9">
        <w:t xml:space="preserve"> </w:t>
      </w:r>
      <w:r>
        <w:t>&lt;</w:t>
      </w:r>
      <w:r w:rsidR="00D63038">
        <w:t>Supplemental Document 2</w:t>
      </w:r>
      <w:r>
        <w:t xml:space="preserve">, ANI_matrix.csv&gt;. This is possible </w:t>
      </w:r>
      <w:r w:rsidRPr="00ED781E">
        <w:rPr>
          <w:rFonts w:cs="Times New Roman"/>
          <w:szCs w:val="24"/>
        </w:rPr>
        <w:t>because genomes from the epilimnion and hypolimnion were assembled separately.</w:t>
      </w:r>
    </w:p>
    <w:p w14:paraId="6F78B563" w14:textId="1B813EF8" w:rsidR="004E4F3A" w:rsidRPr="00ED781E" w:rsidRDefault="00113EDB" w:rsidP="00ED781E">
      <w:pPr>
        <w:spacing w:line="480" w:lineRule="auto"/>
        <w:rPr>
          <w:rFonts w:cs="Times New Roman"/>
          <w:color w:val="000000"/>
          <w:szCs w:val="24"/>
          <w:bdr w:val="none" w:sz="0" w:space="0" w:color="auto" w:frame="1"/>
        </w:rPr>
      </w:pPr>
      <w:r w:rsidRPr="00ED781E">
        <w:rPr>
          <w:rFonts w:cs="Times New Roman"/>
          <w:szCs w:val="24"/>
        </w:rPr>
        <w:tab/>
        <w:t xml:space="preserve">Pathways were analyzed by exporting IMG’s functional data on the MAGs, which included KEGG, COG, </w:t>
      </w:r>
      <w:proofErr w:type="spellStart"/>
      <w:r w:rsidRPr="00ED781E">
        <w:rPr>
          <w:rFonts w:cs="Times New Roman"/>
          <w:szCs w:val="24"/>
        </w:rPr>
        <w:t>pfam</w:t>
      </w:r>
      <w:proofErr w:type="spellEnd"/>
      <w:r w:rsidRPr="00ED781E">
        <w:rPr>
          <w:rFonts w:cs="Times New Roman"/>
          <w:szCs w:val="24"/>
        </w:rPr>
        <w:t xml:space="preserve">, and TIGR annotations (cite?), and aggregating annotations by the pathways in which they participate. To be </w:t>
      </w:r>
      <w:r w:rsidR="00976FEB" w:rsidRPr="00ED781E">
        <w:rPr>
          <w:rFonts w:cs="Times New Roman"/>
          <w:szCs w:val="24"/>
        </w:rPr>
        <w:t>“</w:t>
      </w:r>
      <w:r w:rsidRPr="00ED781E">
        <w:rPr>
          <w:rFonts w:cs="Times New Roman"/>
          <w:szCs w:val="24"/>
        </w:rPr>
        <w:t>present,</w:t>
      </w:r>
      <w:r w:rsidR="00976FEB" w:rsidRPr="00ED781E">
        <w:rPr>
          <w:rFonts w:cs="Times New Roman"/>
          <w:szCs w:val="24"/>
        </w:rPr>
        <w:t>”</w:t>
      </w:r>
      <w:r w:rsidRPr="00ED781E">
        <w:rPr>
          <w:rFonts w:cs="Times New Roman"/>
          <w:szCs w:val="24"/>
        </w:rPr>
        <w:t xml:space="preserve"> a pathway must have</w:t>
      </w:r>
      <w:r w:rsidR="00976FEB" w:rsidRPr="00ED781E">
        <w:rPr>
          <w:rFonts w:cs="Times New Roman"/>
          <w:szCs w:val="24"/>
        </w:rPr>
        <w:t xml:space="preserve"> had</w:t>
      </w:r>
      <w:r w:rsidRPr="00ED781E">
        <w:rPr>
          <w:rFonts w:cs="Times New Roman"/>
          <w:szCs w:val="24"/>
        </w:rPr>
        <w:t xml:space="preserve"> at least 50% of </w:t>
      </w:r>
      <w:r w:rsidRPr="00ED781E">
        <w:rPr>
          <w:rFonts w:cs="Times New Roman"/>
          <w:szCs w:val="24"/>
        </w:rPr>
        <w:lastRenderedPageBreak/>
        <w:t xml:space="preserve">the required </w:t>
      </w:r>
      <w:r w:rsidR="009D5AB9" w:rsidRPr="00ED781E">
        <w:rPr>
          <w:rFonts w:cs="Times New Roman"/>
          <w:szCs w:val="24"/>
        </w:rPr>
        <w:t xml:space="preserve">enzymes encoded by genes in a MAG </w:t>
      </w:r>
      <w:r w:rsidRPr="00ED781E">
        <w:rPr>
          <w:rFonts w:cs="Times New Roman"/>
          <w:szCs w:val="24"/>
        </w:rPr>
        <w:t xml:space="preserve">and, if there were steps unique to a pathway, at least one gene encoding a unique step.  </w:t>
      </w:r>
      <w:r w:rsidR="00E14098" w:rsidRPr="00ED781E">
        <w:rPr>
          <w:rFonts w:cs="Times New Roman"/>
          <w:szCs w:val="24"/>
        </w:rPr>
        <w:t xml:space="preserve">Glycoside hydrolases were annotated using </w:t>
      </w:r>
      <w:proofErr w:type="spellStart"/>
      <w:r w:rsidR="00E14098" w:rsidRPr="00ED781E">
        <w:rPr>
          <w:rFonts w:cs="Times New Roman"/>
          <w:szCs w:val="24"/>
        </w:rPr>
        <w:t>dbCAN</w:t>
      </w:r>
      <w:proofErr w:type="spellEnd"/>
      <w:r w:rsidR="00E14098" w:rsidRPr="00ED781E">
        <w:rPr>
          <w:rFonts w:cs="Times New Roman"/>
          <w:szCs w:val="24"/>
        </w:rPr>
        <w:t xml:space="preserve"> </w:t>
      </w:r>
      <w:r w:rsidR="00E14098" w:rsidRPr="00ED781E">
        <w:rPr>
          <w:rFonts w:cs="Times New Roman"/>
          <w:szCs w:val="24"/>
        </w:rPr>
        <w:fldChar w:fldCharType="begin" w:fldLock="1"/>
      </w:r>
      <w:r w:rsidR="00E14098" w:rsidRPr="00ED781E">
        <w:rPr>
          <w:rFonts w:cs="Times New Roman"/>
          <w:szCs w:val="24"/>
        </w:rPr>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E14098" w:rsidRPr="00ED781E">
        <w:rPr>
          <w:rFonts w:cs="Times New Roman"/>
          <w:szCs w:val="24"/>
        </w:rPr>
        <w:fldChar w:fldCharType="separate"/>
      </w:r>
      <w:r w:rsidR="00E14098" w:rsidRPr="00ED781E">
        <w:rPr>
          <w:rFonts w:cs="Times New Roman"/>
          <w:noProof/>
          <w:szCs w:val="24"/>
        </w:rPr>
        <w:t>(Yin et al. 2012)</w:t>
      </w:r>
      <w:r w:rsidR="00E14098" w:rsidRPr="00ED781E">
        <w:rPr>
          <w:rFonts w:cs="Times New Roman"/>
          <w:szCs w:val="24"/>
        </w:rPr>
        <w:fldChar w:fldCharType="end"/>
      </w:r>
      <w:r w:rsidR="00E14098" w:rsidRPr="00ED781E">
        <w:rPr>
          <w:rFonts w:cs="Times New Roman"/>
          <w:szCs w:val="24"/>
        </w:rPr>
        <w:t>.</w:t>
      </w:r>
      <w:r w:rsidR="00976FEB" w:rsidRPr="00ED781E">
        <w:rPr>
          <w:rFonts w:cs="Times New Roman"/>
          <w:szCs w:val="24"/>
        </w:rPr>
        <w:t xml:space="preserve"> The tree presented in Figure 4 is an approximate maximum likelihood tree constructed in </w:t>
      </w:r>
      <w:proofErr w:type="spellStart"/>
      <w:r w:rsidR="00976FEB" w:rsidRPr="00ED781E">
        <w:rPr>
          <w:rFonts w:cs="Times New Roman"/>
          <w:szCs w:val="24"/>
        </w:rPr>
        <w:t>FastTree</w:t>
      </w:r>
      <w:proofErr w:type="spellEnd"/>
      <w:r w:rsidR="00976FEB" w:rsidRPr="00ED781E">
        <w:rPr>
          <w:rFonts w:cs="Times New Roman"/>
          <w:szCs w:val="24"/>
        </w:rPr>
        <w:t xml:space="preserve"> </w:t>
      </w:r>
      <w:r w:rsidR="00976FEB" w:rsidRPr="00ED781E">
        <w:rPr>
          <w:rFonts w:cs="Times New Roman"/>
          <w:szCs w:val="24"/>
        </w:rPr>
        <w:fldChar w:fldCharType="begin" w:fldLock="1"/>
      </w:r>
      <w:r w:rsidR="00976FEB" w:rsidRPr="00ED781E">
        <w:rPr>
          <w:rFonts w:cs="Times New Roman"/>
          <w:szCs w:val="24"/>
        </w:rPr>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and Arkin 2010)", "plainTextFormattedCitation" : "(Price, Dehal, and Arkin 2010)", "previouslyFormattedCitation" : "(Price, Dehal, and Arkin 2010)" }, "properties" : {  }, "schema" : "https://github.com/citation-style-language/schema/raw/master/csl-citation.json" }</w:instrText>
      </w:r>
      <w:r w:rsidR="00976FEB" w:rsidRPr="00ED781E">
        <w:rPr>
          <w:rFonts w:cs="Times New Roman"/>
          <w:szCs w:val="24"/>
        </w:rPr>
        <w:fldChar w:fldCharType="separate"/>
      </w:r>
      <w:r w:rsidR="00976FEB" w:rsidRPr="00ED781E">
        <w:rPr>
          <w:rFonts w:cs="Times New Roman"/>
          <w:noProof/>
          <w:szCs w:val="24"/>
        </w:rPr>
        <w:t>(Price, Dehal, and Arkin 2010)</w:t>
      </w:r>
      <w:r w:rsidR="00976FEB" w:rsidRPr="00ED781E">
        <w:rPr>
          <w:rFonts w:cs="Times New Roman"/>
          <w:szCs w:val="24"/>
        </w:rPr>
        <w:fldChar w:fldCharType="end"/>
      </w:r>
      <w:r w:rsidR="00976FEB" w:rsidRPr="00ED781E">
        <w:rPr>
          <w:rFonts w:cs="Times New Roman"/>
          <w:szCs w:val="24"/>
        </w:rPr>
        <w:t xml:space="preserve">  using whole genome alignments, as in </w:t>
      </w:r>
      <w:hyperlink r:id="rId6" w:history="1">
        <w:r w:rsidR="00976FEB" w:rsidRPr="00ED781E">
          <w:rPr>
            <w:rStyle w:val="Hyperlink"/>
            <w:rFonts w:cs="Times New Roman"/>
            <w:szCs w:val="24"/>
          </w:rPr>
          <w:t>https://github.com/McMahonLab/Scripts/tree/master/Phylogeny</w:t>
        </w:r>
      </w:hyperlink>
      <w:r w:rsidR="00976FEB" w:rsidRPr="00ED781E">
        <w:rPr>
          <w:rFonts w:cs="Times New Roman"/>
          <w:szCs w:val="24"/>
        </w:rPr>
        <w:t xml:space="preserve">. As it has not been bootstrapped, it is not intended to infer evolutionary history, merely similarity between genomes. Tree building was performed in </w:t>
      </w:r>
      <w:proofErr w:type="spellStart"/>
      <w:r w:rsidR="00976FEB" w:rsidRPr="00ED781E">
        <w:rPr>
          <w:rFonts w:cs="Times New Roman"/>
          <w:szCs w:val="24"/>
        </w:rPr>
        <w:t>BioLinux</w:t>
      </w:r>
      <w:proofErr w:type="spellEnd"/>
      <w:r w:rsidR="00976FEB" w:rsidRPr="00ED781E">
        <w:rPr>
          <w:rFonts w:cs="Times New Roman"/>
          <w:szCs w:val="24"/>
        </w:rPr>
        <w:t xml:space="preserve"> 8 </w:t>
      </w:r>
      <w:r w:rsidR="00976FEB" w:rsidRPr="00ED781E">
        <w:rPr>
          <w:rFonts w:cs="Times New Roman"/>
          <w:szCs w:val="24"/>
        </w:rPr>
        <w:fldChar w:fldCharType="begin" w:fldLock="1"/>
      </w:r>
      <w:r w:rsidR="00976FEB" w:rsidRPr="00ED781E">
        <w:rPr>
          <w:rFonts w:cs="Times New Roman"/>
          <w:szCs w:val="24"/>
        </w:rPr>
        <w:instrText>ADDIN CSL_CITATION { "citationItems" : [ { "id" : "ITEM-1", "itemData" : { "DOI" : "10.1038/nbt0706-801", "ISBN" : "1087-0156", "ISSN" : "10870156", "PMID" : "16841067", "abstract" : "Developing and deploying specialized computing systems for specific research communities is achievable, cost effective and has wide-ranging benefits.", "author" : [ { "dropping-particle" : "", "family" : "Field", "given" : "Dawn", "non-dropping-particle" : "", "parse-names" : false, "suffix" : "" }, { "dropping-particle" : "", "family" : "Tiwari", "given" : "Bela", "non-dropping-particle" : "", "parse-names" : false, "suffix" : "" }, { "dropping-particle" : "", "family" : "Booth", "given" : "Tim", "non-dropping-particle" : "", "parse-names" : false, "suffix" : "" }, { "dropping-particle" : "", "family" : "Houten", "given" : "Stewart", "non-dropping-particle" : "", "parse-names" : false, "suffix" : "" }, { "dropping-particle" : "", "family" : "Swan", "given" : "Dan", "non-dropping-particle" : "", "parse-names" : false, "suffix" : "" }, { "dropping-particle" : "", "family" : "Bertrand", "given" : "Nicolas", "non-dropping-particle" : "", "parse-names" : false, "suffix" : "" }, { "dropping-particle" : "", "family" : "Thurston", "given" : "Milo", "non-dropping-particle" : "", "parse-names" : false, "suffix" : "" } ], "container-title" : "Nature Biotechnology", "id" : "ITEM-1", "issue" : "7", "issued" : { "date-parts" : [ [ "2006" ] ] }, "page" : "801-803", "title" : "Open software for biologists: From famine to feast", "type" : "article-journal", "volume" : "24" }, "uris" : [ "http://www.mendeley.com/documents/?uuid=6d6bd7e5-1d51-43d6-8429-677ccaa19040" ] } ], "mendeley" : { "formattedCitation" : "(Field et al. 2006)", "plainTextFormattedCitation" : "(Field et al. 2006)", "previouslyFormattedCitation" : "(Field et al. 2006)" }, "properties" : {  }, "schema" : "https://github.com/citation-style-language/schema/raw/master/csl-citation.json" }</w:instrText>
      </w:r>
      <w:r w:rsidR="00976FEB" w:rsidRPr="00ED781E">
        <w:rPr>
          <w:rFonts w:cs="Times New Roman"/>
          <w:szCs w:val="24"/>
        </w:rPr>
        <w:fldChar w:fldCharType="separate"/>
      </w:r>
      <w:r w:rsidR="00976FEB" w:rsidRPr="00ED781E">
        <w:rPr>
          <w:rFonts w:cs="Times New Roman"/>
          <w:noProof/>
          <w:szCs w:val="24"/>
        </w:rPr>
        <w:t>(Field et al. 2006)</w:t>
      </w:r>
      <w:r w:rsidR="00976FEB" w:rsidRPr="00ED781E">
        <w:rPr>
          <w:rFonts w:cs="Times New Roman"/>
          <w:szCs w:val="24"/>
        </w:rPr>
        <w:fldChar w:fldCharType="end"/>
      </w:r>
      <w:r w:rsidR="00976FEB" w:rsidRPr="00ED781E">
        <w:rPr>
          <w:rFonts w:cs="Times New Roman"/>
          <w:szCs w:val="24"/>
        </w:rPr>
        <w:t xml:space="preserve">. Marker gene analysis of sulfur cycling was performed using IMG’s functional search. Data formatting and plotting was performed in R </w:t>
      </w:r>
      <w:r w:rsidR="00ED781E" w:rsidRPr="00ED781E">
        <w:rPr>
          <w:rFonts w:cs="Times New Roman"/>
          <w:szCs w:val="24"/>
        </w:rPr>
        <w:fldChar w:fldCharType="begin" w:fldLock="1"/>
      </w:r>
      <w:r w:rsidR="00ED781E" w:rsidRPr="00ED781E">
        <w:rPr>
          <w:rFonts w:cs="Times New Roman"/>
          <w:szCs w:val="24"/>
        </w:rPr>
        <w:instrText>ADDIN CSL_CITATION { "citationItems" : [ { "id" : "ITEM-1", "itemData" : { "ISBN" : "3900051070", "author" : [ { "dropping-particle" : "", "family" : "Team", "given" : "R Core", "non-dropping-particle" : "", "parse-names" : false, "suffix" : "" } ], "container-title" : "R Foundation for Statistical Computing, Vienna, Austria", "id" : "ITEM-1", "issued" : { "date-parts" : [ [ "2015" ] ] }, "page" : "http://www.R-project.org/", "title" : "R: A language and environment for statistical computing", "type" : "article" }, "uris" : [ "http://www.mendeley.com/documents/?uuid=df9c6c4b-0aef-4286-b3e5-512f242cb1cb" ] } ], "mendeley" : { "formattedCitation" : "(Team 2015)", "plainTextFormattedCitation" : "(Team 2015)", "previouslyFormattedCitation" : "(Team 2015)" }, "properties" : {  }, "schema" : "https://github.com/citation-style-language/schema/raw/master/csl-citation.json" }</w:instrText>
      </w:r>
      <w:r w:rsidR="00ED781E" w:rsidRPr="00ED781E">
        <w:rPr>
          <w:rFonts w:cs="Times New Roman"/>
          <w:szCs w:val="24"/>
        </w:rPr>
        <w:fldChar w:fldCharType="separate"/>
      </w:r>
      <w:r w:rsidR="00ED781E" w:rsidRPr="00ED781E">
        <w:rPr>
          <w:rFonts w:cs="Times New Roman"/>
          <w:noProof/>
          <w:szCs w:val="24"/>
        </w:rPr>
        <w:t>(Team 2015)</w:t>
      </w:r>
      <w:r w:rsidR="00ED781E" w:rsidRPr="00ED781E">
        <w:rPr>
          <w:rFonts w:cs="Times New Roman"/>
          <w:szCs w:val="24"/>
        </w:rPr>
        <w:fldChar w:fldCharType="end"/>
      </w:r>
      <w:r w:rsidR="00ED781E" w:rsidRPr="00ED781E">
        <w:rPr>
          <w:rFonts w:cs="Times New Roman"/>
          <w:szCs w:val="24"/>
        </w:rPr>
        <w:t xml:space="preserve"> </w:t>
      </w:r>
      <w:r w:rsidR="00976FEB" w:rsidRPr="00ED781E">
        <w:rPr>
          <w:rFonts w:cs="Times New Roman"/>
          <w:szCs w:val="24"/>
        </w:rPr>
        <w:t xml:space="preserve">using the following packages: </w:t>
      </w:r>
      <w:r w:rsidR="00ED781E" w:rsidRPr="00ED781E">
        <w:rPr>
          <w:rFonts w:cs="Times New Roman"/>
          <w:szCs w:val="24"/>
        </w:rPr>
        <w:t xml:space="preserve">ggplot2 </w:t>
      </w:r>
      <w:r w:rsidR="00ED781E" w:rsidRPr="00ED781E">
        <w:rPr>
          <w:rFonts w:cs="Times New Roman"/>
          <w:szCs w:val="24"/>
        </w:rPr>
        <w:fldChar w:fldCharType="begin" w:fldLock="1"/>
      </w:r>
      <w:r w:rsidR="00ED781E" w:rsidRPr="00ED781E">
        <w:rPr>
          <w:rFonts w:cs="Times New Roman"/>
          <w:szCs w:val="24"/>
        </w:rPr>
        <w:instrText>ADDIN CSL_CITATION { "citationItems" : [ { "id" : "ITEM-1", "itemData" : { "DOI" : "10.1198/jcgs.2009.07098", "ISBN" : "1061-8600", "ISSN" : "1061-8600", "abstract" : "A grammar of graphics is a tool that enables us to concisely describe the components of a graphic. Such a grammar allows us to move beyond named graphics (e.g., the \"scatterplot\") and gain insight into the deep structure that underlies statistical graphics. This article builds on Wilkinson, Anand, and Grossman (2005), describing extensions and refinements developed while building an open source implementation of the grammar of graphics for R, ggplot 2. The topics in this article include an introduction to the grammar by working through the process of creating a plot, and discussing the components that we need. The grammar is then presented formally and compared to Wilkinson's grammar, highlighting the hierarchy of defaults, and the implications of embedding a graphical grammar into a programming language. The power of the grammar is illustrated with a selection of examples that explore different components and their interactions, in more detail. The article concludes by discussing some perceptual issues, and thinking about how we can build on the grammar M learn how to create graphical \"poems.\" Supplemental materials are available online.", "author" : [ { "dropping-particle" : "", "family" : "Wickham", "given" : "Hadley", "non-dropping-particle" : "", "parse-names" : false, "suffix" : "" } ], "container-title" : "Spring-Verlag New York", "id" : "ITEM-1", "issued" : { "date-parts" : [ [ "2009" ] ] }, "title" : "ggplot2: elegant graphics for data analysis", "type" : "article-journal" }, "uris" : [ "http://www.mendeley.com/documents/?uuid=4bfbe796-27e6-4993-a7ce-f560dd835ec0" ] } ], "mendeley" : { "formattedCitation" : "(Wickham 2009)", "plainTextFormattedCitation" : "(Wickham 2009)", "previouslyFormattedCitation" : "(Wickham 2009)" }, "properties" : {  }, "schema" : "https://github.com/citation-style-language/schema/raw/master/csl-citation.json" }</w:instrText>
      </w:r>
      <w:r w:rsidR="00ED781E" w:rsidRPr="00ED781E">
        <w:rPr>
          <w:rFonts w:cs="Times New Roman"/>
          <w:szCs w:val="24"/>
        </w:rPr>
        <w:fldChar w:fldCharType="separate"/>
      </w:r>
      <w:r w:rsidR="00ED781E" w:rsidRPr="00ED781E">
        <w:rPr>
          <w:rFonts w:cs="Times New Roman"/>
          <w:noProof/>
          <w:szCs w:val="24"/>
        </w:rPr>
        <w:t>(Wickham 2009)</w:t>
      </w:r>
      <w:r w:rsidR="00ED781E" w:rsidRPr="00ED781E">
        <w:rPr>
          <w:rFonts w:cs="Times New Roman"/>
          <w:szCs w:val="24"/>
        </w:rPr>
        <w:fldChar w:fldCharType="end"/>
      </w:r>
      <w:r w:rsidR="00ED781E" w:rsidRPr="00ED781E">
        <w:rPr>
          <w:rFonts w:cs="Times New Roman"/>
          <w:szCs w:val="24"/>
        </w:rPr>
        <w:t xml:space="preserve">, </w:t>
      </w:r>
      <w:proofErr w:type="spellStart"/>
      <w:r w:rsidR="00ED781E" w:rsidRPr="00ED781E">
        <w:rPr>
          <w:rFonts w:cs="Times New Roman"/>
          <w:szCs w:val="24"/>
        </w:rPr>
        <w:t>cowplot</w:t>
      </w:r>
      <w:proofErr w:type="spellEnd"/>
      <w:r w:rsidR="00ED781E" w:rsidRPr="00ED781E">
        <w:rPr>
          <w:rFonts w:cs="Times New Roman"/>
          <w:szCs w:val="24"/>
        </w:rPr>
        <w:t xml:space="preserve"> (</w:t>
      </w:r>
      <w:r w:rsidR="00ED781E" w:rsidRPr="00ED781E">
        <w:rPr>
          <w:rFonts w:cs="Times New Roman"/>
          <w:color w:val="000000"/>
          <w:szCs w:val="24"/>
          <w:bdr w:val="none" w:sz="0" w:space="0" w:color="auto" w:frame="1"/>
        </w:rPr>
        <w:t xml:space="preserve">Claus O. Wilke (2017). </w:t>
      </w:r>
      <w:proofErr w:type="spellStart"/>
      <w:r w:rsidR="00ED781E" w:rsidRPr="00ED781E">
        <w:rPr>
          <w:rFonts w:cs="Times New Roman"/>
          <w:color w:val="000000"/>
          <w:szCs w:val="24"/>
          <w:bdr w:val="none" w:sz="0" w:space="0" w:color="auto" w:frame="1"/>
        </w:rPr>
        <w:t>cowplot</w:t>
      </w:r>
      <w:proofErr w:type="spellEnd"/>
      <w:r w:rsidR="00ED781E" w:rsidRPr="00ED781E">
        <w:rPr>
          <w:rFonts w:cs="Times New Roman"/>
          <w:color w:val="000000"/>
          <w:szCs w:val="24"/>
          <w:bdr w:val="none" w:sz="0" w:space="0" w:color="auto" w:frame="1"/>
        </w:rPr>
        <w:t>: Streamlined Plot Theme and Plot Annotations for 'ggplot2'. R package version 0.9.2.</w:t>
      </w:r>
      <w:r w:rsidR="00ED781E">
        <w:rPr>
          <w:rFonts w:cs="Times New Roman"/>
          <w:color w:val="000000"/>
          <w:szCs w:val="24"/>
          <w:bdr w:val="none" w:sz="0" w:space="0" w:color="auto" w:frame="1"/>
        </w:rPr>
        <w:t xml:space="preserve"> </w:t>
      </w:r>
      <w:r w:rsidR="00ED781E" w:rsidRPr="00ED781E">
        <w:rPr>
          <w:rFonts w:eastAsia="Times New Roman" w:cs="Times New Roman"/>
          <w:color w:val="000000"/>
          <w:szCs w:val="24"/>
          <w:bdr w:val="none" w:sz="0" w:space="0" w:color="auto" w:frame="1"/>
        </w:rPr>
        <w:t>https://CRAN.R-project.org/pack</w:t>
      </w:r>
      <w:r w:rsidR="00ED781E">
        <w:rPr>
          <w:rFonts w:eastAsia="Times New Roman" w:cs="Times New Roman"/>
          <w:color w:val="000000"/>
          <w:szCs w:val="24"/>
          <w:bdr w:val="none" w:sz="0" w:space="0" w:color="auto" w:frame="1"/>
        </w:rPr>
        <w:t>a</w:t>
      </w:r>
      <w:r w:rsidR="00ED781E" w:rsidRPr="00ED781E">
        <w:rPr>
          <w:rFonts w:eastAsia="Times New Roman" w:cs="Times New Roman"/>
          <w:color w:val="000000"/>
          <w:szCs w:val="24"/>
          <w:bdr w:val="none" w:sz="0" w:space="0" w:color="auto" w:frame="1"/>
        </w:rPr>
        <w:t>ge=cowplot</w:t>
      </w:r>
      <w:r w:rsidR="00ED781E" w:rsidRPr="00ED781E">
        <w:rPr>
          <w:rFonts w:cs="Times New Roman"/>
          <w:szCs w:val="24"/>
        </w:rPr>
        <w:t>), reshape2</w:t>
      </w:r>
      <w:r w:rsidR="00ED781E">
        <w:rPr>
          <w:rFonts w:cs="Times New Roman"/>
          <w:szCs w:val="24"/>
        </w:rPr>
        <w:t xml:space="preserve"> </w:t>
      </w:r>
      <w:r w:rsidR="00ED781E">
        <w:rPr>
          <w:rFonts w:cs="Times New Roman"/>
          <w:szCs w:val="24"/>
        </w:rPr>
        <w:fldChar w:fldCharType="begin" w:fldLock="1"/>
      </w:r>
      <w:r w:rsidR="00ED781E">
        <w:rPr>
          <w:rFonts w:cs="Times New Roman"/>
          <w:szCs w:val="24"/>
        </w:rPr>
        <w:instrText>ADDIN CSL_CITATION { "citationItems" : [ { "id" : "ITEM-1", "itemData" : { "DOI" : "10.1016/S0142-1123(99)00007-9", "ISBN" : "1548-7660", "ISSN" : "1548--7660", "abstract" : "This paper presents the reshape package for R, which provides a common\\nframeworkfor many types of data reshaping and aggregation. It uses\\na paradigm of \u2018melting\u2019 and\u2018casting\u2019, where the data are \u2018melted\u2019\\ninto a form which distinguishes measured and iden-tifying variables,\\nand then \u2018cast\u2019 into a new shape, whether it be a data frame, list,\\norhigh dimensional array. The paper includes an introduction to the\\nconceptual framework,practical advice for melting and casting, and\\na case study.", "author" : [ { "dropping-particle" : "", "family" : "Wickham", "given" : "Hadley", "non-dropping-particle" : "", "parse-names" : false, "suffix" : "" } ], "container-title" : "Journal of Statistical Software", "id" : "ITEM-1", "issued" : { "date-parts" : [ [ "2007" ] ] }, "page" : "1-20", "title" : "Reshaping Data with the reshape package", "type" : "legal_case", "volume" : "21(12)" }, "uris" : [ "http://www.mendeley.com/documents/?uuid=831aa681-8156-4e1e-ab91-65bf526a05d9" ] } ], "mendeley" : { "formattedCitation" : "(Wickham 2007)", "plainTextFormattedCitation" : "(Wickham 2007)", "previouslyFormattedCitation" : "(Wickham 2007)" }, "properties" : {  }, "schema" : "https://github.com/citation-style-language/schema/raw/master/csl-citation.json" }</w:instrText>
      </w:r>
      <w:r w:rsidR="00ED781E">
        <w:rPr>
          <w:rFonts w:cs="Times New Roman"/>
          <w:szCs w:val="24"/>
        </w:rPr>
        <w:fldChar w:fldCharType="separate"/>
      </w:r>
      <w:r w:rsidR="00ED781E" w:rsidRPr="00ED781E">
        <w:rPr>
          <w:rFonts w:cs="Times New Roman"/>
          <w:noProof/>
          <w:szCs w:val="24"/>
        </w:rPr>
        <w:t>(Wickham 2007)</w:t>
      </w:r>
      <w:r w:rsidR="00ED781E">
        <w:rPr>
          <w:rFonts w:cs="Times New Roman"/>
          <w:szCs w:val="24"/>
        </w:rPr>
        <w:fldChar w:fldCharType="end"/>
      </w:r>
      <w:r w:rsidR="00ED781E" w:rsidRPr="00ED781E">
        <w:rPr>
          <w:rFonts w:cs="Times New Roman"/>
          <w:szCs w:val="24"/>
        </w:rPr>
        <w:t xml:space="preserve">, and </w:t>
      </w:r>
      <w:r w:rsidR="00ED781E">
        <w:rPr>
          <w:rFonts w:cs="Times New Roman"/>
          <w:szCs w:val="24"/>
        </w:rPr>
        <w:t xml:space="preserve">APE </w:t>
      </w:r>
      <w:r w:rsidR="00ED781E">
        <w:rPr>
          <w:rFonts w:cs="Times New Roman"/>
          <w:szCs w:val="24"/>
        </w:rPr>
        <w:fldChar w:fldCharType="begin" w:fldLock="1"/>
      </w:r>
      <w:r w:rsidR="00ED781E">
        <w:rPr>
          <w:rFonts w:cs="Times New Roman"/>
          <w:szCs w:val="24"/>
        </w:rPr>
        <w:instrText>ADDIN CSL_CITATION { "citationItems" : [ { "id" : "ITEM-1",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"http://www.mendeley.com/documents/?uuid=8e4936da-2c75-4008-bfd0-ceff1bbd63d9" ] } ], "mendeley" : { "formattedCitation" : "(Paradis, Claude, and Strimmer 2004)", "plainTextFormattedCitation" : "(Paradis, Claude, and Strimmer 2004)", "previouslyFormattedCitation" : "(Paradis, Claude, and Strimmer 2004)" }, "properties" : {  }, "schema" : "https://github.com/citation-style-language/schema/raw/master/csl-citation.json" }</w:instrText>
      </w:r>
      <w:r w:rsidR="00ED781E">
        <w:rPr>
          <w:rFonts w:cs="Times New Roman"/>
          <w:szCs w:val="24"/>
        </w:rPr>
        <w:fldChar w:fldCharType="separate"/>
      </w:r>
      <w:r w:rsidR="00ED781E" w:rsidRPr="00ED781E">
        <w:rPr>
          <w:rFonts w:cs="Times New Roman"/>
          <w:noProof/>
          <w:szCs w:val="24"/>
        </w:rPr>
        <w:t>(Paradis, Claude, and Strimmer 2004)</w:t>
      </w:r>
      <w:r w:rsidR="00ED781E">
        <w:rPr>
          <w:rFonts w:cs="Times New Roman"/>
          <w:szCs w:val="24"/>
        </w:rPr>
        <w:fldChar w:fldCharType="end"/>
      </w:r>
      <w:r w:rsidR="00ED781E" w:rsidRPr="00ED781E">
        <w:rPr>
          <w:rFonts w:cs="Times New Roman"/>
          <w:szCs w:val="24"/>
        </w:rPr>
        <w:t>.</w:t>
      </w:r>
      <w:r w:rsidR="00ED781E">
        <w:rPr>
          <w:rFonts w:cs="Times New Roman"/>
          <w:color w:val="000000"/>
          <w:szCs w:val="24"/>
          <w:bdr w:val="none" w:sz="0" w:space="0" w:color="auto" w:frame="1"/>
        </w:rPr>
        <w:t xml:space="preserve"> </w:t>
      </w:r>
      <w:r w:rsidR="009D5AB9">
        <w:t>The datasets</w:t>
      </w:r>
      <w:r w:rsidR="00E85E33">
        <w:t>, scripts,</w:t>
      </w:r>
      <w:r w:rsidR="009D5AB9">
        <w:t xml:space="preserve"> and </w:t>
      </w:r>
      <w:r w:rsidR="00E14098">
        <w:t xml:space="preserve">intermediate </w:t>
      </w:r>
      <w:r w:rsidR="009D5AB9">
        <w:t xml:space="preserve">files used to predict pathway presence and absence are available at &lt; </w:t>
      </w:r>
      <w:proofErr w:type="spellStart"/>
      <w:r w:rsidR="009D5AB9">
        <w:t>github</w:t>
      </w:r>
      <w:proofErr w:type="spellEnd"/>
      <w:r w:rsidR="009D5AB9">
        <w:t xml:space="preserve"> link&gt;.</w:t>
      </w:r>
    </w:p>
    <w:p w14:paraId="21A41E37" w14:textId="43F2871E" w:rsidR="00C64D38" w:rsidRPr="005B0EB6" w:rsidRDefault="00C64D38" w:rsidP="00ED781E">
      <w:pPr>
        <w:pStyle w:val="Heading1"/>
        <w:spacing w:before="0" w:line="480" w:lineRule="auto"/>
        <w:jc w:val="both"/>
      </w:pPr>
      <w:r>
        <w:t>Results/Discussion</w:t>
      </w:r>
    </w:p>
    <w:p w14:paraId="3027F7E7" w14:textId="77777777" w:rsidR="00C64D38" w:rsidRPr="00C54FFE" w:rsidRDefault="00C64D38" w:rsidP="00ED781E">
      <w:pPr>
        <w:pStyle w:val="Heading2"/>
        <w:spacing w:line="480" w:lineRule="auto"/>
      </w:pPr>
      <w:r w:rsidRPr="00C54FFE">
        <w:t>Overview of Dataset</w:t>
      </w:r>
    </w:p>
    <w:p w14:paraId="1D923366" w14:textId="1B972F5B" w:rsidR="00C64D38" w:rsidRPr="00ED781E" w:rsidRDefault="00C64D38" w:rsidP="00ED781E">
      <w:pPr>
        <w:spacing w:line="480" w:lineRule="auto"/>
        <w:ind w:firstLine="720"/>
        <w:jc w:val="both"/>
        <w:rPr>
          <w:b/>
        </w:rPr>
      </w:pPr>
      <w:r>
        <w:t xml:space="preserve">The phylogenetic distribution of MAGs was consistent with the classifications of 16S </w:t>
      </w:r>
      <w:proofErr w:type="spellStart"/>
      <w:r>
        <w:t>rRNA</w:t>
      </w:r>
      <w:proofErr w:type="spellEnd"/>
      <w:r>
        <w:t xml:space="preserve"> gene amplicon sequencing results</w:t>
      </w:r>
      <w:r w:rsidR="001476D8">
        <w:t>, presumably because MAGs were recovered from abundant populations in the community</w:t>
      </w:r>
      <w:r>
        <w:t xml:space="preserve">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r w:rsidR="001476D8">
        <w:t xml:space="preserve"> We inferred metabolic potential of these abundant microbes based on the gene content in the recovered MAGs, focusing on carbon, nitrogen, and sulfur metabolisms.</w:t>
      </w:r>
    </w:p>
    <w:p w14:paraId="0CCA80B0" w14:textId="21925F32" w:rsidR="00C64D38" w:rsidRDefault="00C64D38" w:rsidP="00ED781E">
      <w:pPr>
        <w:spacing w:line="48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lastRenderedPageBreak/>
        <w:t>&lt;Fig 1</w:t>
      </w:r>
      <w:r w:rsidR="00C64D38">
        <w:t xml:space="preserve">b </w:t>
      </w:r>
      <w:proofErr w:type="spellStart"/>
      <w:r w:rsidR="00C64D38">
        <w:t>Barchart</w:t>
      </w:r>
      <w:proofErr w:type="spellEnd"/>
      <w:r w:rsidR="00C64D38">
        <w:t xml:space="preserve"> of 16S phyla&gt;</w:t>
      </w:r>
    </w:p>
    <w:p w14:paraId="4FF582CF" w14:textId="520B005D"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w:t>
      </w:r>
      <w:r w:rsidR="001476D8">
        <w:rPr>
          <w:rFonts w:cs="Times New Roman"/>
          <w:szCs w:val="24"/>
        </w:rPr>
        <w:t>gene</w:t>
      </w:r>
      <w:r>
        <w:rPr>
          <w:rFonts w:cs="Times New Roman"/>
          <w:szCs w:val="24"/>
        </w:rPr>
        <w:t xml:space="preserve"> amplicon sequencing </w:t>
      </w:r>
      <w:r w:rsidR="009C20E9">
        <w:rPr>
          <w:rFonts w:cs="Times New Roman"/>
          <w:szCs w:val="24"/>
        </w:rPr>
        <w:t xml:space="preserve">of the same samples </w:t>
      </w:r>
      <w:r>
        <w:rPr>
          <w:rFonts w:cs="Times New Roman"/>
          <w:szCs w:val="24"/>
        </w:rPr>
        <w:t xml:space="preserve">(B). </w:t>
      </w:r>
    </w:p>
    <w:p w14:paraId="18A8258E" w14:textId="6C3B812C" w:rsidR="00C64D38" w:rsidRPr="00C64D38" w:rsidRDefault="00C64D38" w:rsidP="00D7439F">
      <w:pPr>
        <w:pStyle w:val="Heading2"/>
        <w:spacing w:line="480" w:lineRule="auto"/>
      </w:pPr>
      <w:r w:rsidRPr="00C64D38">
        <w:t>P</w:t>
      </w:r>
      <w:r w:rsidR="001476D8">
        <w:t xml:space="preserve">rimary Production and </w:t>
      </w:r>
      <w:proofErr w:type="spellStart"/>
      <w:r w:rsidR="001476D8">
        <w:t>Phototrophy</w:t>
      </w:r>
      <w:proofErr w:type="spellEnd"/>
    </w:p>
    <w:p w14:paraId="05B570B6" w14:textId="238B2551" w:rsidR="00DB0C6F" w:rsidRDefault="00B54DAC" w:rsidP="00D7439F">
      <w:pPr>
        <w:spacing w:line="48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B25EC0">
        <w:t>The</w:t>
      </w:r>
      <w:r w:rsidR="00DB0C6F">
        <w:t xml:space="preserve"> </w:t>
      </w:r>
      <w:proofErr w:type="spellStart"/>
      <w:r w:rsidR="00DB0C6F">
        <w:t>Chlorobiales</w:t>
      </w:r>
      <w:proofErr w:type="spellEnd"/>
      <w:r w:rsidR="00DB0C6F">
        <w:t xml:space="preserve"> MAGs in Trout Bog contained genes encoding citrate lyase and other  key enzymes in the reductive</w:t>
      </w:r>
      <w:r w:rsidR="00A062F7">
        <w:t xml:space="preserve"> tricarboxylic acid</w:t>
      </w:r>
      <w:r w:rsidR="00DB0C6F">
        <w:t xml:space="preserve"> </w:t>
      </w:r>
      <w:r w:rsidR="00A062F7">
        <w:t>(</w:t>
      </w:r>
      <w:r w:rsidR="00DB0C6F">
        <w:t>TCA</w:t>
      </w:r>
      <w:r w:rsidR="00A062F7">
        <w:t>)</w:t>
      </w:r>
      <w:r w:rsidR="00DB0C6F">
        <w:t xml:space="preserve"> cycle, an alternative carbon fixation method commonly found in green 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Both photoaut</w:t>
      </w:r>
      <w:r w:rsidR="00751DCB">
        <w:t>ot</w:t>
      </w:r>
      <w:r w:rsidR="00153C67">
        <w:t xml:space="preserve">rophs contained genes potentially encoding nitrogen fixation as well. </w:t>
      </w:r>
      <w:r w:rsidR="00B25EC0">
        <w:t>Genes annotated as ribulose-1,5-bisphosphate carboxylase/oxygenase (</w:t>
      </w:r>
      <w:proofErr w:type="spellStart"/>
      <w:r w:rsidR="00B25EC0">
        <w:t>RubisCO</w:t>
      </w:r>
      <w:proofErr w:type="spellEnd"/>
      <w:r w:rsidR="00B25EC0">
        <w:t xml:space="preserve">), the key enzyme in the CBB pathway, were observed in some of the </w:t>
      </w:r>
      <w:proofErr w:type="spellStart"/>
      <w:r w:rsidR="00B25EC0">
        <w:t>Chlorobiales</w:t>
      </w:r>
      <w:proofErr w:type="spellEnd"/>
      <w:r w:rsidR="00B25EC0">
        <w:t xml:space="preserve"> MAGs. The reductive TCA cycle is the only carbon fixation pathway known to be active in this taxon, and a </w:t>
      </w:r>
      <w:proofErr w:type="spellStart"/>
      <w:r w:rsidR="00B25EC0">
        <w:t>RubisCo</w:t>
      </w:r>
      <w:proofErr w:type="spellEnd"/>
      <w:r w:rsidR="00B25EC0">
        <w:t xml:space="preserve">-like gene found in isolates of </w:t>
      </w:r>
      <w:proofErr w:type="spellStart"/>
      <w:r w:rsidR="00B25EC0">
        <w:rPr>
          <w:i/>
        </w:rPr>
        <w:t>Chlorobium</w:t>
      </w:r>
      <w:proofErr w:type="spellEnd"/>
      <w:r w:rsidR="00B25EC0">
        <w:rPr>
          <w:i/>
        </w:rPr>
        <w:t xml:space="preserve"> </w:t>
      </w:r>
      <w:r w:rsidR="00B25EC0">
        <w:t xml:space="preserve">was associated with sulfur metabolism and oxidative stress </w:t>
      </w:r>
      <w:r w:rsidR="00B25EC0">
        <w:fldChar w:fldCharType="begin" w:fldLock="1"/>
      </w:r>
      <w:r w:rsidR="00B25EC0">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and Tabita 2001)", "plainTextFormattedCitation" : "(Hanson and Tabita 2001)", "previouslyFormattedCitation" : "(Hanson and Tabita 2001)" }, "properties" : {  }, "schema" : "https://github.com/citation-style-language/schema/raw/master/csl-citation.json" }</w:instrText>
      </w:r>
      <w:r w:rsidR="00B25EC0">
        <w:fldChar w:fldCharType="separate"/>
      </w:r>
      <w:r w:rsidR="00B25EC0" w:rsidRPr="00B25EC0">
        <w:rPr>
          <w:noProof/>
        </w:rPr>
        <w:t>(Hanson and Tabita 2001)</w:t>
      </w:r>
      <w:r w:rsidR="00B25EC0">
        <w:fldChar w:fldCharType="end"/>
      </w:r>
      <w:r w:rsidR="00B25EC0">
        <w:t xml:space="preserve">. Given this information, it seems likely that this gene encodes a function other than carbon fixation in the </w:t>
      </w:r>
      <w:proofErr w:type="spellStart"/>
      <w:r w:rsidR="00B25EC0">
        <w:t>Chlorobiales</w:t>
      </w:r>
      <w:proofErr w:type="spellEnd"/>
      <w:r w:rsidR="00B25EC0">
        <w:t xml:space="preserve"> MAGs. </w:t>
      </w:r>
      <w:r w:rsidR="00751DCB">
        <w:t>One major difference</w:t>
      </w:r>
      <w:r w:rsidR="00B25EC0">
        <w:t xml:space="preserve"> besides </w:t>
      </w:r>
      <w:r w:rsidR="004C53C9">
        <w:t xml:space="preserve">the </w:t>
      </w:r>
      <w:r w:rsidR="00B25EC0">
        <w:t>carbon fixation pathway</w:t>
      </w:r>
      <w:r w:rsidR="00751DCB">
        <w:t xml:space="preserve"> between Cyanobacteria and </w:t>
      </w:r>
      <w:proofErr w:type="spellStart"/>
      <w:r w:rsidR="00751DCB">
        <w:t>Chlorobi</w:t>
      </w:r>
      <w:proofErr w:type="spellEnd"/>
      <w:r w:rsidR="00751DCB">
        <w:t xml:space="preserve"> is their oxygen requirements; Cyanobacteria are aerobic, while </w:t>
      </w:r>
      <w:proofErr w:type="spellStart"/>
      <w:r w:rsidR="00751DCB">
        <w:t>Chlorobiales</w:t>
      </w:r>
      <w:proofErr w:type="spellEnd"/>
      <w:r w:rsidR="00751DCB">
        <w:t xml:space="preserve"> are </w:t>
      </w:r>
      <w:r w:rsidR="00751DCB">
        <w:lastRenderedPageBreak/>
        <w:t xml:space="preserve">anaerobic. </w:t>
      </w:r>
      <w:r w:rsidR="00DB0C6F">
        <w:t>The</w:t>
      </w:r>
      <w:r w:rsidR="00751DCB">
        <w:t>se</w:t>
      </w:r>
      <w:r w:rsidR="00DB0C6F">
        <w:t xml:space="preserve"> </w:t>
      </w:r>
      <w:r w:rsidR="00751DCB">
        <w:t xml:space="preserve">two </w:t>
      </w:r>
      <w:r w:rsidR="00DB0C6F">
        <w:t>primary producers</w:t>
      </w:r>
      <w:r w:rsidR="00751DCB">
        <w:t xml:space="preserve"> </w:t>
      </w:r>
      <w:r w:rsidR="00DB0C6F">
        <w:t>seem to perform similar ecosystem functions</w:t>
      </w:r>
      <w:r w:rsidR="00153C67">
        <w:t xml:space="preserve"> </w:t>
      </w:r>
      <w:r w:rsidR="00DB0C6F">
        <w:t>in their respective lakes</w:t>
      </w:r>
      <w:r w:rsidR="00751DCB">
        <w:t>, but</w:t>
      </w:r>
      <w:r w:rsidR="00DB0C6F">
        <w:t xml:space="preserve"> oxygen availability drives both the type of microbe acting in this role and the pathways that it uses for primary production.</w:t>
      </w:r>
      <w:r w:rsidR="004C53C9">
        <w:t xml:space="preserve"> This </w:t>
      </w:r>
      <w:r w:rsidR="008B23D3">
        <w:t xml:space="preserve">is consistent with </w:t>
      </w:r>
      <w:r w:rsidR="004B78F5">
        <w:t xml:space="preserve">previous metagenomic research in </w:t>
      </w:r>
      <w:proofErr w:type="spellStart"/>
      <w:r w:rsidR="004B78F5">
        <w:t>humic</w:t>
      </w:r>
      <w:proofErr w:type="spellEnd"/>
      <w:r w:rsidR="004B78F5">
        <w:t xml:space="preserve"> lakes </w:t>
      </w:r>
      <w:r w:rsidR="004B78F5">
        <w:fldChar w:fldCharType="begin" w:fldLock="1"/>
      </w:r>
      <w:r w:rsidR="004B78F5">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"mendeley" : { "formattedCitation" : "(Peura et al. 2015)", "plainTextFormattedCitation" : "(Peura et al. 2015)", "previouslyFormattedCitation" : "(Peura et al. 2015)" }, "properties" : {  }, "schema" : "https://github.com/citation-style-language/schema/raw/master/csl-citation.json" }</w:instrText>
      </w:r>
      <w:r w:rsidR="004B78F5">
        <w:fldChar w:fldCharType="separate"/>
      </w:r>
      <w:r w:rsidR="004B78F5" w:rsidRPr="004B78F5">
        <w:rPr>
          <w:noProof/>
        </w:rPr>
        <w:t>(Peura et al. 2015)</w:t>
      </w:r>
      <w:r w:rsidR="004B78F5">
        <w:fldChar w:fldCharType="end"/>
      </w:r>
      <w:r w:rsidR="004B78F5">
        <w:t xml:space="preserve"> and </w:t>
      </w:r>
      <w:r w:rsidR="004C53C9">
        <w:t xml:space="preserve">extends the zone of primary production deeper in the water column of Trout Bog than is generally expected. </w:t>
      </w:r>
    </w:p>
    <w:p w14:paraId="4CD0447C" w14:textId="5353C5A1" w:rsidR="00DB0C6F" w:rsidRDefault="00153C67" w:rsidP="00D7439F">
      <w:pPr>
        <w:spacing w:line="480" w:lineRule="auto"/>
        <w:ind w:firstLine="720"/>
        <w:jc w:val="both"/>
      </w:pPr>
      <w:r>
        <w:t>The potential for photoheterotrophy via</w:t>
      </w:r>
      <w:r w:rsidR="00F17423">
        <w:t xml:space="preserve"> </w:t>
      </w:r>
      <w:r w:rsidR="00AB7112">
        <w:t xml:space="preserve">the </w:t>
      </w:r>
      <w:proofErr w:type="spellStart"/>
      <w:r w:rsidR="00F17423">
        <w:t>anoxygenic</w:t>
      </w:r>
      <w:proofErr w:type="spellEnd"/>
      <w:r>
        <w:t xml:space="preserve"> aerobic</w:t>
      </w:r>
      <w:r w:rsidR="00F17423">
        <w:t xml:space="preserve"> photo</w:t>
      </w:r>
      <w:r w:rsidR="00AB7112">
        <w:t>trophic pathway</w:t>
      </w:r>
      <w:r w:rsidR="00F74885">
        <w:t xml:space="preserve">  </w:t>
      </w:r>
      <w:r w:rsidR="00F74885">
        <w:fldChar w:fldCharType="begin" w:fldLock="1"/>
      </w:r>
      <w:r w:rsidR="00F74885">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F74885">
        <w:fldChar w:fldCharType="separate"/>
      </w:r>
      <w:r w:rsidR="00F74885" w:rsidRPr="00084910">
        <w:rPr>
          <w:noProof/>
        </w:rPr>
        <w:t>(Martinez-Garcia et al. 2012)</w:t>
      </w:r>
      <w:r w:rsidR="00F74885">
        <w:fldChar w:fldCharType="end"/>
      </w:r>
      <w:r w:rsidR="00F17423">
        <w:t xml:space="preserve"> w</w:t>
      </w:r>
      <w:r>
        <w:t>as</w:t>
      </w:r>
      <w:r w:rsidR="00F17423">
        <w:t xml:space="preserve"> identified in several MAGs from both lakes</w:t>
      </w:r>
      <w:r w:rsidR="00DB0C6F">
        <w:t xml:space="preserve">. </w:t>
      </w:r>
      <w:r>
        <w:t>Proteobacteria, particularly</w:t>
      </w:r>
      <w:r w:rsidR="00F74885">
        <w:t xml:space="preserve"> some unclassified MAGs of</w:t>
      </w:r>
      <w:r>
        <w:t xml:space="preserve"> </w:t>
      </w:r>
      <w:proofErr w:type="spellStart"/>
      <w:r>
        <w:t>Burkholderiales</w:t>
      </w:r>
      <w:proofErr w:type="spellEnd"/>
      <w:r>
        <w:t xml:space="preserve">, most often contained the marker genes for this process, although these genes were not </w:t>
      </w:r>
      <w:r w:rsidR="00F74885">
        <w:t xml:space="preserve">broadly </w:t>
      </w:r>
      <w:r>
        <w:t xml:space="preserve">shared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w:t>
      </w:r>
      <w:proofErr w:type="spellStart"/>
      <w:r w:rsidR="000A1F9F">
        <w:t>photo</w:t>
      </w:r>
      <w:r w:rsidR="00F74885">
        <w:t>trophy</w:t>
      </w:r>
      <w:proofErr w:type="spellEnd"/>
      <w:r w:rsidR="000A1F9F">
        <w:t xml:space="preserve">.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w:t>
      </w:r>
      <w:r w:rsidR="00F74885">
        <w:t>more frequently</w:t>
      </w:r>
      <w:r w:rsidR="000A1F9F">
        <w:t xml:space="preserve"> in MAGs from Lake Mendota classified as Actinobacteria and Bacteroidetes.</w:t>
      </w:r>
      <w:r w:rsidR="00F74885">
        <w:t xml:space="preserve"> MAGs from Trout Bog, especially the epilimnion, harbored much less diversity and a lower abundance of genes encoding </w:t>
      </w:r>
      <w:proofErr w:type="spellStart"/>
      <w:r w:rsidR="00F74885">
        <w:t>rhodopsins</w:t>
      </w:r>
      <w:proofErr w:type="spellEnd"/>
      <w:r w:rsidR="00F74885">
        <w:t xml:space="preserve"> than those from Lake Mendota. A likely explanation for this observation is that Lake Mendota is clearer than the </w:t>
      </w:r>
      <w:proofErr w:type="spellStart"/>
      <w:r w:rsidR="00F74885">
        <w:t>humic</w:t>
      </w:r>
      <w:proofErr w:type="spellEnd"/>
      <w:r w:rsidR="00F74885">
        <w:t xml:space="preserve">-stained Trout Bog, leading to greater light availability in Lake Mendota.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D7439F">
      <w:pPr>
        <w:pStyle w:val="Heading2"/>
        <w:spacing w:line="480" w:lineRule="auto"/>
      </w:pPr>
      <w:r>
        <w:t>Central Metabolism and S</w:t>
      </w:r>
      <w:r w:rsidR="00BA208D">
        <w:t>imple Carbon</w:t>
      </w:r>
      <w:r>
        <w:t xml:space="preserve"> Degradation</w:t>
      </w:r>
    </w:p>
    <w:p w14:paraId="5668B395" w14:textId="486E19D9" w:rsidR="000A1F9F" w:rsidRDefault="000A1F9F" w:rsidP="00D7439F">
      <w:pPr>
        <w:spacing w:line="480" w:lineRule="auto"/>
      </w:pPr>
      <w:r>
        <w:tab/>
      </w:r>
      <w:r w:rsidR="006F42C8">
        <w:t xml:space="preserve">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w:t>
      </w:r>
      <w:r w:rsidR="006F42C8">
        <w:lastRenderedPageBreak/>
        <w:t>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5907E96" w:rsidR="006F42C8" w:rsidRDefault="006F42C8" w:rsidP="00D7439F">
      <w:pPr>
        <w:spacing w:line="480" w:lineRule="auto"/>
      </w:pPr>
      <w:r>
        <w:tab/>
      </w:r>
      <w:r w:rsidR="00705F64">
        <w:t>Central metabolism is often the entry point for the least complex carbon compounds, and central metabolic pathways may reveal how a bacterium is using a carbon compound. The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w:t>
      </w:r>
      <w:r w:rsidR="00F74885">
        <w:t xml:space="preserve">(potentially members of the candidate phyla radiation) </w:t>
      </w:r>
      <w:r w:rsidR="00705F64">
        <w:t xml:space="preserve">in the 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3552C2A" w14:textId="25324AF6" w:rsidR="00260505" w:rsidRDefault="00260505" w:rsidP="00D7439F">
      <w:pPr>
        <w:spacing w:line="480" w:lineRule="auto"/>
      </w:pPr>
      <w:r>
        <w:tab/>
        <w:t xml:space="preserve">As </w:t>
      </w:r>
      <w:r w:rsidR="00687EFB">
        <w:t>oxidative phosphorylation</w:t>
      </w:r>
      <w:r>
        <w:t xml:space="preserve"> is an important part of central metabolism for aerobic bacteria, we investigated which types of cytochromes were </w:t>
      </w:r>
      <w:r w:rsidR="00822990">
        <w:t>encoded in our MAGs</w:t>
      </w:r>
      <w:r w:rsidR="00687EFB">
        <w:t xml:space="preserve"> (Fig 2)</w:t>
      </w:r>
      <w:r w:rsidR="00822990">
        <w:t xml:space="preserve">. Cytochrome c oxidases, both aa3- and cbb3-type, were widespread in both lakes and frequently observed in the same genomes. </w:t>
      </w:r>
      <w:r w:rsidR="00991A92">
        <w:t xml:space="preserve">As aa3-type cytochromes are associated with high oxygen concentrations and cbb3-type cytochromes are associated with low oxygen concentrations, the presence of both types suggests the flexibility to operate under a range of oxygen concentrations. </w:t>
      </w:r>
      <w:r w:rsidR="00822990">
        <w:t xml:space="preserve">Of the quinol-based cytochromes, genes encoding cytochrome d were most often observed in MAGs from the hypolimnion of Trout Bog, while cytochrome aa3-600 was found only in MAGs classified as Bacteroidetes and Proteobacteria in the Trout Bog epilimnion and cytochrome o was </w:t>
      </w:r>
      <w:r w:rsidR="00822990">
        <w:lastRenderedPageBreak/>
        <w:t xml:space="preserve">observed only in a Chlamydia MAG from Lake Mendota. Alternative complex III was identified in MAGs of </w:t>
      </w:r>
      <w:proofErr w:type="spellStart"/>
      <w:r w:rsidR="00822990">
        <w:t>Verromicrobia</w:t>
      </w:r>
      <w:proofErr w:type="spellEnd"/>
      <w:r w:rsidR="00822990">
        <w:t xml:space="preserve"> in both lakes, in </w:t>
      </w:r>
      <w:proofErr w:type="spellStart"/>
      <w:r w:rsidR="00822990">
        <w:t>Acidobacteria</w:t>
      </w:r>
      <w:proofErr w:type="spellEnd"/>
      <w:r w:rsidR="00822990">
        <w:t xml:space="preserve"> in Trout Bog (both layers), and in Bacteroidetes and Planctomycetes in Lake Mendota. </w:t>
      </w:r>
      <w:r w:rsidR="00687EFB">
        <w:t>The presence and absence of cytochrome types by lake may reflect both the difference in oxygen concentrations and</w:t>
      </w:r>
      <w:r w:rsidR="00991A92">
        <w:t xml:space="preserve"> in</w:t>
      </w:r>
      <w:r w:rsidR="00687EFB">
        <w:t xml:space="preserve"> bacterial community composition.</w:t>
      </w:r>
    </w:p>
    <w:p w14:paraId="62547480" w14:textId="25B7AA65" w:rsidR="00687EFB" w:rsidRDefault="00687EFB" w:rsidP="00D7439F">
      <w:pPr>
        <w:spacing w:line="480" w:lineRule="auto"/>
      </w:pPr>
      <w:r>
        <w:tab/>
      </w:r>
      <w:r w:rsidR="00C213C5">
        <w:t>Similarly, h</w:t>
      </w:r>
      <w:r>
        <w:t>ydrogen metabolism is an aspect of central metabolism that can influence other aspects of a microbe’s nutrient usage. Iron-only hydrogenases were found primarily in Trout Bog’s hypolimnion</w:t>
      </w:r>
      <w:r w:rsidR="00C213C5">
        <w:t xml:space="preserve"> (Fig. 2)</w:t>
      </w:r>
      <w:r>
        <w:t xml:space="preserve">, consistent with their previously identified presence in fermenting anaerobic bacteria </w:t>
      </w:r>
      <w:r w:rsidR="00C213C5">
        <w:fldChar w:fldCharType="begin" w:fldLock="1"/>
      </w:r>
      <w:r w:rsidR="00C213C5">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C213C5">
        <w:fldChar w:fldCharType="separate"/>
      </w:r>
      <w:r w:rsidR="00C213C5" w:rsidRPr="00C213C5">
        <w:rPr>
          <w:noProof/>
        </w:rPr>
        <w:t>(Peters et al. 2015)</w:t>
      </w:r>
      <w:r w:rsidR="00C213C5">
        <w:fldChar w:fldCharType="end"/>
      </w:r>
      <w:r>
        <w:t xml:space="preserve">. Genes encoding [Ni-Fe] hydrogenases of groups 1 and 2, involved in hydrogen uptake, sensing, and nitrogen fixation, were </w:t>
      </w:r>
      <w:r w:rsidR="00C213C5">
        <w:t xml:space="preserve">widespread in the hypolimnion of Trout Bog, found only in </w:t>
      </w:r>
      <w:proofErr w:type="spellStart"/>
      <w:r w:rsidR="00C213C5">
        <w:t>Chlorobiales</w:t>
      </w:r>
      <w:proofErr w:type="spellEnd"/>
      <w:r w:rsidR="00C213C5">
        <w:t xml:space="preserve"> MAGs in the epilimnion of Trout Bog, and more rarely observed in Lake Mendota. Group 3 [Ni-Fe] hydrogenases were identified in MAGs belonging to Cyanobacteria and </w:t>
      </w:r>
      <w:proofErr w:type="spellStart"/>
      <w:r w:rsidR="00C213C5">
        <w:t>Chlorobiales</w:t>
      </w:r>
      <w:proofErr w:type="spellEnd"/>
      <w:r w:rsidR="00C213C5">
        <w:t>, consistent with the proposed function of Group 3d, which is to remove excess electrons produced by photosynthesis. Finally, the Group 4 reversible hydrogenase were observed primarily in the hypolimnion of Trout Bog. These different types of hydrogenases, particularly the greater prevalence of hydrogenases in the anoxic region of Trout Bog, point to more lake-specific adaptations.</w:t>
      </w:r>
    </w:p>
    <w:p w14:paraId="41D9466D" w14:textId="5AA98271" w:rsidR="007A25BD" w:rsidRDefault="007A25BD" w:rsidP="00D7439F">
      <w:pPr>
        <w:spacing w:line="480" w:lineRule="auto"/>
      </w:pPr>
      <w:r>
        <w:tab/>
      </w:r>
      <w:r w:rsidR="00D8003E">
        <w:t xml:space="preserve">Algae </w:t>
      </w:r>
      <w:r w:rsidR="00E508C6">
        <w:t xml:space="preserve">in freshwater </w:t>
      </w:r>
      <w:r w:rsidR="00D8003E">
        <w:t xml:space="preserve">have been documenting producing high molecular weight carbohydrates such as </w:t>
      </w:r>
      <w:r w:rsidR="00E508C6">
        <w:t>glucose, fucose, rhamnose, arabinose, galac</w:t>
      </w:r>
      <w:r w:rsidR="00C213C5">
        <w:t>to</w:t>
      </w:r>
      <w:r w:rsidR="00E508C6">
        <w:t>se, mannose, and xylose</w:t>
      </w:r>
      <w:r w:rsidR="00A57D83">
        <w:t xml:space="preserve"> </w:t>
      </w:r>
      <w:r w:rsidR="00A57D83">
        <w:fldChar w:fldCharType="begin" w:fldLock="1"/>
      </w:r>
      <w:r w:rsidR="00E508C6">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"manualFormatting" : "(Giroldo, Augusto, and Vieira 2005)",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w:t>
      </w:r>
      <w:r w:rsidR="00A57D83">
        <w:fldChar w:fldCharType="end"/>
      </w:r>
      <w:r>
        <w:t xml:space="preserve">. </w:t>
      </w:r>
      <w:r w:rsidR="00E508C6">
        <w:t>To identify linkages between algae and heterotrophic bacteria, we analyzed putative sugar degradation pathways i</w:t>
      </w:r>
      <w:r>
        <w:t>n our MAGs</w:t>
      </w:r>
      <w:r w:rsidR="00E508C6">
        <w:t>.</w:t>
      </w:r>
      <w:r>
        <w:t xml:space="preserve"> </w:t>
      </w:r>
      <w:r w:rsidR="00E508C6">
        <w:t>G</w:t>
      </w:r>
      <w:r w:rsidR="00084F23">
        <w:t xml:space="preserve">enes encoding the pathway for mannose degradation appeared frequently in both lakes. Mannose feeds into glycolysis, and can be used as the sole source of carbon and energy in bacteria such as </w:t>
      </w:r>
      <w:r w:rsidR="00084F23" w:rsidRPr="002409B3">
        <w:rPr>
          <w:i/>
        </w:rPr>
        <w:lastRenderedPageBreak/>
        <w:t>E</w:t>
      </w:r>
      <w:r w:rsidR="002409B3" w:rsidRPr="002409B3">
        <w:rPr>
          <w:i/>
        </w:rPr>
        <w:t>scherichia</w:t>
      </w:r>
      <w:r w:rsidR="00084F23" w:rsidRPr="002409B3">
        <w:rPr>
          <w:i/>
        </w:rPr>
        <w:t xml:space="preserve"> coli</w:t>
      </w:r>
      <w:r w:rsidR="00E508C6">
        <w:t>; this may explain why it was observed so frequently</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w:t>
      </w:r>
      <w:r w:rsidR="00E508C6">
        <w:t xml:space="preserve">n acid </w:t>
      </w:r>
      <w:r w:rsidR="00A57D83">
        <w:t>produced by algae</w:t>
      </w:r>
      <w:r w:rsidR="00E508C6">
        <w:t xml:space="preserve"> and consumed by heterotrophic bacteria</w:t>
      </w:r>
      <w:r w:rsidR="00A57D83">
        <w:t xml:space="preserv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135E70B5" w:rsidR="009E15D3" w:rsidRDefault="00A57D83" w:rsidP="00D7439F">
      <w:pPr>
        <w:spacing w:line="48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 xml:space="preserve">potential methane degraders. </w:t>
      </w:r>
      <w:r w:rsidR="00BA5790">
        <w:rPr>
          <w:rFonts w:cs="Times New Roman"/>
          <w:szCs w:val="24"/>
        </w:rPr>
        <w:t xml:space="preserve">The MAGs of </w:t>
      </w:r>
      <w:proofErr w:type="spellStart"/>
      <w:r w:rsidR="00BA5790">
        <w:rPr>
          <w:rFonts w:cs="Times New Roman"/>
          <w:szCs w:val="24"/>
        </w:rPr>
        <w:t>Methylophilales</w:t>
      </w:r>
      <w:proofErr w:type="spellEnd"/>
      <w:r w:rsidR="00BA5790">
        <w:rPr>
          <w:rFonts w:cs="Times New Roman"/>
          <w:szCs w:val="24"/>
        </w:rPr>
        <w:t xml:space="preserve"> also likely degrade methylamines, based on the presence of genes encoding the N-</w:t>
      </w:r>
      <w:proofErr w:type="spellStart"/>
      <w:r w:rsidR="00BA5790">
        <w:rPr>
          <w:rFonts w:cs="Times New Roman"/>
          <w:szCs w:val="24"/>
        </w:rPr>
        <w:t>methylglutamate</w:t>
      </w:r>
      <w:proofErr w:type="spellEnd"/>
      <w:r w:rsidR="00BA5790">
        <w:rPr>
          <w:rFonts w:cs="Times New Roman"/>
          <w:szCs w:val="24"/>
        </w:rPr>
        <w:t xml:space="preserve"> pathway or the tetrahydrofolate pathway</w:t>
      </w:r>
      <w:r w:rsidR="00CD5DBD">
        <w:rPr>
          <w:rFonts w:cs="Times New Roman"/>
          <w:szCs w:val="24"/>
        </w:rPr>
        <w:t xml:space="preserve"> </w:t>
      </w:r>
      <w:r w:rsidR="00CD5DBD">
        <w:rPr>
          <w:rFonts w:cs="Times New Roman"/>
          <w:szCs w:val="24"/>
        </w:rPr>
        <w:fldChar w:fldCharType="begin" w:fldLock="1"/>
      </w:r>
      <w:r w:rsidR="00CD5DBD">
        <w:rPr>
          <w:rFonts w:cs="Times New Roman"/>
          <w:szCs w:val="24"/>
        </w:rPr>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"(Latypova et al. 2010; Salcher et al. 2015a)", "plainTextFormattedCitation" : "(Latypova et al. 2010; Salcher et al. 2015a)", "previouslyFormattedCitation" : "(Latypova et al. 2010; Salcher et al. 2015a)" }, "properties" : {  }, "schema" : "https://github.com/citation-style-language/schema/raw/master/csl-citation.json" }</w:instrText>
      </w:r>
      <w:r w:rsidR="00CD5DBD">
        <w:rPr>
          <w:rFonts w:cs="Times New Roman"/>
          <w:szCs w:val="24"/>
        </w:rPr>
        <w:fldChar w:fldCharType="separate"/>
      </w:r>
      <w:r w:rsidR="00CD5DBD" w:rsidRPr="00CD5DBD">
        <w:rPr>
          <w:rFonts w:cs="Times New Roman"/>
          <w:noProof/>
          <w:szCs w:val="24"/>
        </w:rPr>
        <w:t>(Latypova et al. 2010; Salcher et al. 2015a)</w:t>
      </w:r>
      <w:r w:rsidR="00CD5DBD">
        <w:rPr>
          <w:rFonts w:cs="Times New Roman"/>
          <w:szCs w:val="24"/>
        </w:rPr>
        <w:fldChar w:fldCharType="end"/>
      </w:r>
      <w:r w:rsidR="00BA5790">
        <w:rPr>
          <w:rFonts w:cs="Times New Roman"/>
          <w:szCs w:val="24"/>
        </w:rPr>
        <w:t xml:space="preserve">. </w:t>
      </w:r>
      <w:r w:rsidR="00206C7B">
        <w:rPr>
          <w:rFonts w:cs="Times New Roman"/>
          <w:szCs w:val="24"/>
        </w:rPr>
        <w:t>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CD5DBD">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2015b)", "plainTextFormattedCitation" : "(Kalyuzhnaya et al. 2012; Salcher et al. 2015b)", "previouslyFormattedCitation" : "(Kalyuzhnaya et al. 2012; Salcher et al. 2015b)" }, "properties" : {  }, "schema" : "https://github.com/citation-style-language/schema/raw/master/csl-citation.json" }</w:instrText>
      </w:r>
      <w:r w:rsidR="007F1A1E">
        <w:rPr>
          <w:rFonts w:cs="Times New Roman"/>
          <w:szCs w:val="24"/>
        </w:rPr>
        <w:fldChar w:fldCharType="separate"/>
      </w:r>
      <w:r w:rsidR="00CD5DBD" w:rsidRPr="00CD5DBD">
        <w:rPr>
          <w:rFonts w:cs="Times New Roman"/>
          <w:noProof/>
          <w:szCs w:val="24"/>
        </w:rPr>
        <w:t>(Kalyuzhnaya et al. 2012; Salcher et al. 2015b)</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w:t>
      </w:r>
      <w:r w:rsidR="007F1A1E">
        <w:rPr>
          <w:rFonts w:cs="Times New Roman"/>
          <w:szCs w:val="24"/>
        </w:rPr>
        <w:lastRenderedPageBreak/>
        <w:t xml:space="preserve">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r w:rsidR="00BA5790">
        <w:rPr>
          <w:rFonts w:cs="Times New Roman"/>
          <w:szCs w:val="24"/>
        </w:rPr>
        <w:t xml:space="preserve"> </w:t>
      </w:r>
    </w:p>
    <w:p w14:paraId="5DE41B50" w14:textId="62BB7BE7" w:rsidR="009E15D3" w:rsidRPr="004A46AC" w:rsidRDefault="00BD76E8" w:rsidP="004A46AC">
      <w:pPr>
        <w:spacing w:line="360" w:lineRule="auto"/>
        <w:rPr>
          <w:rFonts w:cs="Times New Roman"/>
          <w:szCs w:val="24"/>
        </w:rPr>
      </w:pPr>
      <w:r>
        <w:rPr>
          <w:rFonts w:cs="Times New Roman"/>
          <w:noProof/>
          <w:szCs w:val="24"/>
        </w:rPr>
        <w:drawing>
          <wp:anchor distT="0" distB="0" distL="114300" distR="114300" simplePos="0" relativeHeight="251670528" behindDoc="1" locked="0" layoutInCell="1" allowOverlap="1" wp14:anchorId="7667F8C0" wp14:editId="7DDA51BE">
            <wp:simplePos x="0" y="0"/>
            <wp:positionH relativeFrom="margin">
              <wp:posOffset>-266700</wp:posOffset>
            </wp:positionH>
            <wp:positionV relativeFrom="paragraph">
              <wp:posOffset>0</wp:posOffset>
            </wp:positionV>
            <wp:extent cx="6572250" cy="6036310"/>
            <wp:effectExtent l="0" t="0" r="0" b="2540"/>
            <wp:wrapTight wrapText="bothSides">
              <wp:wrapPolygon edited="0">
                <wp:start x="0" y="0"/>
                <wp:lineTo x="0" y="21541"/>
                <wp:lineTo x="21537" y="21541"/>
                <wp:lineTo x="21537" y="0"/>
                <wp:lineTo x="0" y="0"/>
              </wp:wrapPolygon>
            </wp:wrapTight>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7">
                      <a:extLst>
                        <a:ext uri="{28A0092B-C50C-407E-A947-70E740481C1C}">
                          <a14:useLocalDpi xmlns:a14="http://schemas.microsoft.com/office/drawing/2010/main" val="0"/>
                        </a:ext>
                      </a:extLst>
                    </a:blip>
                    <a:stretch>
                      <a:fillRect/>
                    </a:stretch>
                  </pic:blipFill>
                  <pic:spPr>
                    <a:xfrm>
                      <a:off x="0" y="0"/>
                      <a:ext cx="6572250" cy="6036310"/>
                    </a:xfrm>
                    <a:prstGeom prst="rect">
                      <a:avLst/>
                    </a:prstGeom>
                  </pic:spPr>
                </pic:pic>
              </a:graphicData>
            </a:graphic>
            <wp14:sizeRelH relativeFrom="margin">
              <wp14:pctWidth>0</wp14:pctWidth>
            </wp14:sizeRelH>
            <wp14:sizeRelV relativeFrom="margin">
              <wp14:pctHeight>0</wp14:pctHeight>
            </wp14:sizeRelV>
          </wp:anchor>
        </w:drawing>
      </w:r>
      <w:r w:rsidR="009E15D3">
        <w:rPr>
          <w:b/>
        </w:rPr>
        <w:t xml:space="preserve">Fig 2. </w:t>
      </w:r>
      <w:r w:rsidR="004A46AC">
        <w:rPr>
          <w:b/>
        </w:rPr>
        <w:t>Metabolisms</w:t>
      </w:r>
      <w:r w:rsidR="009E15D3">
        <w:rPr>
          <w:b/>
        </w:rPr>
        <w:t xml:space="preserve"> in Lake Mendota vs</w:t>
      </w:r>
      <w:r w:rsidR="004C53C9">
        <w:rPr>
          <w:b/>
        </w:rPr>
        <w:t>.</w:t>
      </w:r>
      <w:r w:rsidR="009E15D3">
        <w:rPr>
          <w:b/>
        </w:rPr>
        <w:t xml:space="preserve"> Trout Bog. </w:t>
      </w:r>
      <w:r w:rsidR="009E15D3">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rsidR="009E15D3">
        <w:t>Rhodopsins</w:t>
      </w:r>
      <w:proofErr w:type="spellEnd"/>
      <w:r w:rsidR="009E15D3">
        <w:t xml:space="preserve"> were most often observed in MAGs of Actinobacteria and Bacteroidetes </w:t>
      </w:r>
      <w:r w:rsidR="009E15D3">
        <w:lastRenderedPageBreak/>
        <w:t>from Lake Mendota.</w:t>
      </w:r>
      <w:r w:rsidR="004A46AC">
        <w:t xml:space="preserve"> Central metabolism showed partitioning by lake and phylum, likely reflecting differences in oxygen concentrations and evolutionary history.</w:t>
      </w:r>
    </w:p>
    <w:p w14:paraId="10AC3197" w14:textId="3B0835C7" w:rsidR="00206C7B" w:rsidRDefault="007F1A1E" w:rsidP="00D7439F">
      <w:pPr>
        <w:pStyle w:val="Heading2"/>
        <w:spacing w:line="480" w:lineRule="auto"/>
      </w:pPr>
      <w:r>
        <w:t>Complex Carbon Degradation</w:t>
      </w:r>
    </w:p>
    <w:p w14:paraId="13D7E72D" w14:textId="7E839691" w:rsidR="00206C7B" w:rsidRDefault="00AA676C" w:rsidP="00D7439F">
      <w:pPr>
        <w:spacing w:line="480" w:lineRule="auto"/>
        <w:rPr>
          <w:rFonts w:cs="Times New Roman"/>
          <w:szCs w:val="24"/>
        </w:rPr>
      </w:pPr>
      <w:r>
        <w:tab/>
        <w:t>Biopolymers in freshwater can be autochthonous (ex. algal polysaccharides) or alloc</w:t>
      </w:r>
      <w:r w:rsidR="00003652">
        <w:t>h</w:t>
      </w:r>
      <w:r>
        <w:t xml:space="preserve">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w:t>
      </w:r>
      <w:r w:rsidR="00003652">
        <w:t xml:space="preserve"> (GHs)</w:t>
      </w:r>
      <w:r w:rsidR="000E1E18">
        <w:t>, enzymes that break</w:t>
      </w:r>
      <w:r w:rsidR="00EF4926">
        <w:t xml:space="preserve">down </w:t>
      </w:r>
      <w:proofErr w:type="spellStart"/>
      <w:r w:rsidR="00EF4926">
        <w:t>glycosidic</w:t>
      </w:r>
      <w:proofErr w:type="spellEnd"/>
      <w:r w:rsidR="000E1E18">
        <w:t xml:space="preserve"> bonds </w:t>
      </w:r>
      <w:r w:rsidR="00EF4926">
        <w:t>in complex</w:t>
      </w:r>
      <w:r w:rsidR="000E1E18">
        <w:t xml:space="preserve">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EF4926">
        <w:rPr>
          <w:rFonts w:cs="Times New Roman"/>
          <w:szCs w:val="24"/>
        </w:rPr>
        <w:t>GHs</w:t>
      </w:r>
      <w:r w:rsidR="000E1E18">
        <w:rPr>
          <w:rFonts w:cs="Times New Roman"/>
          <w:szCs w:val="24"/>
        </w:rPr>
        <w:t xml:space="preserve">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468C465D" w:rsidR="004E0516" w:rsidRPr="000A1F9F" w:rsidRDefault="004E0516" w:rsidP="00D7439F">
      <w:pPr>
        <w:spacing w:line="48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w:t>
      </w:r>
      <w:r w:rsidR="00CB1014">
        <w:lastRenderedPageBreak/>
        <w:t xml:space="preserve">also contain putative degradation pathways </w:t>
      </w:r>
      <w:r w:rsidR="009E15D3">
        <w:t>for a variety of sugars</w:t>
      </w:r>
      <w:r w:rsidR="00EF4926">
        <w:t xml:space="preserve"> (Fig. 2)</w:t>
      </w:r>
      <w:r w:rsidR="00CB1014">
        <w:t xml:space="preserve">. The diversity of </w:t>
      </w:r>
      <w:r w:rsidR="0097677A">
        <w:t>glycoside</w:t>
      </w:r>
      <w:r w:rsidR="00CB1014">
        <w:t xml:space="preserve"> hydrolases, an indicator of the number of substrates an organism can degrade, </w:t>
      </w:r>
      <w:r w:rsidR="001F01FF">
        <w:t xml:space="preserve">was </w:t>
      </w:r>
      <w:r w:rsidR="00CB1014">
        <w:t xml:space="preserve">correlated with </w:t>
      </w:r>
      <w:r w:rsidR="001F01FF">
        <w:t>glycoside hydrolase</w:t>
      </w:r>
      <w:r w:rsidR="00EF4926">
        <w:t xml:space="preserve"> coding </w:t>
      </w:r>
      <w:r w:rsidR="00CB1014">
        <w:t>density</w:t>
      </w:r>
      <w:r w:rsidR="00EF4926">
        <w:t xml:space="preserve"> (r</w:t>
      </w:r>
      <w:r w:rsidR="00EF4926" w:rsidRPr="001F01FF">
        <w:rPr>
          <w:vertAlign w:val="superscript"/>
        </w:rPr>
        <w:t>2</w:t>
      </w:r>
      <w:r w:rsidR="00EF4926">
        <w:t>=</w:t>
      </w:r>
      <w:r w:rsidR="00EF284B">
        <w:t xml:space="preserve"> 0.39, p &lt; 0.0</w:t>
      </w:r>
      <w:r w:rsidR="001F01FF">
        <w:t>1</w:t>
      </w:r>
      <w:r w:rsidR="00EF4926">
        <w:t>)</w:t>
      </w:r>
      <w:r w:rsidR="00CB1014">
        <w:t>.</w:t>
      </w:r>
    </w:p>
    <w:p w14:paraId="13F6DC07" w14:textId="2BBCE83C" w:rsidR="00222B88" w:rsidRDefault="005E24DA" w:rsidP="00D7439F">
      <w:pPr>
        <w:spacing w:line="48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GH74, and GH23.</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w:t>
      </w:r>
      <w:r w:rsidR="00EF4926">
        <w:rPr>
          <w:rFonts w:cs="Times New Roman"/>
          <w:szCs w:val="24"/>
        </w:rPr>
        <w:t xml:space="preserve"> genes</w:t>
      </w:r>
      <w:r w:rsidR="00E71475">
        <w:rPr>
          <w:rFonts w:cs="Times New Roman"/>
          <w:szCs w:val="24"/>
        </w:rPr>
        <w:t xml:space="preserve"> were similar between lakes, the increased diversity of these </w:t>
      </w:r>
      <w:r w:rsidR="00EF4926">
        <w:rPr>
          <w:rFonts w:cs="Times New Roman"/>
          <w:szCs w:val="24"/>
        </w:rPr>
        <w:t>genes</w:t>
      </w:r>
      <w:r w:rsidR="00E71475">
        <w:rPr>
          <w:rFonts w:cs="Times New Roman"/>
          <w:szCs w:val="24"/>
        </w:rPr>
        <w:t xml:space="preserve">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w:t>
      </w:r>
      <w:r w:rsidR="00EF4926">
        <w:rPr>
          <w:rFonts w:cs="Times New Roman"/>
          <w:szCs w:val="24"/>
        </w:rPr>
        <w:t xml:space="preserve"> and therefore differences in the diversity and complexity of their carbon sources</w:t>
      </w:r>
      <w:r w:rsidR="00BA4C1C">
        <w:rPr>
          <w:rFonts w:cs="Times New Roman"/>
          <w:szCs w:val="24"/>
        </w:rPr>
        <w:t xml:space="preserve">. Lake Mendota contained unique </w:t>
      </w:r>
      <w:r w:rsidR="0097677A">
        <w:rPr>
          <w:rFonts w:cs="Times New Roman"/>
          <w:szCs w:val="24"/>
        </w:rPr>
        <w:t>glycoside</w:t>
      </w:r>
      <w:r w:rsidR="00BA4C1C">
        <w:rPr>
          <w:rFonts w:cs="Times New Roman"/>
          <w:szCs w:val="24"/>
        </w:rPr>
        <w:t xml:space="preserve"> hydrolases belonging to the family GH13, which contain 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w:t>
      </w:r>
      <w:r w:rsidR="00E8497A">
        <w:rPr>
          <w:rFonts w:cs="Times New Roman"/>
          <w:szCs w:val="24"/>
        </w:rPr>
        <w:t xml:space="preserve">. The hypolimnion contained many more unique enzymes than Lake Mendota or the epilimnion of Trout Bog, the most abundant of which were GH129 and GH89, GH43_12, GH44, GH66, and GH67. </w:t>
      </w:r>
    </w:p>
    <w:p w14:paraId="130AE7F5" w14:textId="32E70A9C" w:rsidR="00CD786A" w:rsidRDefault="004A78B2" w:rsidP="00D7439F">
      <w:pPr>
        <w:spacing w:line="480" w:lineRule="auto"/>
        <w:jc w:val="both"/>
      </w:pPr>
      <w:r>
        <w:rPr>
          <w:rFonts w:cs="Times New Roman"/>
          <w:szCs w:val="24"/>
        </w:rPr>
        <w:tab/>
        <w:t xml:space="preserve">The increased </w:t>
      </w:r>
      <w:r w:rsidR="00EF4926">
        <w:rPr>
          <w:rFonts w:cs="Times New Roman"/>
          <w:szCs w:val="24"/>
        </w:rPr>
        <w:t xml:space="preserve">coding </w:t>
      </w:r>
      <w:r>
        <w:rPr>
          <w:rFonts w:cs="Times New Roman"/>
          <w:szCs w:val="24"/>
        </w:rPr>
        <w:t xml:space="preserve">density and diversity of </w:t>
      </w:r>
      <w:r w:rsidR="0097677A">
        <w:rPr>
          <w:rFonts w:cs="Times New Roman"/>
          <w:szCs w:val="24"/>
        </w:rPr>
        <w:t>glycoside</w:t>
      </w:r>
      <w:r w:rsidR="0060026A">
        <w:rPr>
          <w:rFonts w:cs="Times New Roman"/>
          <w:szCs w:val="24"/>
        </w:rPr>
        <w:t xml:space="preserve"> hydrolase</w:t>
      </w:r>
      <w:r w:rsidR="00EF4926">
        <w:rPr>
          <w:rFonts w:cs="Times New Roman"/>
          <w:szCs w:val="24"/>
        </w:rPr>
        <w:t xml:space="preserve"> genes</w:t>
      </w:r>
      <w:r w:rsidR="0060026A">
        <w:rPr>
          <w:rFonts w:cs="Times New Roman"/>
          <w:szCs w:val="24"/>
        </w:rPr>
        <w:t xml:space="preserve">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EF4926">
        <w:rPr>
          <w:rFonts w:cs="Times New Roman"/>
          <w:szCs w:val="24"/>
        </w:rPr>
        <w:t>, while terrestrially-derived complex carbon polymers may be a more important source of carbon in the hypolimnion of Trout Bog</w:t>
      </w:r>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5D96EEAF" w:rsidR="004D27D2" w:rsidRPr="003F7145" w:rsidRDefault="001F01FF" w:rsidP="00FE23AB">
      <w:pPr>
        <w:spacing w:line="360" w:lineRule="auto"/>
        <w:jc w:val="both"/>
      </w:pPr>
      <w:r>
        <w:rPr>
          <w:noProof/>
        </w:rPr>
        <w:lastRenderedPageBreak/>
        <w:drawing>
          <wp:anchor distT="0" distB="0" distL="114300" distR="114300" simplePos="0" relativeHeight="251671552" behindDoc="1" locked="0" layoutInCell="1" allowOverlap="1" wp14:anchorId="024FA2BE" wp14:editId="05E53FDB">
            <wp:simplePos x="0" y="0"/>
            <wp:positionH relativeFrom="column">
              <wp:posOffset>0</wp:posOffset>
            </wp:positionH>
            <wp:positionV relativeFrom="paragraph">
              <wp:posOffset>4445</wp:posOffset>
            </wp:positionV>
            <wp:extent cx="3338222" cy="4219575"/>
            <wp:effectExtent l="0" t="0" r="0" b="0"/>
            <wp:wrapTight wrapText="bothSides">
              <wp:wrapPolygon edited="0">
                <wp:start x="0" y="0"/>
                <wp:lineTo x="0" y="21454"/>
                <wp:lineTo x="21448" y="21454"/>
                <wp:lineTo x="21448"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8">
                      <a:extLst>
                        <a:ext uri="{28A0092B-C50C-407E-A947-70E740481C1C}">
                          <a14:useLocalDpi xmlns:a14="http://schemas.microsoft.com/office/drawing/2010/main" val="0"/>
                        </a:ext>
                      </a:extLst>
                    </a:blip>
                    <a:stretch>
                      <a:fillRect/>
                    </a:stretch>
                  </pic:blipFill>
                  <pic:spPr>
                    <a:xfrm>
                      <a:off x="0" y="0"/>
                      <a:ext cx="3338222" cy="4219575"/>
                    </a:xfrm>
                    <a:prstGeom prst="rect">
                      <a:avLst/>
                    </a:prstGeom>
                  </pic:spPr>
                </pic:pic>
              </a:graphicData>
            </a:graphic>
          </wp:anchor>
        </w:drawing>
      </w:r>
    </w:p>
    <w:p w14:paraId="68BDF094" w14:textId="1CB9278D" w:rsidR="00FE23AB" w:rsidRDefault="00FE23AB" w:rsidP="00FE23AB">
      <w:pPr>
        <w:spacing w:line="360" w:lineRule="auto"/>
        <w:jc w:val="both"/>
      </w:pPr>
      <w:r>
        <w:rPr>
          <w:b/>
        </w:rPr>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t>
      </w:r>
      <w:r w:rsidR="001F01FF">
        <w:t xml:space="preserve">Glycoside hydrolase coding density was </w:t>
      </w:r>
      <w:proofErr w:type="spellStart"/>
      <w:r w:rsidR="001F01FF">
        <w:t>calcuclated</w:t>
      </w:r>
      <w:proofErr w:type="spellEnd"/>
      <w:r w:rsidR="001F01FF">
        <w:t xml:space="preserve"> for each MAG and averaged by order and lake. </w:t>
      </w:r>
      <w:r>
        <w:t xml:space="preserve">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w:t>
      </w:r>
      <w:r w:rsidR="001F01FF">
        <w:t xml:space="preserve">was significantly </w:t>
      </w:r>
      <w:r>
        <w:t>correlated with density.</w:t>
      </w:r>
    </w:p>
    <w:p w14:paraId="062F1D13" w14:textId="77777777" w:rsidR="001F01FF" w:rsidRPr="00FE23AB" w:rsidRDefault="001F01FF" w:rsidP="00FE23AB">
      <w:pPr>
        <w:spacing w:line="360" w:lineRule="auto"/>
        <w:jc w:val="both"/>
      </w:pPr>
    </w:p>
    <w:p w14:paraId="14A80647" w14:textId="56EF43EC" w:rsidR="00F26AFE" w:rsidRPr="00F26AFE" w:rsidRDefault="00C64D38" w:rsidP="004A6010">
      <w:pPr>
        <w:pStyle w:val="Heading2"/>
        <w:spacing w:line="360" w:lineRule="auto"/>
      </w:pPr>
      <w:r>
        <w:t>Nitrogen Cycling</w:t>
      </w:r>
    </w:p>
    <w:p w14:paraId="6710C150" w14:textId="0791EC02" w:rsidR="00D71A65" w:rsidRDefault="00A874F2" w:rsidP="00D11FC2">
      <w:pPr>
        <w:spacing w:line="360" w:lineRule="auto"/>
        <w:ind w:firstLine="720"/>
        <w:jc w:val="both"/>
        <w:rPr>
          <w:rFonts w:cs="Times New Roman"/>
          <w:szCs w:val="24"/>
        </w:rPr>
      </w:pPr>
      <w:r>
        <w:rPr>
          <w:rFonts w:cs="Times New Roman"/>
          <w:szCs w:val="24"/>
        </w:rPr>
        <w:t xml:space="preserve">Nitrogen availability is an important factor structuring freshwater bacterial communities. </w:t>
      </w:r>
      <w:r w:rsidR="004C53C9">
        <w:rPr>
          <w:rFonts w:cs="Times New Roman"/>
          <w:szCs w:val="24"/>
        </w:rPr>
        <w:t>The nitrogen</w:t>
      </w:r>
      <w:r>
        <w:rPr>
          <w:rFonts w:cs="Times New Roman"/>
          <w:szCs w:val="24"/>
        </w:rPr>
        <w:t xml:space="preserve"> present </w:t>
      </w:r>
      <w:r w:rsidR="002F0582">
        <w:rPr>
          <w:rFonts w:cs="Times New Roman"/>
          <w:szCs w:val="24"/>
        </w:rPr>
        <w:t xml:space="preserve">in </w:t>
      </w:r>
      <w:proofErr w:type="spellStart"/>
      <w:r w:rsidR="002F0582">
        <w:rPr>
          <w:rFonts w:cs="Times New Roman"/>
          <w:szCs w:val="24"/>
        </w:rPr>
        <w:t>humic</w:t>
      </w:r>
      <w:proofErr w:type="spellEnd"/>
      <w:r w:rsidR="002F0582">
        <w:rPr>
          <w:rFonts w:cs="Times New Roman"/>
          <w:szCs w:val="24"/>
        </w:rPr>
        <w:t xml:space="preserve"> lakes</w:t>
      </w:r>
      <w:r w:rsidR="004C53C9">
        <w:rPr>
          <w:rFonts w:cs="Times New Roman"/>
          <w:szCs w:val="24"/>
        </w:rPr>
        <w:t xml:space="preserve"> such as Trout Bog</w:t>
      </w:r>
      <w:r w:rsidR="002F0582">
        <w:rPr>
          <w:rFonts w:cs="Times New Roman"/>
          <w:szCs w:val="24"/>
        </w:rPr>
        <w:t xml:space="preserve"> </w:t>
      </w:r>
      <w:r>
        <w:rPr>
          <w:rFonts w:cs="Times New Roman"/>
          <w:szCs w:val="24"/>
        </w:rPr>
        <w:t>is often bound in complex carbon compounds</w:t>
      </w:r>
      <w:r w:rsidR="004C53C9">
        <w:rPr>
          <w:rFonts w:cs="Times New Roman"/>
          <w:szCs w:val="24"/>
        </w:rPr>
        <w:t>, while</w:t>
      </w:r>
      <w:r>
        <w:rPr>
          <w:rFonts w:cs="Times New Roman"/>
          <w:szCs w:val="24"/>
        </w:rPr>
        <w:t xml:space="preserve">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w:t>
      </w:r>
      <w:r w:rsidR="004C53C9">
        <w:rPr>
          <w:rFonts w:cs="Times New Roman"/>
          <w:szCs w:val="24"/>
        </w:rPr>
        <w:t>.</w:t>
      </w:r>
      <w:r>
        <w:rPr>
          <w:rFonts w:cs="Times New Roman"/>
          <w:szCs w:val="24"/>
        </w:rPr>
        <w:t xml:space="preserve"> Lake Mendota.</w:t>
      </w:r>
    </w:p>
    <w:p w14:paraId="12D08766" w14:textId="49FC5BE9"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GC content and estimated genome size, other potential indicators of nitrogen limitation</w:t>
      </w:r>
      <w:r w:rsidR="003D5A73">
        <w:rPr>
          <w:rFonts w:cs="Times New Roman"/>
          <w:szCs w:val="24"/>
        </w:rPr>
        <w:t xml:space="preserve"> often </w:t>
      </w:r>
      <w:r w:rsidR="003D5A73">
        <w:rPr>
          <w:rFonts w:cs="Times New Roman"/>
          <w:szCs w:val="24"/>
        </w:rPr>
        <w:lastRenderedPageBreak/>
        <w:t>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0B62E182" w:rsidR="00ED6B89" w:rsidRDefault="00DD2E1C" w:rsidP="00ED6B89">
      <w:pPr>
        <w:spacing w:line="360" w:lineRule="auto"/>
        <w:ind w:firstLine="720"/>
        <w:jc w:val="both"/>
        <w:rPr>
          <w:rFonts w:cs="Times New Roman"/>
          <w:szCs w:val="24"/>
        </w:rPr>
      </w:pPr>
      <w:r>
        <w:rPr>
          <w:rFonts w:cs="Times New Roman"/>
          <w:szCs w:val="24"/>
        </w:rPr>
        <w:t>Putative pathways related to nitrogen metabolism appeared at similar frequencies from MAGs in both lakes. Dissimilatory and assimilatory nitrate reduction appear to be present in similar numbers of genomes, and denitrification appear</w:t>
      </w:r>
      <w:r w:rsidR="002F0582">
        <w:rPr>
          <w:rFonts w:cs="Times New Roman"/>
          <w:szCs w:val="24"/>
        </w:rPr>
        <w:t>ed</w:t>
      </w:r>
      <w:r>
        <w:rPr>
          <w:rFonts w:cs="Times New Roman"/>
          <w:szCs w:val="24"/>
        </w:rPr>
        <w:t xml:space="preserve">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r w:rsidR="007879EE">
        <w:rPr>
          <w:rFonts w:cs="Times New Roman"/>
          <w:szCs w:val="24"/>
        </w:rPr>
        <w:t>Genes encoding the biosynthesis and degradation of polyamines such as spermidine and putrescine, potentially important compounds in the freshwater dissolved organic nitrogen pool, were prevalent in MAGs from both lakes.</w:t>
      </w:r>
    </w:p>
    <w:p w14:paraId="0D057C22" w14:textId="7709BACE"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ota as well. However, taxonomy revealed differences between the two ecosystems. In Lake Mendota, nitrogen fixation appears restricted to Cyanobacteria</w:t>
      </w:r>
      <w:r w:rsidR="00FA426B">
        <w:rPr>
          <w:rFonts w:cs="Times New Roman"/>
          <w:szCs w:val="24"/>
        </w:rPr>
        <w:t xml:space="preserve">, </w:t>
      </w:r>
      <w:r w:rsidR="00ED6B89">
        <w:rPr>
          <w:rFonts w:cs="Times New Roman"/>
          <w:szCs w:val="24"/>
        </w:rPr>
        <w:t>Betaproteobacteria</w:t>
      </w:r>
      <w:r w:rsidR="00FA426B">
        <w:rPr>
          <w:rFonts w:cs="Times New Roman"/>
          <w:szCs w:val="24"/>
        </w:rPr>
        <w:t xml:space="preserve">, and </w:t>
      </w:r>
      <w:proofErr w:type="spellStart"/>
      <w:r w:rsidR="00FA426B">
        <w:rPr>
          <w:rFonts w:cs="Times New Roman"/>
          <w:szCs w:val="24"/>
        </w:rPr>
        <w:t>Gammaproteobacteria</w:t>
      </w:r>
      <w:proofErr w:type="spellEnd"/>
      <w:r w:rsidR="00ED6B89">
        <w:rPr>
          <w:rFonts w:cs="Times New Roman"/>
          <w:szCs w:val="24"/>
        </w:rPr>
        <w:t xml:space="preserve">. </w:t>
      </w:r>
      <w:r w:rsidR="00D71A65">
        <w:rPr>
          <w:rFonts w:cs="Times New Roman"/>
          <w:szCs w:val="24"/>
        </w:rPr>
        <w:t xml:space="preserve">This may be a factor in the documented links between cyanobacterial 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A26E1A">
        <w:rPr>
          <w:rFonts w:cs="Times New Roman"/>
          <w:szCs w:val="24"/>
        </w:rPr>
        <w:t>Acidobacteria</w:t>
      </w:r>
      <w:proofErr w:type="spellEnd"/>
      <w:r w:rsidR="00A26E1A">
        <w:rPr>
          <w:rFonts w:cs="Times New Roman"/>
          <w:szCs w:val="24"/>
        </w:rPr>
        <w:t xml:space="preserve">,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r w:rsidR="002F0582">
        <w:rPr>
          <w:rFonts w:cs="Times New Roman"/>
          <w:szCs w:val="24"/>
        </w:rPr>
        <w:t xml:space="preserve"> (Fig 2, Fig 4C)</w:t>
      </w:r>
      <w:r w:rsidR="00ED6B89">
        <w:rPr>
          <w:rFonts w:cs="Times New Roman"/>
          <w:szCs w:val="24"/>
        </w:rPr>
        <w:t>.</w:t>
      </w:r>
      <w:r w:rsidR="002F0582">
        <w:rPr>
          <w:rFonts w:cs="Times New Roman"/>
          <w:szCs w:val="24"/>
        </w:rPr>
        <w:t xml:space="preserve"> This result may also suggest adaptation to nitrogen limitation, as this trait is maintained more frequently in populations from Trout Bog.</w:t>
      </w:r>
      <w:r w:rsidR="0078604B">
        <w:rPr>
          <w:rFonts w:cs="Times New Roman"/>
          <w:szCs w:val="24"/>
        </w:rPr>
        <w:t xml:space="preserve"> Interestingly, </w:t>
      </w:r>
      <w:r w:rsidR="001E58CA">
        <w:rPr>
          <w:rFonts w:cs="Times New Roman"/>
          <w:szCs w:val="24"/>
        </w:rPr>
        <w:t xml:space="preserve">two MAGs of </w:t>
      </w:r>
      <w:proofErr w:type="spellStart"/>
      <w:r w:rsidR="001E58CA">
        <w:rPr>
          <w:rFonts w:cs="Times New Roman"/>
          <w:szCs w:val="24"/>
        </w:rPr>
        <w:t>Chlorobiales</w:t>
      </w:r>
      <w:proofErr w:type="spellEnd"/>
      <w:r w:rsidR="001E58CA">
        <w:rPr>
          <w:rFonts w:cs="Times New Roman"/>
          <w:szCs w:val="24"/>
        </w:rPr>
        <w:t xml:space="preserve"> (potentially from the same population based on ANI) contained genes encoding Fe-only nitrogenase in addition to Mo nitrogenase. Methane production has been observed as an inherent property of the Fe-only nitrogenases </w:t>
      </w:r>
      <w:r w:rsidR="001E58CA">
        <w:rPr>
          <w:rFonts w:cs="Times New Roman"/>
          <w:szCs w:val="24"/>
        </w:rPr>
        <w:fldChar w:fldCharType="begin" w:fldLock="1"/>
      </w:r>
      <w:r w:rsidR="001E58CA">
        <w:rPr>
          <w:rFonts w:cs="Times New Roman"/>
          <w:szCs w:val="24"/>
        </w:rPr>
        <w:instrText>ADDIN CSL_CITATION { "citationItems" : [ { "id" : "ITEM-1", "itemData" : { "DOI" : "10.1038/s41564-017-0091-5", "ISSN" : "2058-5276", "abstract" : "Methane (CH4) is a potent greenhouse gas that is released from fossil fuels and is also produced by microbial activity, with at least one billion tonnes of CH4 being formed and consumed by microorganisms in a single year\n                1\n              . Complex methanogenesis pathways used by archaea are the main route for bioconversion of carbon dioxide (CO2) to CH4 in nature2\u20134. Here, we report that wild-type iron-iron (Fe-only) nitrogenase from the bacterium Rhodopseudomonas palustris reduces CO2 simultaneously with nitrogen gas (N2) and protons to yield CH4, ammonia (NH3) and hydrogen gas (H2) in a single enzymatic step. The amount of CH4 produced by purified Fe-only nitrogenase was low compared to its other products, but CH4 production by this enzyme in R. palustris was sufficient to support the growth of an obligate CH4-utilizing Methylomonas strain when the two microorganisms were grown in co-culture, with oxygen (O2) added at intervals. Other nitrogen-fixing bacteria that we tested also formed CH4 when expressing Fe-only nitrogenase, suggesting that this is a general property of this enzyme. The genomes of 9% of diverse nitrogen-fixing microorganisms from a range of environments encode Fe-only nitrogenase. Our data suggest that active Fe-only nitrogenase, present in diverse microorganisms, contributes CH4 that could shape microbial community interactions.", "author" : [ { "dropping-particle" : "", "family" : "Zheng", "given" : "Yanning", "non-dropping-particle" : "", "parse-names" : false, "suffix" : "" }, { "dropping-particle" : "", "family" : "Harris", "given" : "Derek F.", "non-dropping-particle" : "", "parse-names" : false, "suffix" : "" }, { "dropping-particle" : "", "family" : "Yu", "given" : "Zheng", "non-dropping-particle" : "", "parse-names" : false, "suffix" : "" }, { "dropping-particle" : "", "family" : "Fu", "given" : "Yanfen", "non-dropping-particle" : "", "parse-names" : false, "suffix" : "" }, { "dropping-particle" : "", "family" : "Poudel", "given" : "Saroj", "non-dropping-particle" : "", "parse-names" : false, "suffix" : "" }, { "dropping-particle" : "", "family" : "Ledbetter", "given" : "Rhesa N.", "non-dropping-particle" : "", "parse-names" : false, "suffix" : "" }, { "dropping-particle" : "", "family" : "Fixen", "given" : "Kathryn R.", "non-dropping-particle" : "", "parse-names" : false, "suffix" : "" }, { "dropping-particle" : "", "family" : "Yang", "given" : "Zhi-Yong", "non-dropping-particle" : "", "parse-names" : false, "suffix" : "" }, { "dropping-particle" : "", "family" : "Boyd", "given" : "Eric S.", "non-dropping-particle" : "", "parse-names" : false, "suffix" : "" }, { "dropping-particle" : "", "family" : "Lidstrom", "given" : "Mary E.", "non-dropping-particle" : "", "parse-names" : false, "suffix" : "" }, { "dropping-particle" : "", "family" : "Seefeldt", "given" : "Lance C.", "non-dropping-particle" : "", "parse-names" : false, "suffix" : "" }, { "dropping-particle" : "", "family" : "Harwood", "given" : "Caroline S.", "non-dropping-particle" : "", "parse-names" : false, "suffix" : "" } ], "container-title" : "Nature Microbiology", "id" : "ITEM-1", "issued" : { "date-parts" : [ [ "2018" ] ] }, "publisher" : "Springer US", "title" : "A pathway for biological methane production using bacterial iron-only nitrogenase", "type" : "article-journal", "volume" : "4" }, "uris" : [ "http://www.mendeley.com/documents/?uuid=28eb9c56-8569-433c-90a8-b3e2e3d5396d" ] } ], "mendeley" : { "formattedCitation" : "(Zheng et al. 2018)", "plainTextFormattedCitation" : "(Zheng et al. 2018)", "previouslyFormattedCitation" : "(Zheng et al. 2018)" }, "properties" : {  }, "schema" : "https://github.com/citation-style-language/schema/raw/master/csl-citation.json" }</w:instrText>
      </w:r>
      <w:r w:rsidR="001E58CA">
        <w:rPr>
          <w:rFonts w:cs="Times New Roman"/>
          <w:szCs w:val="24"/>
        </w:rPr>
        <w:fldChar w:fldCharType="separate"/>
      </w:r>
      <w:r w:rsidR="001E58CA" w:rsidRPr="001E58CA">
        <w:rPr>
          <w:rFonts w:cs="Times New Roman"/>
          <w:noProof/>
          <w:szCs w:val="24"/>
        </w:rPr>
        <w:t>(Zheng et al. 2018)</w:t>
      </w:r>
      <w:r w:rsidR="001E58CA">
        <w:rPr>
          <w:rFonts w:cs="Times New Roman"/>
          <w:szCs w:val="24"/>
        </w:rPr>
        <w:fldChar w:fldCharType="end"/>
      </w:r>
      <w:r w:rsidR="001E58CA">
        <w:rPr>
          <w:rFonts w:cs="Times New Roman"/>
          <w:szCs w:val="24"/>
        </w:rPr>
        <w:t xml:space="preserve">, suggesting that </w:t>
      </w:r>
      <w:proofErr w:type="spellStart"/>
      <w:r w:rsidR="001E58CA">
        <w:rPr>
          <w:rFonts w:cs="Times New Roman"/>
          <w:szCs w:val="24"/>
        </w:rPr>
        <w:t>Chlorobiales</w:t>
      </w:r>
      <w:proofErr w:type="spellEnd"/>
      <w:r w:rsidR="001E58CA">
        <w:rPr>
          <w:rFonts w:cs="Times New Roman"/>
          <w:szCs w:val="24"/>
        </w:rPr>
        <w:t xml:space="preserve"> may be an additional source of methane in Trout Bog.</w:t>
      </w:r>
    </w:p>
    <w:p w14:paraId="48E4B719" w14:textId="36D71F68" w:rsidR="00632A77" w:rsidRDefault="00632A77" w:rsidP="00D11FC2">
      <w:pPr>
        <w:spacing w:line="360" w:lineRule="auto"/>
        <w:ind w:firstLine="720"/>
        <w:jc w:val="both"/>
        <w:rPr>
          <w:rFonts w:cs="Times New Roman"/>
          <w:szCs w:val="24"/>
        </w:rPr>
      </w:pPr>
      <w:r>
        <w:rPr>
          <w:rFonts w:cs="Times New Roman"/>
          <w:szCs w:val="24"/>
        </w:rPr>
        <w:t>Genes potentially encoding the biosynthesis, degradation, and transport of the polyamines and non-proteinogenic amino acids</w:t>
      </w:r>
      <w:r w:rsidR="002F0582">
        <w:rPr>
          <w:rFonts w:cs="Times New Roman"/>
          <w:szCs w:val="24"/>
        </w:rPr>
        <w:t xml:space="preserve"> such as</w:t>
      </w:r>
      <w:r>
        <w:rPr>
          <w:rFonts w:cs="Times New Roman"/>
          <w:szCs w:val="24"/>
        </w:rPr>
        <w:t xml:space="preserve"> putrescine, spermidine, and canavanine were widespread in both lakes. </w:t>
      </w:r>
      <w:r w:rsidR="00096680">
        <w:rPr>
          <w:rFonts w:cs="Times New Roman"/>
          <w:szCs w:val="24"/>
        </w:rPr>
        <w:t xml:space="preserve">While </w:t>
      </w:r>
      <w:r w:rsidR="00C34AE3">
        <w:rPr>
          <w:rFonts w:cs="Times New Roman"/>
          <w:szCs w:val="24"/>
        </w:rPr>
        <w:t xml:space="preserve">there is some evidence for the importance of polyamines in aquatic </w:t>
      </w:r>
      <w:r w:rsidR="00C34AE3">
        <w:rPr>
          <w:rFonts w:cs="Times New Roman"/>
          <w:szCs w:val="24"/>
        </w:rPr>
        <w:lastRenderedPageBreak/>
        <w:t>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1748B04F"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r w:rsidR="002F0582">
        <w:rPr>
          <w:rFonts w:cs="Times New Roman"/>
          <w:szCs w:val="24"/>
        </w:rPr>
        <w:t xml:space="preserve">While Lake Mendota, as a eutrophic lake, is generally considered to have an excess of nitrogen, nitrogen can temporarily become limiting during periods of high biomass </w:t>
      </w:r>
      <w:r w:rsidR="002F0582">
        <w:rPr>
          <w:rFonts w:cs="Times New Roman"/>
          <w:szCs w:val="24"/>
        </w:rPr>
        <w:fldChar w:fldCharType="begin" w:fldLock="1"/>
      </w:r>
      <w:r w:rsidR="002F0582">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2F0582">
        <w:rPr>
          <w:rFonts w:cs="Times New Roman"/>
          <w:szCs w:val="24"/>
        </w:rPr>
        <w:fldChar w:fldCharType="separate"/>
      </w:r>
      <w:r w:rsidR="002F0582" w:rsidRPr="002F0582">
        <w:rPr>
          <w:rFonts w:cs="Times New Roman"/>
          <w:noProof/>
          <w:szCs w:val="24"/>
        </w:rPr>
        <w:t>(Beversdorf, Miller, and McMahon 2013)</w:t>
      </w:r>
      <w:r w:rsidR="002F0582">
        <w:rPr>
          <w:rFonts w:cs="Times New Roman"/>
          <w:szCs w:val="24"/>
        </w:rPr>
        <w:fldChar w:fldCharType="end"/>
      </w:r>
      <w:r w:rsidR="002F0582">
        <w:rPr>
          <w:rFonts w:cs="Times New Roman"/>
          <w:szCs w:val="24"/>
        </w:rPr>
        <w:t>. This may explain why</w:t>
      </w:r>
      <w:r w:rsidR="007879EE">
        <w:rPr>
          <w:rFonts w:cs="Times New Roman"/>
          <w:szCs w:val="24"/>
        </w:rPr>
        <w:t xml:space="preserve"> populations </w:t>
      </w:r>
      <w:r w:rsidR="00A26E1A">
        <w:rPr>
          <w:rFonts w:cs="Times New Roman"/>
          <w:szCs w:val="24"/>
        </w:rPr>
        <w:t xml:space="preserve">of Cyanobacteria </w:t>
      </w:r>
      <w:r w:rsidR="007879EE">
        <w:rPr>
          <w:rFonts w:cs="Times New Roman"/>
          <w:szCs w:val="24"/>
        </w:rPr>
        <w:t xml:space="preserve">in Lake Mendota </w:t>
      </w:r>
      <w:proofErr w:type="gramStart"/>
      <w:r w:rsidR="007879EE">
        <w:rPr>
          <w:rFonts w:cs="Times New Roman"/>
          <w:szCs w:val="24"/>
        </w:rPr>
        <w:t>have the ability to</w:t>
      </w:r>
      <w:proofErr w:type="gramEnd"/>
      <w:r w:rsidR="007879EE">
        <w:rPr>
          <w:rFonts w:cs="Times New Roman"/>
          <w:szCs w:val="24"/>
        </w:rPr>
        <w:t xml:space="preserve"> fix nitrogen.</w:t>
      </w:r>
    </w:p>
    <w:p w14:paraId="2677C985" w14:textId="00A6C48C" w:rsidR="00F26AFE" w:rsidRPr="00FE23AB" w:rsidRDefault="006263CE" w:rsidP="00FE23AB">
      <w:pPr>
        <w:spacing w:line="360" w:lineRule="auto"/>
        <w:jc w:val="both"/>
        <w:rPr>
          <w:rFonts w:cs="Times New Roman"/>
          <w:szCs w:val="24"/>
        </w:rPr>
      </w:pPr>
      <w:r>
        <w:rPr>
          <w:rFonts w:cs="Times New Roman"/>
          <w:noProof/>
          <w:szCs w:val="24"/>
        </w:rPr>
        <w:lastRenderedPageBreak/>
        <w:drawing>
          <wp:inline distT="0" distB="0" distL="0" distR="0" wp14:anchorId="18CED12E" wp14:editId="2C530A95">
            <wp:extent cx="5943600" cy="5930900"/>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14:paraId="1373DC2C" w14:textId="73589DD3"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nitrogen (A) and sulfur </w:t>
      </w:r>
      <w:r w:rsidR="006263CE">
        <w:t>pathways</w:t>
      </w:r>
      <w:r w:rsidR="00105E49">
        <w:t xml:space="preserve"> are relatively similar between lakes. </w:t>
      </w:r>
      <w:r w:rsidR="007879EE">
        <w:t>N</w:t>
      </w:r>
      <w:r w:rsidR="00105E49">
        <w:t>itrogen fixation (</w:t>
      </w:r>
      <w:r w:rsidR="006263CE">
        <w:t>B</w:t>
      </w:r>
      <w:r w:rsidR="00105E49">
        <w:t xml:space="preserve">) </w:t>
      </w:r>
      <w:r w:rsidR="006263CE">
        <w:t>wa</w:t>
      </w:r>
      <w:r w:rsidR="00105E49">
        <w:t xml:space="preserve">s restricted to Cyanobacteria and </w:t>
      </w:r>
      <w:r w:rsidR="00A26E1A">
        <w:t>P</w:t>
      </w:r>
      <w:r w:rsidR="00105E49">
        <w:t xml:space="preserve">roteobacteria in Lake </w:t>
      </w:r>
      <w:proofErr w:type="gramStart"/>
      <w:r w:rsidR="00105E49">
        <w:t>Mendota,</w:t>
      </w:r>
      <w:r w:rsidR="00A26E1A">
        <w:t xml:space="preserve"> </w:t>
      </w:r>
      <w:r w:rsidR="00105E49">
        <w:t>but</w:t>
      </w:r>
      <w:proofErr w:type="gramEnd"/>
      <w:r w:rsidR="00105E49">
        <w:t xml:space="preserve"> </w:t>
      </w:r>
      <w:r w:rsidR="006263CE">
        <w:t>wa</w:t>
      </w:r>
      <w:r w:rsidR="00105E49">
        <w:t>s more phylogenetically diverse in Trout Bog.</w:t>
      </w:r>
      <w:r w:rsidR="00A26E1A">
        <w:t xml:space="preserve"> The tree was constructed with </w:t>
      </w:r>
      <w:proofErr w:type="spellStart"/>
      <w:r w:rsidR="00A26E1A">
        <w:t>FastTree</w:t>
      </w:r>
      <w:proofErr w:type="spellEnd"/>
      <w:r w:rsidR="00A26E1A">
        <w:t xml:space="preserve"> using whole genome alignments and is intended to show similarity between MAGs, not to imply evolutionary history.</w:t>
      </w:r>
    </w:p>
    <w:p w14:paraId="5ED24505" w14:textId="4BACD09A" w:rsidR="00D00FD2" w:rsidRDefault="00D00FD2" w:rsidP="004A6010">
      <w:pPr>
        <w:spacing w:line="360" w:lineRule="auto"/>
        <w:jc w:val="both"/>
        <w:rPr>
          <w:rFonts w:cs="Times New Roman"/>
          <w:b/>
          <w:szCs w:val="24"/>
        </w:rPr>
      </w:pPr>
    </w:p>
    <w:p w14:paraId="3FCB7372" w14:textId="77CBDBA7" w:rsidR="008F651D" w:rsidRDefault="008F651D" w:rsidP="004A6010">
      <w:pPr>
        <w:spacing w:line="360" w:lineRule="auto"/>
        <w:jc w:val="both"/>
        <w:rPr>
          <w:rFonts w:cs="Times New Roman"/>
          <w:b/>
          <w:szCs w:val="24"/>
        </w:rPr>
      </w:pPr>
    </w:p>
    <w:tbl>
      <w:tblPr>
        <w:tblStyle w:val="GridTable2"/>
        <w:tblW w:w="0" w:type="auto"/>
        <w:tblLook w:val="04A0" w:firstRow="1" w:lastRow="0" w:firstColumn="1" w:lastColumn="0" w:noHBand="0" w:noVBand="1"/>
      </w:tblPr>
      <w:tblGrid>
        <w:gridCol w:w="2040"/>
        <w:gridCol w:w="2082"/>
        <w:gridCol w:w="1623"/>
        <w:gridCol w:w="1751"/>
        <w:gridCol w:w="1864"/>
      </w:tblGrid>
      <w:tr w:rsidR="00436542" w14:paraId="43119C24" w14:textId="77777777" w:rsidTr="00436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4CF1F9" w14:textId="1353BF87" w:rsidR="00436542" w:rsidRDefault="001162B5" w:rsidP="003B06F5">
            <w:pPr>
              <w:jc w:val="both"/>
              <w:rPr>
                <w:rFonts w:cs="Times New Roman"/>
                <w:b w:val="0"/>
                <w:szCs w:val="24"/>
              </w:rPr>
            </w:pPr>
            <w:r>
              <w:rPr>
                <w:rFonts w:cs="Times New Roman"/>
                <w:b w:val="0"/>
                <w:szCs w:val="24"/>
              </w:rPr>
              <w:lastRenderedPageBreak/>
              <w:t>Process</w:t>
            </w:r>
          </w:p>
        </w:tc>
        <w:tc>
          <w:tcPr>
            <w:tcW w:w="1445" w:type="dxa"/>
          </w:tcPr>
          <w:p w14:paraId="27C1D517" w14:textId="7E2B23FC" w:rsidR="00436542" w:rsidRDefault="0044567C"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Marker Gene</w:t>
            </w:r>
          </w:p>
        </w:tc>
        <w:tc>
          <w:tcPr>
            <w:tcW w:w="1803" w:type="dxa"/>
          </w:tcPr>
          <w:p w14:paraId="77EBC1B5" w14:textId="53C0D540"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Lake Mendota</w:t>
            </w:r>
          </w:p>
        </w:tc>
        <w:tc>
          <w:tcPr>
            <w:tcW w:w="1899" w:type="dxa"/>
          </w:tcPr>
          <w:p w14:paraId="2A733E4E" w14:textId="3C4D3039"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Epilimnion</w:t>
            </w:r>
          </w:p>
        </w:tc>
        <w:tc>
          <w:tcPr>
            <w:tcW w:w="1983" w:type="dxa"/>
          </w:tcPr>
          <w:p w14:paraId="222A126D" w14:textId="422000FA"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Hypolimnion</w:t>
            </w:r>
          </w:p>
        </w:tc>
      </w:tr>
      <w:tr w:rsidR="00CE5FF6" w14:paraId="33C605FC"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4C5B744" w14:textId="217FA99E" w:rsidR="00CE5FF6" w:rsidRDefault="001162B5" w:rsidP="00801431">
            <w:pPr>
              <w:jc w:val="center"/>
              <w:rPr>
                <w:rFonts w:cs="Times New Roman"/>
                <w:b w:val="0"/>
                <w:szCs w:val="24"/>
              </w:rPr>
            </w:pPr>
            <w:r>
              <w:rPr>
                <w:rFonts w:cs="Times New Roman"/>
                <w:b w:val="0"/>
                <w:szCs w:val="24"/>
              </w:rPr>
              <w:t>Sulfide oxidation</w:t>
            </w:r>
          </w:p>
        </w:tc>
        <w:tc>
          <w:tcPr>
            <w:tcW w:w="1445" w:type="dxa"/>
          </w:tcPr>
          <w:p w14:paraId="4014841E" w14:textId="199A5B65" w:rsidR="00CE5FF6" w:rsidRPr="00EA289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Sulfide:quinone</w:t>
            </w:r>
            <w:proofErr w:type="spellEnd"/>
            <w:r>
              <w:rPr>
                <w:rFonts w:cs="Times New Roman"/>
                <w:szCs w:val="24"/>
              </w:rPr>
              <w:t xml:space="preserve"> </w:t>
            </w:r>
            <w:r w:rsidR="007836BC">
              <w:rPr>
                <w:rFonts w:cs="Times New Roman"/>
                <w:szCs w:val="24"/>
              </w:rPr>
              <w:t>oxido</w:t>
            </w:r>
            <w:r>
              <w:rPr>
                <w:rFonts w:cs="Times New Roman"/>
                <w:szCs w:val="24"/>
              </w:rPr>
              <w:t>reductase</w:t>
            </w:r>
          </w:p>
        </w:tc>
        <w:tc>
          <w:tcPr>
            <w:tcW w:w="1803" w:type="dxa"/>
          </w:tcPr>
          <w:p w14:paraId="6E1D599F" w14:textId="5F01E0F2"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w:t>
            </w:r>
          </w:p>
        </w:tc>
        <w:tc>
          <w:tcPr>
            <w:tcW w:w="1899" w:type="dxa"/>
          </w:tcPr>
          <w:p w14:paraId="77042A16" w14:textId="51A0527F"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31%</w:t>
            </w:r>
          </w:p>
        </w:tc>
        <w:tc>
          <w:tcPr>
            <w:tcW w:w="1983" w:type="dxa"/>
          </w:tcPr>
          <w:p w14:paraId="75CF7B9C" w14:textId="76E2BE44"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w:t>
            </w:r>
          </w:p>
        </w:tc>
      </w:tr>
      <w:tr w:rsidR="001162B5" w14:paraId="5EE2B146"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59FE1EE" w14:textId="55D0B3F6" w:rsidR="00EA2895" w:rsidRDefault="001162B5" w:rsidP="00801431">
            <w:pPr>
              <w:jc w:val="center"/>
              <w:rPr>
                <w:rFonts w:cs="Times New Roman"/>
                <w:b w:val="0"/>
                <w:szCs w:val="24"/>
              </w:rPr>
            </w:pPr>
            <w:r>
              <w:rPr>
                <w:rFonts w:cs="Times New Roman"/>
                <w:b w:val="0"/>
                <w:szCs w:val="24"/>
              </w:rPr>
              <w:t>Sulfide oxidation</w:t>
            </w:r>
          </w:p>
        </w:tc>
        <w:tc>
          <w:tcPr>
            <w:tcW w:w="1445" w:type="dxa"/>
          </w:tcPr>
          <w:p w14:paraId="12470790" w14:textId="03BA7528" w:rsidR="00EA2895" w:rsidRPr="00EA289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A2895">
              <w:rPr>
                <w:rFonts w:cs="Times New Roman"/>
                <w:szCs w:val="24"/>
              </w:rPr>
              <w:t>Flavocytochrome c</w:t>
            </w:r>
          </w:p>
        </w:tc>
        <w:tc>
          <w:tcPr>
            <w:tcW w:w="1803" w:type="dxa"/>
          </w:tcPr>
          <w:p w14:paraId="31AB1A90" w14:textId="521888DA"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3%</w:t>
            </w:r>
          </w:p>
        </w:tc>
        <w:tc>
          <w:tcPr>
            <w:tcW w:w="1899" w:type="dxa"/>
          </w:tcPr>
          <w:p w14:paraId="0C26DB82" w14:textId="4235F1A0"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1</w:t>
            </w:r>
            <w:r w:rsidR="0044567C">
              <w:rPr>
                <w:rFonts w:cs="Times New Roman"/>
                <w:szCs w:val="24"/>
              </w:rPr>
              <w:t>4</w:t>
            </w:r>
            <w:r w:rsidRPr="003B06F5">
              <w:rPr>
                <w:rFonts w:cs="Times New Roman"/>
                <w:szCs w:val="24"/>
              </w:rPr>
              <w:t>%</w:t>
            </w:r>
          </w:p>
        </w:tc>
        <w:tc>
          <w:tcPr>
            <w:tcW w:w="1983" w:type="dxa"/>
          </w:tcPr>
          <w:p w14:paraId="49BFD1DC" w14:textId="01C03EEC"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5%</w:t>
            </w:r>
          </w:p>
        </w:tc>
      </w:tr>
      <w:tr w:rsidR="00EA2895" w14:paraId="7D00B85F"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39B7A7CB" w14:textId="483FCF1A" w:rsidR="00EA2895" w:rsidRDefault="0044567C" w:rsidP="00801431">
            <w:pPr>
              <w:jc w:val="center"/>
              <w:rPr>
                <w:rFonts w:cs="Times New Roman"/>
                <w:b w:val="0"/>
                <w:szCs w:val="24"/>
              </w:rPr>
            </w:pPr>
            <w:r>
              <w:rPr>
                <w:rFonts w:cs="Times New Roman"/>
                <w:b w:val="0"/>
                <w:szCs w:val="24"/>
              </w:rPr>
              <w:t>Sulfite reduction or oxidation</w:t>
            </w:r>
          </w:p>
        </w:tc>
        <w:tc>
          <w:tcPr>
            <w:tcW w:w="1445" w:type="dxa"/>
          </w:tcPr>
          <w:p w14:paraId="1099BB3D" w14:textId="232D20F4"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Dissimilatory sulfite reductase</w:t>
            </w:r>
          </w:p>
        </w:tc>
        <w:tc>
          <w:tcPr>
            <w:tcW w:w="1803" w:type="dxa"/>
          </w:tcPr>
          <w:p w14:paraId="55ACD6A9" w14:textId="49F9D629"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0%</w:t>
            </w:r>
          </w:p>
        </w:tc>
        <w:tc>
          <w:tcPr>
            <w:tcW w:w="1899" w:type="dxa"/>
          </w:tcPr>
          <w:p w14:paraId="62B3E8E9" w14:textId="6103477B"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6%</w:t>
            </w:r>
          </w:p>
        </w:tc>
        <w:tc>
          <w:tcPr>
            <w:tcW w:w="1983" w:type="dxa"/>
          </w:tcPr>
          <w:p w14:paraId="2AFB127B" w14:textId="2C15B7D2"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8%</w:t>
            </w:r>
          </w:p>
        </w:tc>
      </w:tr>
      <w:tr w:rsidR="001162B5" w14:paraId="1EB05CEB"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FADFD7D" w14:textId="482101AC" w:rsidR="00EA2895" w:rsidRDefault="00C04B82" w:rsidP="00801431">
            <w:pPr>
              <w:jc w:val="center"/>
              <w:rPr>
                <w:rFonts w:cs="Times New Roman"/>
                <w:b w:val="0"/>
                <w:szCs w:val="24"/>
              </w:rPr>
            </w:pPr>
            <w:r>
              <w:rPr>
                <w:rFonts w:cs="Times New Roman"/>
                <w:b w:val="0"/>
                <w:szCs w:val="24"/>
              </w:rPr>
              <w:t>Sulfur oxidation</w:t>
            </w:r>
          </w:p>
        </w:tc>
        <w:tc>
          <w:tcPr>
            <w:tcW w:w="1445" w:type="dxa"/>
          </w:tcPr>
          <w:p w14:paraId="3DA442AC" w14:textId="2092BA4B" w:rsidR="00EA2895" w:rsidRPr="00EA2895" w:rsidRDefault="0044567C"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sox gene cluster</w:t>
            </w:r>
          </w:p>
        </w:tc>
        <w:tc>
          <w:tcPr>
            <w:tcW w:w="1803" w:type="dxa"/>
          </w:tcPr>
          <w:p w14:paraId="70E26A51" w14:textId="1300CF86" w:rsidR="00EA2895" w:rsidRPr="003B06F5" w:rsidRDefault="003C25F8"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r w:rsidR="00EA2895" w:rsidRPr="003B06F5">
              <w:rPr>
                <w:rFonts w:cs="Times New Roman"/>
                <w:szCs w:val="24"/>
              </w:rPr>
              <w:t>%</w:t>
            </w:r>
          </w:p>
        </w:tc>
        <w:tc>
          <w:tcPr>
            <w:tcW w:w="1899" w:type="dxa"/>
          </w:tcPr>
          <w:p w14:paraId="39159153" w14:textId="22E8A957"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r w:rsidR="00EA2895" w:rsidRPr="003B06F5">
              <w:rPr>
                <w:rFonts w:cs="Times New Roman"/>
                <w:szCs w:val="24"/>
              </w:rPr>
              <w:t>%</w:t>
            </w:r>
          </w:p>
        </w:tc>
        <w:tc>
          <w:tcPr>
            <w:tcW w:w="1983" w:type="dxa"/>
          </w:tcPr>
          <w:p w14:paraId="0B74E636" w14:textId="3430A69D"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17</w:t>
            </w:r>
            <w:r w:rsidR="00EA2895" w:rsidRPr="003B06F5">
              <w:rPr>
                <w:rFonts w:cs="Times New Roman"/>
                <w:szCs w:val="24"/>
              </w:rPr>
              <w:t>%</w:t>
            </w:r>
          </w:p>
        </w:tc>
      </w:tr>
      <w:tr w:rsidR="00EA2895" w14:paraId="5ABB649A"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6EE958CB" w14:textId="58E97F9B" w:rsidR="00EA2895" w:rsidRDefault="00A95153" w:rsidP="00801431">
            <w:pPr>
              <w:jc w:val="center"/>
              <w:rPr>
                <w:rFonts w:cs="Times New Roman"/>
                <w:b w:val="0"/>
                <w:szCs w:val="24"/>
              </w:rPr>
            </w:pPr>
            <w:r>
              <w:rPr>
                <w:rFonts w:cs="Times New Roman"/>
                <w:b w:val="0"/>
                <w:szCs w:val="24"/>
              </w:rPr>
              <w:t>Sulfite oxidation</w:t>
            </w:r>
          </w:p>
        </w:tc>
        <w:tc>
          <w:tcPr>
            <w:tcW w:w="1445" w:type="dxa"/>
          </w:tcPr>
          <w:p w14:paraId="19B914AD" w14:textId="1B2E63CC"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 xml:space="preserve">Sulfate </w:t>
            </w:r>
            <w:proofErr w:type="spellStart"/>
            <w:r w:rsidRPr="00EA2895">
              <w:rPr>
                <w:rFonts w:cs="Times New Roman"/>
                <w:szCs w:val="24"/>
              </w:rPr>
              <w:t>adenylyltransferase</w:t>
            </w:r>
            <w:proofErr w:type="spellEnd"/>
          </w:p>
        </w:tc>
        <w:tc>
          <w:tcPr>
            <w:tcW w:w="1803" w:type="dxa"/>
          </w:tcPr>
          <w:p w14:paraId="09005125" w14:textId="619E874A"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45%</w:t>
            </w:r>
          </w:p>
        </w:tc>
        <w:tc>
          <w:tcPr>
            <w:tcW w:w="1899" w:type="dxa"/>
          </w:tcPr>
          <w:p w14:paraId="6C35B368" w14:textId="1A3F6C96"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52%</w:t>
            </w:r>
          </w:p>
        </w:tc>
        <w:tc>
          <w:tcPr>
            <w:tcW w:w="1983" w:type="dxa"/>
          </w:tcPr>
          <w:p w14:paraId="63309B1C" w14:textId="0A7AFDA7"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49%</w:t>
            </w:r>
          </w:p>
        </w:tc>
      </w:tr>
      <w:tr w:rsidR="00A95153" w14:paraId="71F7C52F"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463AC7E2" w14:textId="1E8CF53C" w:rsidR="00A95153" w:rsidRDefault="00A95153" w:rsidP="00801431">
            <w:pPr>
              <w:jc w:val="center"/>
              <w:rPr>
                <w:rFonts w:cs="Times New Roman"/>
                <w:b w:val="0"/>
                <w:szCs w:val="24"/>
              </w:rPr>
            </w:pPr>
            <w:r>
              <w:rPr>
                <w:rFonts w:cs="Times New Roman"/>
                <w:b w:val="0"/>
                <w:szCs w:val="24"/>
              </w:rPr>
              <w:t>Sulfite oxidation</w:t>
            </w:r>
          </w:p>
        </w:tc>
        <w:tc>
          <w:tcPr>
            <w:tcW w:w="1445" w:type="dxa"/>
          </w:tcPr>
          <w:p w14:paraId="5812FB39" w14:textId="23CCDA8B" w:rsidR="00A95153" w:rsidRPr="00EA289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Phosphoadenosine</w:t>
            </w:r>
            <w:proofErr w:type="spellEnd"/>
            <w:r>
              <w:rPr>
                <w:rFonts w:cs="Times New Roman"/>
                <w:szCs w:val="24"/>
              </w:rPr>
              <w:t xml:space="preserve"> </w:t>
            </w:r>
            <w:proofErr w:type="spellStart"/>
            <w:r>
              <w:rPr>
                <w:rFonts w:cs="Times New Roman"/>
                <w:szCs w:val="24"/>
              </w:rPr>
              <w:t>phosphosulfate</w:t>
            </w:r>
            <w:proofErr w:type="spellEnd"/>
            <w:r>
              <w:rPr>
                <w:rFonts w:cs="Times New Roman"/>
                <w:szCs w:val="24"/>
              </w:rPr>
              <w:t xml:space="preserve"> reductase</w:t>
            </w:r>
          </w:p>
        </w:tc>
        <w:tc>
          <w:tcPr>
            <w:tcW w:w="1803" w:type="dxa"/>
          </w:tcPr>
          <w:p w14:paraId="6B3C968A" w14:textId="635C503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899" w:type="dxa"/>
          </w:tcPr>
          <w:p w14:paraId="0E682E5D" w14:textId="1FA2300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983" w:type="dxa"/>
          </w:tcPr>
          <w:p w14:paraId="4DC74D92" w14:textId="332D00B6"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29%</w:t>
            </w:r>
          </w:p>
        </w:tc>
      </w:tr>
      <w:tr w:rsidR="004F6FF4" w14:paraId="5E6C38E7"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FDEFFF" w14:textId="75903FD0" w:rsidR="004F6FF4" w:rsidRDefault="004F6FF4" w:rsidP="00801431">
            <w:pPr>
              <w:jc w:val="center"/>
              <w:rPr>
                <w:rFonts w:cs="Times New Roman"/>
                <w:b w:val="0"/>
                <w:szCs w:val="24"/>
              </w:rPr>
            </w:pPr>
            <w:r>
              <w:rPr>
                <w:rFonts w:cs="Times New Roman"/>
                <w:b w:val="0"/>
                <w:szCs w:val="24"/>
              </w:rPr>
              <w:t>Assimilatory sulfate reduction</w:t>
            </w:r>
          </w:p>
        </w:tc>
        <w:tc>
          <w:tcPr>
            <w:tcW w:w="1445" w:type="dxa"/>
          </w:tcPr>
          <w:p w14:paraId="7DECF515" w14:textId="7FF86E6F"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Assimilatory sulfate reductase</w:t>
            </w:r>
          </w:p>
        </w:tc>
        <w:tc>
          <w:tcPr>
            <w:tcW w:w="1803" w:type="dxa"/>
          </w:tcPr>
          <w:p w14:paraId="0683129B" w14:textId="663B4C3C"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51%</w:t>
            </w:r>
          </w:p>
        </w:tc>
        <w:tc>
          <w:tcPr>
            <w:tcW w:w="1899" w:type="dxa"/>
          </w:tcPr>
          <w:p w14:paraId="6D6D6E0B" w14:textId="33A91BD6"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w:t>
            </w:r>
          </w:p>
        </w:tc>
        <w:tc>
          <w:tcPr>
            <w:tcW w:w="1983" w:type="dxa"/>
          </w:tcPr>
          <w:p w14:paraId="1A237C82" w14:textId="2C336AB0"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59%</w:t>
            </w:r>
          </w:p>
        </w:tc>
      </w:tr>
    </w:tbl>
    <w:p w14:paraId="62B69D23" w14:textId="1516F053" w:rsidR="008F651D" w:rsidRDefault="008F651D" w:rsidP="004A6010">
      <w:pPr>
        <w:spacing w:line="360" w:lineRule="auto"/>
        <w:jc w:val="both"/>
        <w:rPr>
          <w:rFonts w:cs="Times New Roman"/>
          <w:b/>
          <w:szCs w:val="24"/>
        </w:rPr>
      </w:pPr>
    </w:p>
    <w:p w14:paraId="2C0E58E0" w14:textId="61E43EAB" w:rsidR="009552BD" w:rsidRPr="009552BD" w:rsidRDefault="009552BD" w:rsidP="004A6010">
      <w:pPr>
        <w:spacing w:line="360" w:lineRule="auto"/>
        <w:jc w:val="both"/>
        <w:rPr>
          <w:rFonts w:cs="Times New Roman"/>
          <w:szCs w:val="24"/>
        </w:rPr>
      </w:pPr>
      <w:r>
        <w:rPr>
          <w:rFonts w:cs="Times New Roman"/>
          <w:b/>
          <w:szCs w:val="24"/>
        </w:rPr>
        <w:t xml:space="preserve">Table 2. Marker genes for sulfur cycling pathways. </w:t>
      </w:r>
      <w:r w:rsidR="00365AF9">
        <w:rPr>
          <w:rFonts w:cs="Times New Roman"/>
          <w:szCs w:val="24"/>
        </w:rPr>
        <w:t xml:space="preserve">This table reports the percentage of MAGs from each site containing a coding region annotated as a gene considered indicative a step in the sulfur cycle. Genes indicating oxidation dominated over those indicating reduction. </w:t>
      </w:r>
    </w:p>
    <w:p w14:paraId="6AE39F3E" w14:textId="233E3108" w:rsidR="008A5CFA" w:rsidRPr="008A5CFA" w:rsidRDefault="00C64D38" w:rsidP="008A5CFA">
      <w:pPr>
        <w:pStyle w:val="Heading2"/>
        <w:rPr>
          <w:rFonts w:cstheme="majorBidi"/>
          <w:szCs w:val="32"/>
        </w:rPr>
      </w:pPr>
      <w:r>
        <w:t>Sulfur Cycling</w:t>
      </w:r>
    </w:p>
    <w:p w14:paraId="51D5E0B8" w14:textId="7B896BDD" w:rsidR="00377F14" w:rsidRPr="009D0694" w:rsidRDefault="008A5CFA" w:rsidP="00D62382">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879EE">
        <w:rPr>
          <w:rFonts w:cs="Times New Roman"/>
          <w:szCs w:val="24"/>
        </w:rPr>
        <w:t xml:space="preserve"> (Fig. 2)</w:t>
      </w:r>
      <w:r w:rsidR="007B5D3B">
        <w:rPr>
          <w:rFonts w:cs="Times New Roman"/>
          <w:szCs w:val="24"/>
        </w:rPr>
        <w:t xml:space="preserve">. </w:t>
      </w:r>
      <w:r w:rsidR="006263CE">
        <w:rPr>
          <w:rFonts w:cs="Times New Roman"/>
          <w:szCs w:val="24"/>
        </w:rPr>
        <w:t>To further investigate sulfur metabolism, we searched for sulfur-related marker genes in our MAGs</w:t>
      </w:r>
      <w:r w:rsidR="007E726F">
        <w:rPr>
          <w:rFonts w:cs="Times New Roman"/>
          <w:szCs w:val="24"/>
        </w:rPr>
        <w:t xml:space="preserve">. The marker genes chosen included flavocytochrome c (sulfide oxidation), dissimilatory sulfate reductase (sulfate reduction, sulfate oxidation in some phototrophs and other bacteria), thiosulfate dehydrogenase (SOX oxidation), and sulfate </w:t>
      </w:r>
      <w:proofErr w:type="spellStart"/>
      <w:r w:rsidR="007E726F">
        <w:rPr>
          <w:rFonts w:cs="Times New Roman"/>
          <w:szCs w:val="24"/>
        </w:rPr>
        <w:t>adenylyltransferase</w:t>
      </w:r>
      <w:proofErr w:type="spellEnd"/>
      <w:r w:rsidR="007E726F">
        <w:rPr>
          <w:rFonts w:cs="Times New Roman"/>
          <w:szCs w:val="24"/>
        </w:rPr>
        <w:t xml:space="preserve"> (sulfite oxidation). We also searched for anaerobic sulfite </w:t>
      </w:r>
      <w:r w:rsidR="00D62382">
        <w:rPr>
          <w:rFonts w:cs="Times New Roman"/>
          <w:szCs w:val="24"/>
        </w:rPr>
        <w:t>reductases but</w:t>
      </w:r>
      <w:r w:rsidR="007E726F">
        <w:rPr>
          <w:rFonts w:cs="Times New Roman"/>
          <w:szCs w:val="24"/>
        </w:rPr>
        <w:t xml:space="preserve"> did not detect any</w:t>
      </w:r>
      <w:r w:rsidR="00D62382">
        <w:rPr>
          <w:rFonts w:cs="Times New Roman"/>
          <w:szCs w:val="24"/>
        </w:rPr>
        <w:t xml:space="preserve"> genes with this annotation</w:t>
      </w:r>
      <w:r w:rsidR="007E726F">
        <w:rPr>
          <w:rFonts w:cs="Times New Roman"/>
          <w:szCs w:val="24"/>
        </w:rPr>
        <w:t xml:space="preserve">. </w:t>
      </w:r>
      <w:r w:rsidR="00D62382">
        <w:rPr>
          <w:rFonts w:cs="Times New Roman"/>
          <w:szCs w:val="24"/>
        </w:rPr>
        <w:t>Like</w:t>
      </w:r>
      <w:r w:rsidR="007E726F">
        <w:rPr>
          <w:rFonts w:cs="Times New Roman"/>
          <w:szCs w:val="24"/>
        </w:rPr>
        <w:t xml:space="preserve"> the results of the sulfur pathway analysis, oxidation was observed more frequently than reduction (Table 2). Dissimilatory sulfite reductase was observed only in MAGs from Trout Bog, especially MAGs classified as </w:t>
      </w:r>
      <w:proofErr w:type="spellStart"/>
      <w:r w:rsidR="007E726F">
        <w:rPr>
          <w:rFonts w:cs="Times New Roman"/>
          <w:szCs w:val="24"/>
        </w:rPr>
        <w:t>Chlorobiales</w:t>
      </w:r>
      <w:proofErr w:type="spellEnd"/>
      <w:r w:rsidR="007E726F">
        <w:rPr>
          <w:rFonts w:cs="Times New Roman"/>
          <w:szCs w:val="24"/>
        </w:rPr>
        <w:t>. Because this enzyme</w:t>
      </w:r>
      <w:r w:rsidR="009552BD">
        <w:rPr>
          <w:rFonts w:cs="Times New Roman"/>
          <w:szCs w:val="24"/>
        </w:rPr>
        <w:t xml:space="preserve"> in known to</w:t>
      </w:r>
      <w:r w:rsidR="007E726F">
        <w:rPr>
          <w:rFonts w:cs="Times New Roman"/>
          <w:szCs w:val="24"/>
        </w:rPr>
        <w:t xml:space="preserve"> </w:t>
      </w:r>
      <w:r w:rsidR="009552BD">
        <w:rPr>
          <w:rFonts w:cs="Times New Roman"/>
          <w:szCs w:val="24"/>
        </w:rPr>
        <w:t>operate in reverse</w:t>
      </w:r>
      <w:r w:rsidR="007E726F">
        <w:rPr>
          <w:rFonts w:cs="Times New Roman"/>
          <w:szCs w:val="24"/>
        </w:rPr>
        <w:t xml:space="preserve"> in phototrophs such as </w:t>
      </w:r>
      <w:proofErr w:type="spellStart"/>
      <w:r w:rsidR="007E726F">
        <w:rPr>
          <w:rFonts w:cs="Times New Roman"/>
          <w:szCs w:val="24"/>
        </w:rPr>
        <w:t>Chlorobiales</w:t>
      </w:r>
      <w:proofErr w:type="spellEnd"/>
      <w:r w:rsidR="007E726F">
        <w:rPr>
          <w:rFonts w:cs="Times New Roman"/>
          <w:szCs w:val="24"/>
        </w:rPr>
        <w:t xml:space="preserve">, </w:t>
      </w:r>
      <w:r w:rsidR="009552BD">
        <w:rPr>
          <w:rFonts w:cs="Times New Roman"/>
          <w:szCs w:val="24"/>
        </w:rPr>
        <w:t>this may indicate additional oxidation rather than the presence of a reductive sulfur pathway.</w:t>
      </w:r>
      <w:r w:rsidR="005C14E7">
        <w:rPr>
          <w:rFonts w:cs="Times New Roman"/>
          <w:szCs w:val="24"/>
        </w:rPr>
        <w:t xml:space="preserve"> As expected, assimilatory sulfate reduction was the most common pathway identified (Table 2). For sulfur use as a terminal electron acceptor or donor, oxidation pathways were more prevalent than reduction pathways in both systems (Fig. 4A). This suggests that in these lakes, </w:t>
      </w:r>
      <w:r w:rsidR="005C14E7">
        <w:rPr>
          <w:rFonts w:cs="Times New Roman"/>
          <w:szCs w:val="24"/>
        </w:rPr>
        <w:lastRenderedPageBreak/>
        <w:t>sulfate is more commonly used in biosynthesis pathways, while reduced forms of sulfur are used as electron donors for energy pathways.</w:t>
      </w:r>
    </w:p>
    <w:p w14:paraId="78FEBA62" w14:textId="34DBE443" w:rsidR="00364AC2" w:rsidRDefault="00377F14" w:rsidP="00377F14">
      <w:pPr>
        <w:pStyle w:val="Heading2"/>
        <w:spacing w:line="360" w:lineRule="auto"/>
      </w:pPr>
      <w:r>
        <w:t>MAGs over Time</w:t>
      </w:r>
    </w:p>
    <w:p w14:paraId="11DDE286" w14:textId="4CAC9242" w:rsidR="00A06DFE" w:rsidRPr="00377F14" w:rsidRDefault="00377F14" w:rsidP="00377F14">
      <w:pPr>
        <w:spacing w:line="360" w:lineRule="auto"/>
        <w:jc w:val="both"/>
      </w:pPr>
      <w:r>
        <w:tab/>
        <w:t xml:space="preserve">Because these MAGs were recovered from metagenomic time series, we can assess trends in the MAGs over time using reads mapped from the time series to the MAGs as a proxy for abundance. </w:t>
      </w:r>
      <w:r w:rsidR="007C3BA7">
        <w:t xml:space="preserve">Combining this data with metabolic information about each MAG provides further insight into their ecology. For example, the model </w:t>
      </w:r>
      <w:proofErr w:type="spellStart"/>
      <w:r w:rsidR="007C3BA7">
        <w:t>methlyotrophs</w:t>
      </w:r>
      <w:proofErr w:type="spellEnd"/>
      <w:r w:rsidR="007C3BA7">
        <w:t xml:space="preserve"> </w:t>
      </w:r>
      <w:proofErr w:type="spellStart"/>
      <w:r w:rsidR="007C3BA7">
        <w:t>Methylococcales</w:t>
      </w:r>
      <w:proofErr w:type="spellEnd"/>
      <w:r w:rsidR="007C3BA7">
        <w:t xml:space="preserve"> and </w:t>
      </w:r>
      <w:proofErr w:type="spellStart"/>
      <w:r w:rsidR="007C3BA7">
        <w:t>Methylophilales</w:t>
      </w:r>
      <w:proofErr w:type="spellEnd"/>
      <w:r w:rsidR="007C3BA7">
        <w:t xml:space="preserve"> show distinct trends over time in each study site (Fig. 5). </w:t>
      </w:r>
      <w:proofErr w:type="spellStart"/>
      <w:r w:rsidR="007C3BA7">
        <w:t>Methylococcales</w:t>
      </w:r>
      <w:proofErr w:type="spellEnd"/>
      <w:r w:rsidR="007C3BA7">
        <w:t xml:space="preserve"> are aerobes that consume methane; in lakes, oxygen is available in the epilimnion during stratification and throughout the water column during spring and fall mixing only, while methane is produced in the anaerobic hypolimnion and sediments.  Therefore, </w:t>
      </w:r>
      <w:proofErr w:type="spellStart"/>
      <w:r w:rsidR="007C3BA7">
        <w:t>Methylococcales</w:t>
      </w:r>
      <w:proofErr w:type="spellEnd"/>
      <w:r w:rsidR="007C3BA7">
        <w:t xml:space="preserve"> can likely only thrive where both oxygen and methane are present. As expected, MAGs classified as </w:t>
      </w:r>
      <w:proofErr w:type="spellStart"/>
      <w:r w:rsidR="007C3BA7">
        <w:t>Methylococcales</w:t>
      </w:r>
      <w:proofErr w:type="spellEnd"/>
      <w:r w:rsidR="007C3BA7">
        <w:t xml:space="preserve"> are found in the Trout Bog hypolimnion only during fall mixing</w:t>
      </w:r>
      <w:r w:rsidR="00A06DFE">
        <w:t xml:space="preserve">, a time when those conditions are met in the deeper regions of the lake. </w:t>
      </w:r>
      <w:proofErr w:type="spellStart"/>
      <w:r w:rsidR="00A06DFE">
        <w:t>Methylococcales</w:t>
      </w:r>
      <w:proofErr w:type="spellEnd"/>
      <w:r w:rsidR="00A06DFE">
        <w:t xml:space="preserve"> in the epilimnion of Trout Bog decrease in the spring and early summer and increase again in the fall, likely reflecting methane concentrations, as oxygen is more constant. In the epilimnion of Lake Mendota, which has less stable stratification than Trout Bog, </w:t>
      </w:r>
      <w:proofErr w:type="spellStart"/>
      <w:r w:rsidR="00A06DFE">
        <w:t>Methylococcales</w:t>
      </w:r>
      <w:proofErr w:type="spellEnd"/>
      <w:r w:rsidR="00A06DFE">
        <w:t xml:space="preserve"> periodically increases in the summer</w:t>
      </w:r>
      <w:r w:rsidR="004C53C9">
        <w:t xml:space="preserve"> and</w:t>
      </w:r>
      <w:r w:rsidR="00A06DFE">
        <w:t xml:space="preserve"> fall. One possible explanation for this trend could be the small scale, wind-driven mixes that occur in Lake Mendota</w:t>
      </w:r>
      <w:r w:rsidR="004C53C9">
        <w:t>, releasing methane that accumulates in the hypolimnion during stratification</w:t>
      </w:r>
      <w:r w:rsidR="00A06DFE">
        <w:t>.</w:t>
      </w:r>
      <w:r w:rsidR="00483D84">
        <w:t xml:space="preserve"> </w:t>
      </w:r>
      <w:r w:rsidR="00A06DFE">
        <w:t xml:space="preserve">In contrast, </w:t>
      </w:r>
      <w:proofErr w:type="spellStart"/>
      <w:r w:rsidR="00A06DFE">
        <w:t>Methylophilales</w:t>
      </w:r>
      <w:proofErr w:type="spellEnd"/>
      <w:r w:rsidR="00A06DFE">
        <w:t xml:space="preserve"> was detected in both </w:t>
      </w:r>
      <w:proofErr w:type="spellStart"/>
      <w:r w:rsidR="00A06DFE">
        <w:t>epilimnia</w:t>
      </w:r>
      <w:proofErr w:type="spellEnd"/>
      <w:r w:rsidR="00A06DFE">
        <w:t xml:space="preserve"> and the Trout Bog hypolimnion, suggesting it may be a facultative anaerobe. </w:t>
      </w:r>
      <w:r w:rsidR="00483D84">
        <w:t xml:space="preserve">The methylotrophic metabolism of this taxon, which </w:t>
      </w:r>
      <w:r w:rsidR="00483D84">
        <w:lastRenderedPageBreak/>
        <w:t xml:space="preserve">likely utilized methanol and methylamines, does not require oxygen. Its abundance is relatively stable over time, suggesting that its niche and carbon sources are also stable in our </w:t>
      </w:r>
      <w:r w:rsidR="00D62382">
        <w:rPr>
          <w:noProof/>
        </w:rPr>
        <w:drawing>
          <wp:anchor distT="0" distB="0" distL="114300" distR="114300" simplePos="0" relativeHeight="251672576" behindDoc="1" locked="0" layoutInCell="1" allowOverlap="1" wp14:anchorId="5509BFF7" wp14:editId="64B74544">
            <wp:simplePos x="0" y="0"/>
            <wp:positionH relativeFrom="page">
              <wp:align>right</wp:align>
            </wp:positionH>
            <wp:positionV relativeFrom="paragraph">
              <wp:posOffset>676275</wp:posOffset>
            </wp:positionV>
            <wp:extent cx="7431405" cy="2466975"/>
            <wp:effectExtent l="0" t="0" r="0" b="9525"/>
            <wp:wrapSquare wrapText="bothSides"/>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_inkscape.png"/>
                    <pic:cNvPicPr/>
                  </pic:nvPicPr>
                  <pic:blipFill>
                    <a:blip r:embed="rId10">
                      <a:extLst>
                        <a:ext uri="{28A0092B-C50C-407E-A947-70E740481C1C}">
                          <a14:useLocalDpi xmlns:a14="http://schemas.microsoft.com/office/drawing/2010/main" val="0"/>
                        </a:ext>
                      </a:extLst>
                    </a:blip>
                    <a:stretch>
                      <a:fillRect/>
                    </a:stretch>
                  </pic:blipFill>
                  <pic:spPr>
                    <a:xfrm>
                      <a:off x="0" y="0"/>
                      <a:ext cx="7431405" cy="2466975"/>
                    </a:xfrm>
                    <a:prstGeom prst="rect">
                      <a:avLst/>
                    </a:prstGeom>
                  </pic:spPr>
                </pic:pic>
              </a:graphicData>
            </a:graphic>
            <wp14:sizeRelH relativeFrom="margin">
              <wp14:pctWidth>0</wp14:pctWidth>
            </wp14:sizeRelH>
            <wp14:sizeRelV relativeFrom="margin">
              <wp14:pctHeight>0</wp14:pctHeight>
            </wp14:sizeRelV>
          </wp:anchor>
        </w:drawing>
      </w:r>
      <w:r w:rsidR="00483D84">
        <w:t xml:space="preserve">study sites. </w:t>
      </w:r>
    </w:p>
    <w:p w14:paraId="6039D138" w14:textId="45011774" w:rsidR="00D62382" w:rsidRPr="00D62382" w:rsidRDefault="00D62382" w:rsidP="00377F14">
      <w:pPr>
        <w:pStyle w:val="Heading2"/>
        <w:spacing w:line="480" w:lineRule="auto"/>
        <w:rPr>
          <w:b w:val="0"/>
        </w:rPr>
      </w:pPr>
      <w:r>
        <w:t xml:space="preserve">Figure 5. Methylotrophs over time. </w:t>
      </w:r>
      <w:r>
        <w:rPr>
          <w:b w:val="0"/>
        </w:rPr>
        <w:t xml:space="preserve">Reads mapping to our MAG dataset from their originating metagenomic time series was used as a proxy for abundance over time. Read counts were normalized to reads per kilobase per million mapped reads (RPKM) and aggregated by year to reveal seasonal trends. MAGs classified as the methylotrophs </w:t>
      </w:r>
      <w:proofErr w:type="spellStart"/>
      <w:r>
        <w:rPr>
          <w:b w:val="0"/>
        </w:rPr>
        <w:t>Methylococcales</w:t>
      </w:r>
      <w:proofErr w:type="spellEnd"/>
      <w:r>
        <w:rPr>
          <w:b w:val="0"/>
        </w:rPr>
        <w:t xml:space="preserve"> (A-C) and </w:t>
      </w:r>
      <w:proofErr w:type="spellStart"/>
      <w:r>
        <w:rPr>
          <w:b w:val="0"/>
        </w:rPr>
        <w:t>Methylophilales</w:t>
      </w:r>
      <w:proofErr w:type="spellEnd"/>
      <w:r>
        <w:rPr>
          <w:b w:val="0"/>
        </w:rPr>
        <w:t xml:space="preserve"> (D-F) are presented here. These taxa show different seasonal trends in different lakes and layers, likely reflecting their ecological niches.</w:t>
      </w:r>
    </w:p>
    <w:p w14:paraId="118FDA58" w14:textId="77777777" w:rsidR="00D62382" w:rsidRDefault="00D62382" w:rsidP="00377F14">
      <w:pPr>
        <w:pStyle w:val="Heading2"/>
        <w:spacing w:line="480" w:lineRule="auto"/>
      </w:pPr>
    </w:p>
    <w:p w14:paraId="65F94868" w14:textId="575FCEDD" w:rsidR="00F26AFE" w:rsidRDefault="007B5D3B" w:rsidP="002F5421">
      <w:pPr>
        <w:pStyle w:val="Heading2"/>
        <w:spacing w:line="480" w:lineRule="auto"/>
      </w:pPr>
      <w:bookmarkStart w:id="0" w:name="_GoBack"/>
      <w:r>
        <w:t>Conclusions</w:t>
      </w:r>
    </w:p>
    <w:bookmarkEnd w:id="0"/>
    <w:p w14:paraId="1A7405BF" w14:textId="4114948A" w:rsidR="00FD7B83" w:rsidRDefault="00317E09" w:rsidP="002F5421">
      <w:pPr>
        <w:spacing w:line="480" w:lineRule="auto"/>
        <w:ind w:firstLine="720"/>
        <w:jc w:val="both"/>
      </w:pPr>
      <w:r>
        <w:t xml:space="preserve">Our analysis of gene content in MAGs from Trout Bog and Lake Mendota revealed both striking similarities and strong contrasts. </w:t>
      </w:r>
      <w:r w:rsidR="00F74AB4">
        <w:t xml:space="preserve">Interesting metabolisms found in both lakes include methylotrophy, aerobic </w:t>
      </w:r>
      <w:proofErr w:type="spellStart"/>
      <w:r w:rsidR="00F74AB4">
        <w:t>anoxygenic</w:t>
      </w:r>
      <w:proofErr w:type="spellEnd"/>
      <w:r w:rsidR="00F74AB4">
        <w:t xml:space="preserve"> photosynthesis, and polyamine degradation. There was substantial overlap in sugar degradation pathways found in MAGs from our two study sites, and an analysis of sulfur cycling pathways sho</w:t>
      </w:r>
      <w:r w:rsidR="00273685">
        <w:t>wed</w:t>
      </w:r>
      <w:r w:rsidR="00F74AB4">
        <w:t xml:space="preserve"> a preference towards using sulfate in biosynthesis and reduced sulfur compounds in energy generation in both lakes. Many of the differences we </w:t>
      </w:r>
      <w:r w:rsidR="00F74AB4">
        <w:lastRenderedPageBreak/>
        <w:t xml:space="preserve">observed between lakes were not in the pathways themselves, but in the taxa with genes encoding those pathways – primary production and nitrogen fixation appear to be performed by distinct taxonomic groups. </w:t>
      </w:r>
      <w:r w:rsidR="00273685">
        <w:t xml:space="preserve">The pathways used for carbon fixation differ by lake, as do the types of hydrogenases found in our MAGS. Dissolved oxygen levels appear to be an important factor in determining which pathways, enzymes, or taxa are found in Lake Mendota vs. Trout Bog. However, dissolved organic carbon also plays a role – while sugar degradation pathways were similar across lakes, the density and diversity of glycoside hydrolases was much greater in Trout Bog than in Lake Mendota, suggesting an increased emphasis on the degradation of complex carbon sources such as </w:t>
      </w:r>
      <w:proofErr w:type="spellStart"/>
      <w:r w:rsidR="00273685">
        <w:t>humic</w:t>
      </w:r>
      <w:proofErr w:type="spellEnd"/>
      <w:r w:rsidR="00273685">
        <w:t xml:space="preserve"> substances. </w:t>
      </w:r>
    </w:p>
    <w:p w14:paraId="7A78A9DC" w14:textId="33922A5B" w:rsidR="00C9067D" w:rsidRDefault="006570F1" w:rsidP="002F5421">
      <w:pPr>
        <w:spacing w:line="480" w:lineRule="auto"/>
        <w:ind w:firstLine="720"/>
        <w:jc w:val="both"/>
      </w:pPr>
      <w:r>
        <w:t>Using our dataset of time series resolved MAGs, a</w:t>
      </w:r>
      <w:r w:rsidR="00636F56">
        <w:t xml:space="preserve">dditional work with </w:t>
      </w:r>
      <w:proofErr w:type="spellStart"/>
      <w:r w:rsidR="00636F56">
        <w:t>metatranscriptomic</w:t>
      </w:r>
      <w:proofErr w:type="spellEnd"/>
      <w:r w:rsidR="00636F56">
        <w:t xml:space="preserve"> data, chemical limnology, or cultured isolates can now target specific processes and taxa identified as particularly interesting or important</w:t>
      </w:r>
      <w:r w:rsidR="00DA0A6D">
        <w:t xml:space="preserve"> in freshwater</w:t>
      </w:r>
      <w:r w:rsidR="00636F56">
        <w:t>. These analyses can also be used to compare other freshwater ecosystems to our two study sites, which will help us understand what metabolic processes are shared between all lakes.</w:t>
      </w:r>
      <w:r>
        <w:t xml:space="preserve"> While genomic data suggests rather than proves the presence or importance of metabolic pathways in ecosystems, this research lays the groundwork to further our understanding of freshwater nutrient cycling.</w:t>
      </w:r>
    </w:p>
    <w:p w14:paraId="096FAF3E" w14:textId="6B3715E3" w:rsidR="002F5421" w:rsidRDefault="002F5421" w:rsidP="002F5421">
      <w:pPr>
        <w:pStyle w:val="Heading1"/>
      </w:pPr>
      <w:r>
        <w:t>Acknowledgments</w:t>
      </w:r>
    </w:p>
    <w:p w14:paraId="25F9E416" w14:textId="282AA5FF" w:rsidR="00C9067D" w:rsidRDefault="00C9067D" w:rsidP="00C9067D">
      <w:pPr>
        <w:pStyle w:val="Heading1"/>
      </w:pPr>
      <w:r>
        <w:t>References</w:t>
      </w:r>
    </w:p>
    <w:p w14:paraId="6721872A" w14:textId="4EC62F84" w:rsidR="004B78F5" w:rsidRPr="004B78F5" w:rsidRDefault="00C9067D" w:rsidP="004B78F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4B78F5" w:rsidRPr="004B78F5">
        <w:rPr>
          <w:rFonts w:cs="Times New Roman"/>
          <w:noProof/>
          <w:szCs w:val="24"/>
        </w:rPr>
        <w:t xml:space="preserve">Bendall, Matthew L et al. 2016. “Genome-Wide Selective Sweeps and Gene-Specific Sweeps in Natural Bacterial Populations.” </w:t>
      </w:r>
      <w:r w:rsidR="004B78F5" w:rsidRPr="004B78F5">
        <w:rPr>
          <w:rFonts w:cs="Times New Roman"/>
          <w:i/>
          <w:iCs/>
          <w:noProof/>
          <w:szCs w:val="24"/>
        </w:rPr>
        <w:t>ISME journal</w:t>
      </w:r>
      <w:r w:rsidR="004B78F5" w:rsidRPr="004B78F5">
        <w:rPr>
          <w:rFonts w:cs="Times New Roman"/>
          <w:noProof/>
          <w:szCs w:val="24"/>
        </w:rPr>
        <w:t xml:space="preserve"> 10: 1589–1601. http://dx.doi.org/10.1038/ismej.2015.241.</w:t>
      </w:r>
    </w:p>
    <w:p w14:paraId="0C4B45AE"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Beversdorf, Lucas J, Todd R Miller, and Katherine D McMahon. 2013. “The Role of Nitrogen Fixation in Cyanobacterial Bloom Toxicity in a Temperate , Eutrophic Lake.” </w:t>
      </w:r>
      <w:r w:rsidRPr="004B78F5">
        <w:rPr>
          <w:rFonts w:cs="Times New Roman"/>
          <w:i/>
          <w:iCs/>
          <w:noProof/>
          <w:szCs w:val="24"/>
        </w:rPr>
        <w:t>PloS one</w:t>
      </w:r>
      <w:r w:rsidRPr="004B78F5">
        <w:rPr>
          <w:rFonts w:cs="Times New Roman"/>
          <w:noProof/>
          <w:szCs w:val="24"/>
        </w:rPr>
        <w:t xml:space="preserve"> 8(2): 1–11.</w:t>
      </w:r>
    </w:p>
    <w:p w14:paraId="3EBCDB82"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Bragg, Jason G. 2011. “How Prochlorococcus Bacteria Use Nitrogen Sparingly in Their Proteins.” </w:t>
      </w:r>
      <w:r w:rsidRPr="004B78F5">
        <w:rPr>
          <w:rFonts w:cs="Times New Roman"/>
          <w:i/>
          <w:iCs/>
          <w:noProof/>
          <w:szCs w:val="24"/>
        </w:rPr>
        <w:t>Molecular Ecology</w:t>
      </w:r>
      <w:r w:rsidRPr="004B78F5">
        <w:rPr>
          <w:rFonts w:cs="Times New Roman"/>
          <w:noProof/>
          <w:szCs w:val="24"/>
        </w:rPr>
        <w:t xml:space="preserve"> 20(1): 27–28.</w:t>
      </w:r>
    </w:p>
    <w:p w14:paraId="6E3DE603"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lastRenderedPageBreak/>
        <w:t xml:space="preserve">Brown, Christopher T. et al. 2015. “Unusual Biology across a Group Comprising More than 15% of Domain Bacteria.” </w:t>
      </w:r>
      <w:r w:rsidRPr="004B78F5">
        <w:rPr>
          <w:rFonts w:cs="Times New Roman"/>
          <w:i/>
          <w:iCs/>
          <w:noProof/>
          <w:szCs w:val="24"/>
        </w:rPr>
        <w:t>Nature</w:t>
      </w:r>
      <w:r w:rsidRPr="004B78F5">
        <w:rPr>
          <w:rFonts w:cs="Times New Roman"/>
          <w:noProof/>
          <w:szCs w:val="24"/>
        </w:rPr>
        <w:t xml:space="preserve"> 523(7559): 208–11.</w:t>
      </w:r>
    </w:p>
    <w:p w14:paraId="57ADEE7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Butman, David et al. 2015. “Aquatic Carbon Cycling in the Conterminous United States and Implications for Terrestrial Carbon Accounting.” </w:t>
      </w:r>
      <w:r w:rsidRPr="004B78F5">
        <w:rPr>
          <w:rFonts w:cs="Times New Roman"/>
          <w:i/>
          <w:iCs/>
          <w:noProof/>
          <w:szCs w:val="24"/>
        </w:rPr>
        <w:t>Proceedings of the National Academy of Sciences</w:t>
      </w:r>
      <w:r w:rsidRPr="004B78F5">
        <w:rPr>
          <w:rFonts w:cs="Times New Roman"/>
          <w:noProof/>
          <w:szCs w:val="24"/>
        </w:rPr>
        <w:t>: 1–6.</w:t>
      </w:r>
    </w:p>
    <w:p w14:paraId="46A2EC6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Chistoserdova, Ludmila, Marina G. Kalyuzhnaya, and Mary E. Lidstrom. 2009. “The Expanding World of Methylotrophic Metabolism.” </w:t>
      </w:r>
      <w:r w:rsidRPr="004B78F5">
        <w:rPr>
          <w:rFonts w:cs="Times New Roman"/>
          <w:i/>
          <w:iCs/>
          <w:noProof/>
          <w:szCs w:val="24"/>
        </w:rPr>
        <w:t>Annual review of microbiology</w:t>
      </w:r>
      <w:r w:rsidRPr="004B78F5">
        <w:rPr>
          <w:rFonts w:cs="Times New Roman"/>
          <w:noProof/>
          <w:szCs w:val="24"/>
        </w:rPr>
        <w:t xml:space="preserve"> 63: 477–99.</w:t>
      </w:r>
    </w:p>
    <w:p w14:paraId="73531D34"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Darling, Aaron E et al. 2014. “PhyloSift: Phylogenetic Analysis of Genomes and Metagenomes.” </w:t>
      </w:r>
      <w:r w:rsidRPr="004B78F5">
        <w:rPr>
          <w:rFonts w:cs="Times New Roman"/>
          <w:i/>
          <w:iCs/>
          <w:noProof/>
          <w:szCs w:val="24"/>
        </w:rPr>
        <w:t>PeerJ</w:t>
      </w:r>
      <w:r w:rsidRPr="004B78F5">
        <w:rPr>
          <w:rFonts w:cs="Times New Roman"/>
          <w:noProof/>
          <w:szCs w:val="24"/>
        </w:rPr>
        <w:t xml:space="preserve"> 2: e243. https://peerj.com/articles/243.</w:t>
      </w:r>
    </w:p>
    <w:p w14:paraId="5694372B"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Eiler, Alexander et al. 2015. “Tuning Fresh: Radiation through Rewiring of Central Metabolism in Streamlined Bacteria.” </w:t>
      </w:r>
      <w:r w:rsidRPr="004B78F5">
        <w:rPr>
          <w:rFonts w:cs="Times New Roman"/>
          <w:i/>
          <w:iCs/>
          <w:noProof/>
          <w:szCs w:val="24"/>
        </w:rPr>
        <w:t>The ISME Journal</w:t>
      </w:r>
      <w:r w:rsidRPr="004B78F5">
        <w:rPr>
          <w:rFonts w:cs="Times New Roman"/>
          <w:noProof/>
          <w:szCs w:val="24"/>
        </w:rPr>
        <w:t xml:space="preserve"> (January 2016): 1–13. http://dx.doi.org/10.1038/ismej.2015.260.</w:t>
      </w:r>
    </w:p>
    <w:p w14:paraId="0F156063"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Field, Dawn et al. 2006. “Open Software for Biologists: From Famine to Feast.” </w:t>
      </w:r>
      <w:r w:rsidRPr="004B78F5">
        <w:rPr>
          <w:rFonts w:cs="Times New Roman"/>
          <w:i/>
          <w:iCs/>
          <w:noProof/>
          <w:szCs w:val="24"/>
        </w:rPr>
        <w:t>Nature Biotechnology</w:t>
      </w:r>
      <w:r w:rsidRPr="004B78F5">
        <w:rPr>
          <w:rFonts w:cs="Times New Roman"/>
          <w:noProof/>
          <w:szCs w:val="24"/>
        </w:rPr>
        <w:t xml:space="preserve"> 24(7): 801–3.</w:t>
      </w:r>
    </w:p>
    <w:p w14:paraId="421F81CB"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Ghylin, Trevor W. et al. 2014. “Comparative Single-Cell Genomics Reveals Potential Ecological Niches for the Freshwater acI Actinobacteria Lineage.” </w:t>
      </w:r>
      <w:r w:rsidRPr="004B78F5">
        <w:rPr>
          <w:rFonts w:cs="Times New Roman"/>
          <w:i/>
          <w:iCs/>
          <w:noProof/>
          <w:szCs w:val="24"/>
        </w:rPr>
        <w:t>The ISME journal</w:t>
      </w:r>
      <w:r w:rsidRPr="004B78F5">
        <w:rPr>
          <w:rFonts w:cs="Times New Roman"/>
          <w:noProof/>
          <w:szCs w:val="24"/>
        </w:rPr>
        <w:t xml:space="preserve"> 8(12): 2503–16.</w:t>
      </w:r>
    </w:p>
    <w:p w14:paraId="4DC31BB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Gimmler, Anna et al. 2016. “The Tara Oceans Voyage Reveals Global Diversity and Distribution Patterns of Marine Planktonic Ciliates.” </w:t>
      </w:r>
      <w:r w:rsidRPr="004B78F5">
        <w:rPr>
          <w:rFonts w:cs="Times New Roman"/>
          <w:i/>
          <w:iCs/>
          <w:noProof/>
          <w:szCs w:val="24"/>
        </w:rPr>
        <w:t>Nature Publishing Group</w:t>
      </w:r>
      <w:r w:rsidRPr="004B78F5">
        <w:rPr>
          <w:rFonts w:cs="Times New Roman"/>
          <w:noProof/>
          <w:szCs w:val="24"/>
        </w:rPr>
        <w:t xml:space="preserve"> (April): 1–13. http://dx.doi.org/10.1038/srep33555.</w:t>
      </w:r>
    </w:p>
    <w:p w14:paraId="510A321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Giroldo, Danilo, Armando Augusto, and Henriques Vieira. 2005. “Polymeric and Free Sugars Released by Three Phytoplanktonic Species from a Freshwater Tropical Eutrophic Reservoir.” </w:t>
      </w:r>
      <w:r w:rsidRPr="004B78F5">
        <w:rPr>
          <w:rFonts w:cs="Times New Roman"/>
          <w:i/>
          <w:iCs/>
          <w:noProof/>
          <w:szCs w:val="24"/>
        </w:rPr>
        <w:t>Journal of Plankton Research</w:t>
      </w:r>
      <w:r w:rsidRPr="004B78F5">
        <w:rPr>
          <w:rFonts w:cs="Times New Roman"/>
          <w:noProof/>
          <w:szCs w:val="24"/>
        </w:rPr>
        <w:t xml:space="preserve"> 27(7): 695–705.</w:t>
      </w:r>
    </w:p>
    <w:p w14:paraId="0F2F64B6"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Hall, Michael W et al. 2017. “Ananke : Temporal Clustering Reveals Ecological Dynamics of Microbial Communities.” </w:t>
      </w:r>
      <w:r w:rsidRPr="004B78F5">
        <w:rPr>
          <w:rFonts w:cs="Times New Roman"/>
          <w:i/>
          <w:iCs/>
          <w:noProof/>
          <w:szCs w:val="24"/>
        </w:rPr>
        <w:t>PeerJ</w:t>
      </w:r>
      <w:r w:rsidRPr="004B78F5">
        <w:rPr>
          <w:rFonts w:cs="Times New Roman"/>
          <w:noProof/>
          <w:szCs w:val="24"/>
        </w:rPr>
        <w:t xml:space="preserve"> 5(e3812): 1–19.</w:t>
      </w:r>
    </w:p>
    <w:p w14:paraId="283745E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Hamilton, Joshua J et al. 2017. “Metabolic Network Analysis and Metatranscriptomics Reveal Auxotrophies and Nutrient Sources of the Cosmopolitan Freshwater Microbial Lineage acI.” 2(4): 1–13.</w:t>
      </w:r>
    </w:p>
    <w:p w14:paraId="6B807F35"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Hanson, T E, and F R Tabita. 2001. “A Ribulose-1,5-Bisphosphate Carboxylase/oxygenase (RubisCO)-like Protein from Chlorobium Tepidum That Is Involved with Sulfur Metabolism and the Response to Oxidative Stress.” </w:t>
      </w:r>
      <w:r w:rsidRPr="004B78F5">
        <w:rPr>
          <w:rFonts w:cs="Times New Roman"/>
          <w:i/>
          <w:iCs/>
          <w:noProof/>
          <w:szCs w:val="24"/>
        </w:rPr>
        <w:t>Proceedings of the National Academy of Sciences of the United States of America</w:t>
      </w:r>
      <w:r w:rsidRPr="004B78F5">
        <w:rPr>
          <w:rFonts w:cs="Times New Roman"/>
          <w:noProof/>
          <w:szCs w:val="24"/>
        </w:rPr>
        <w:t xml:space="preserve"> 98(8): 4397–4402. http://www.pubmedcentral.nih.gov/articlerender.fcgi?artid=31846&amp;tool=pmcentrez&amp;rendertype=abstract.</w:t>
      </w:r>
    </w:p>
    <w:p w14:paraId="3B9D167B"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He, Shaomei et al. 2017. “Ecophysiology of Freshwater Verrucomicrobia Inferred from Metagenome-Assembled Genomes.” </w:t>
      </w:r>
      <w:r w:rsidRPr="004B78F5">
        <w:rPr>
          <w:rFonts w:cs="Times New Roman"/>
          <w:i/>
          <w:iCs/>
          <w:noProof/>
          <w:szCs w:val="24"/>
        </w:rPr>
        <w:t>mSphere</w:t>
      </w:r>
      <w:r w:rsidRPr="004B78F5">
        <w:rPr>
          <w:rFonts w:cs="Times New Roman"/>
          <w:noProof/>
          <w:szCs w:val="24"/>
        </w:rPr>
        <w:t xml:space="preserve"> 2(5): 1–17.</w:t>
      </w:r>
    </w:p>
    <w:p w14:paraId="14743AD6"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Igarashi, Kazuei, and Keiko Kashiwagi. 1999. “Polyamine Transport in Bacteria and Yeast.” </w:t>
      </w:r>
      <w:r w:rsidRPr="004B78F5">
        <w:rPr>
          <w:rFonts w:cs="Times New Roman"/>
          <w:i/>
          <w:iCs/>
          <w:noProof/>
          <w:szCs w:val="24"/>
        </w:rPr>
        <w:t>Biochem. J.</w:t>
      </w:r>
      <w:r w:rsidRPr="004B78F5">
        <w:rPr>
          <w:rFonts w:cs="Times New Roman"/>
          <w:noProof/>
          <w:szCs w:val="24"/>
        </w:rPr>
        <w:t xml:space="preserve"> 344: 633–42.</w:t>
      </w:r>
    </w:p>
    <w:p w14:paraId="4A01E887"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Jorgenson, Niels OG et al. 1998. “Effects of Sunlight on Occurrence and Bacterial Turnover of </w:t>
      </w:r>
      <w:r w:rsidRPr="004B78F5">
        <w:rPr>
          <w:rFonts w:cs="Times New Roman"/>
          <w:noProof/>
          <w:szCs w:val="24"/>
        </w:rPr>
        <w:lastRenderedPageBreak/>
        <w:t xml:space="preserve">Specific Carbon and Nitrogen Compounds in Lake Water.” </w:t>
      </w:r>
      <w:r w:rsidRPr="004B78F5">
        <w:rPr>
          <w:rFonts w:cs="Times New Roman"/>
          <w:i/>
          <w:iCs/>
          <w:noProof/>
          <w:szCs w:val="24"/>
        </w:rPr>
        <w:t>FEMS Microbiology Ecology</w:t>
      </w:r>
      <w:r w:rsidRPr="004B78F5">
        <w:rPr>
          <w:rFonts w:cs="Times New Roman"/>
          <w:noProof/>
          <w:szCs w:val="24"/>
        </w:rPr>
        <w:t xml:space="preserve"> 25: 217–27.</w:t>
      </w:r>
    </w:p>
    <w:p w14:paraId="46425324"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Juttner, F, and T Matuschek. 1977. “The Release of Low Molecular Weight Compounds by the Phytoplankton in an Eutrophic Lake.” </w:t>
      </w:r>
      <w:r w:rsidRPr="004B78F5">
        <w:rPr>
          <w:rFonts w:cs="Times New Roman"/>
          <w:i/>
          <w:iCs/>
          <w:noProof/>
          <w:szCs w:val="24"/>
        </w:rPr>
        <w:t>Water</w:t>
      </w:r>
      <w:r w:rsidRPr="004B78F5">
        <w:rPr>
          <w:rFonts w:cs="Times New Roman"/>
          <w:noProof/>
          <w:szCs w:val="24"/>
        </w:rPr>
        <w:t xml:space="preserve"> 12: 251–55.</w:t>
      </w:r>
    </w:p>
    <w:p w14:paraId="797C6C95"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Kalyuzhnaya, Marina G et al. 2012. “Novel Methylotrophic Isolates from Lake Sediment, Description of Methylotenera Versatilis Sp. Nov. and Emended Description of the Genus Methylotenera.” </w:t>
      </w:r>
      <w:r w:rsidRPr="004B78F5">
        <w:rPr>
          <w:rFonts w:cs="Times New Roman"/>
          <w:i/>
          <w:iCs/>
          <w:noProof/>
          <w:szCs w:val="24"/>
        </w:rPr>
        <w:t>International journal of systematic and evolutionary microbiology</w:t>
      </w:r>
      <w:r w:rsidRPr="004B78F5">
        <w:rPr>
          <w:rFonts w:cs="Times New Roman"/>
          <w:noProof/>
          <w:szCs w:val="24"/>
        </w:rPr>
        <w:t xml:space="preserve"> 62(Pt 1): 106–11. http://www.ncbi.nlm.nih.gov/pubmed/21335496.</w:t>
      </w:r>
    </w:p>
    <w:p w14:paraId="355E8E8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4B78F5">
        <w:rPr>
          <w:rFonts w:cs="Times New Roman"/>
          <w:i/>
          <w:iCs/>
          <w:noProof/>
          <w:szCs w:val="24"/>
        </w:rPr>
        <w:t>European Journal of Biochemistry</w:t>
      </w:r>
      <w:r w:rsidRPr="004B78F5">
        <w:rPr>
          <w:rFonts w:cs="Times New Roman"/>
          <w:noProof/>
          <w:szCs w:val="24"/>
        </w:rPr>
        <w:t xml:space="preserve"> 269(7): 1926–31.</w:t>
      </w:r>
    </w:p>
    <w:p w14:paraId="078EE1B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Kang, Dongwan D, Jeff Froula, Rob Egan, and Zhong Wang. 2015. “MetaBAT, an Efficient Tool for Accurately Reconstructing Single Genomes from Complex Microbial Communities.” </w:t>
      </w:r>
      <w:r w:rsidRPr="004B78F5">
        <w:rPr>
          <w:rFonts w:cs="Times New Roman"/>
          <w:i/>
          <w:iCs/>
          <w:noProof/>
          <w:szCs w:val="24"/>
        </w:rPr>
        <w:t>PeerJ</w:t>
      </w:r>
      <w:r w:rsidRPr="004B78F5">
        <w:rPr>
          <w:rFonts w:cs="Times New Roman"/>
          <w:noProof/>
          <w:szCs w:val="24"/>
        </w:rPr>
        <w:t xml:space="preserve"> 3: e1165. https://peerj.com/articles/1165.</w:t>
      </w:r>
    </w:p>
    <w:p w14:paraId="0F76931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Kara, Emily L et al. 2013. “A Decade of Seasonal Dynamics and Co-Occurrences within Freshwater Bacterioplankton Communities from Eutrophic Lake Mendota, WI, USA.” </w:t>
      </w:r>
      <w:r w:rsidRPr="004B78F5">
        <w:rPr>
          <w:rFonts w:cs="Times New Roman"/>
          <w:i/>
          <w:iCs/>
          <w:noProof/>
          <w:szCs w:val="24"/>
        </w:rPr>
        <w:t>The ISME journal</w:t>
      </w:r>
      <w:r w:rsidRPr="004B78F5">
        <w:rPr>
          <w:rFonts w:cs="Times New Roman"/>
          <w:noProof/>
          <w:szCs w:val="24"/>
        </w:rPr>
        <w:t xml:space="preserve"> 7(3): 680–84. http://www.ncbi.nlm.nih.gov/pubmed/23051691 (February 11, 2014).</w:t>
      </w:r>
    </w:p>
    <w:p w14:paraId="52F65A4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4B78F5">
        <w:rPr>
          <w:rFonts w:cs="Times New Roman"/>
          <w:i/>
          <w:iCs/>
          <w:noProof/>
          <w:szCs w:val="24"/>
        </w:rPr>
        <w:t>Aquatic Microbial Ecology</w:t>
      </w:r>
      <w:r w:rsidRPr="004B78F5">
        <w:rPr>
          <w:rFonts w:cs="Times New Roman"/>
          <w:noProof/>
          <w:szCs w:val="24"/>
        </w:rPr>
        <w:t xml:space="preserve"> 68: 267–72.</w:t>
      </w:r>
    </w:p>
    <w:p w14:paraId="4FF2767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Latypova, Ekaterina et al. 2010. “Genetics of the Glutamate-Mediated Methylamine Utilization Pathway in the Facultative Methylotrophic Beta-Proteobacterium Methyloversatilis Universalis FAM5.” 75(December 2009): 426–39.</w:t>
      </w:r>
    </w:p>
    <w:p w14:paraId="23B6915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Li, Heng, and Richard Durbin. 2010. “Fast and Accurate Long-Read Alignment with Burrows-Wheeler Transform.” </w:t>
      </w:r>
      <w:r w:rsidRPr="004B78F5">
        <w:rPr>
          <w:rFonts w:cs="Times New Roman"/>
          <w:i/>
          <w:iCs/>
          <w:noProof/>
          <w:szCs w:val="24"/>
        </w:rPr>
        <w:t>Bioinformatics</w:t>
      </w:r>
      <w:r w:rsidRPr="004B78F5">
        <w:rPr>
          <w:rFonts w:cs="Times New Roman"/>
          <w:noProof/>
          <w:szCs w:val="24"/>
        </w:rPr>
        <w:t xml:space="preserve"> 26(5): 589–95.</w:t>
      </w:r>
    </w:p>
    <w:p w14:paraId="2DF16FBF"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Linz, Alexandra M. et al. 2017. “Bacterial Community Composition and Dynamics Spanning Five Years in Freshwater Bog Lakes.” </w:t>
      </w:r>
      <w:r w:rsidRPr="004B78F5">
        <w:rPr>
          <w:rFonts w:cs="Times New Roman"/>
          <w:i/>
          <w:iCs/>
          <w:noProof/>
          <w:szCs w:val="24"/>
        </w:rPr>
        <w:t>mSphere</w:t>
      </w:r>
      <w:r w:rsidRPr="004B78F5">
        <w:rPr>
          <w:rFonts w:cs="Times New Roman"/>
          <w:noProof/>
          <w:szCs w:val="24"/>
        </w:rPr>
        <w:t xml:space="preserve"> 2(3): 1–15.</w:t>
      </w:r>
    </w:p>
    <w:p w14:paraId="2258C96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Luo, Ruibang et al. 2012. “SOAPdenovo2: An Empirically Improved Memory-Efficient Short-Read de Novo Assembler.” </w:t>
      </w:r>
      <w:r w:rsidRPr="004B78F5">
        <w:rPr>
          <w:rFonts w:cs="Times New Roman"/>
          <w:i/>
          <w:iCs/>
          <w:noProof/>
          <w:szCs w:val="24"/>
        </w:rPr>
        <w:t>GigaScience</w:t>
      </w:r>
      <w:r w:rsidRPr="004B78F5">
        <w:rPr>
          <w:rFonts w:cs="Times New Roman"/>
          <w:noProof/>
          <w:szCs w:val="24"/>
        </w:rPr>
        <w:t xml:space="preserve"> 1(1): 18. http://www.gigasciencejournal.com/content/1/1/18%5Cnhttp://www.pubmedcentral.nih.gov/articlerender.fcgi?artid=3626529&amp;tool=pmcentrez&amp;rendertype=abstract.</w:t>
      </w:r>
    </w:p>
    <w:p w14:paraId="433263A8"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Markowitz, Victor M. et al. 2012. “IMG: The Integrated Microbial Genomes Database and Comparative Analysis System.” </w:t>
      </w:r>
      <w:r w:rsidRPr="004B78F5">
        <w:rPr>
          <w:rFonts w:cs="Times New Roman"/>
          <w:i/>
          <w:iCs/>
          <w:noProof/>
          <w:szCs w:val="24"/>
        </w:rPr>
        <w:t>Nucleic Acids Research</w:t>
      </w:r>
      <w:r w:rsidRPr="004B78F5">
        <w:rPr>
          <w:rFonts w:cs="Times New Roman"/>
          <w:noProof/>
          <w:szCs w:val="24"/>
        </w:rPr>
        <w:t xml:space="preserve"> 40(D1): 115–22.</w:t>
      </w:r>
    </w:p>
    <w:p w14:paraId="7F26009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Martinez-Garcia, Manuel et al. 2012. “High-Throughput Single-Cell Sequencing Identifies Photoheterotrophs and Chemoautotrophs in Freshwater Bacterioplankton.” </w:t>
      </w:r>
      <w:r w:rsidRPr="004B78F5">
        <w:rPr>
          <w:rFonts w:cs="Times New Roman"/>
          <w:i/>
          <w:iCs/>
          <w:noProof/>
          <w:szCs w:val="24"/>
        </w:rPr>
        <w:t>The ISME Journal</w:t>
      </w:r>
      <w:r w:rsidRPr="004B78F5">
        <w:rPr>
          <w:rFonts w:cs="Times New Roman"/>
          <w:noProof/>
          <w:szCs w:val="24"/>
        </w:rPr>
        <w:t xml:space="preserve"> 6(1): 113–23. http://dx.doi.org/10.1038/ismej.2011.84.</w:t>
      </w:r>
    </w:p>
    <w:p w14:paraId="6FF0A106"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McGowan, Suzanne et al. 2016. “Long-Term Perspectives on Terrestrial and Aquatic Carbon Cycling from Palaeolimnology.” </w:t>
      </w:r>
      <w:r w:rsidRPr="004B78F5">
        <w:rPr>
          <w:rFonts w:cs="Times New Roman"/>
          <w:i/>
          <w:iCs/>
          <w:noProof/>
          <w:szCs w:val="24"/>
        </w:rPr>
        <w:t>WIREs Water</w:t>
      </w:r>
      <w:r w:rsidRPr="004B78F5">
        <w:rPr>
          <w:rFonts w:cs="Times New Roman"/>
          <w:noProof/>
          <w:szCs w:val="24"/>
        </w:rPr>
        <w:t xml:space="preserve"> 3: 211–34.</w:t>
      </w:r>
    </w:p>
    <w:p w14:paraId="7D5E682D"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lastRenderedPageBreak/>
        <w:t xml:space="preserve">Miles, R J. 1992. “Review Article Catabolism in </w:t>
      </w:r>
      <w:r w:rsidRPr="004B78F5">
        <w:rPr>
          <w:rFonts w:cs="Times New Roman"/>
          <w:i/>
          <w:iCs/>
          <w:noProof/>
          <w:szCs w:val="24"/>
        </w:rPr>
        <w:t>Mollicutes</w:t>
      </w:r>
      <w:r w:rsidRPr="004B78F5">
        <w:rPr>
          <w:rFonts w:cs="Times New Roman"/>
          <w:noProof/>
          <w:szCs w:val="24"/>
        </w:rPr>
        <w:t xml:space="preserve">.” </w:t>
      </w:r>
      <w:r w:rsidRPr="004B78F5">
        <w:rPr>
          <w:rFonts w:cs="Times New Roman"/>
          <w:i/>
          <w:iCs/>
          <w:noProof/>
          <w:szCs w:val="24"/>
        </w:rPr>
        <w:t>Journal of General Microbiology</w:t>
      </w:r>
      <w:r w:rsidRPr="004B78F5">
        <w:rPr>
          <w:rFonts w:cs="Times New Roman"/>
          <w:noProof/>
          <w:szCs w:val="24"/>
        </w:rPr>
        <w:t xml:space="preserve"> 138(1 992): 1773–83.</w:t>
      </w:r>
    </w:p>
    <w:p w14:paraId="29CF7013"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Mou, Xiaozhen et al. 2011. “Metatranscriptomic Signature of Exogenous Polyamine Utilization by Coastal Bacterioplankton.” 3: 798–806.</w:t>
      </w:r>
    </w:p>
    <w:p w14:paraId="160B47C5"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Paradis, Emmanuel, Julien Claude, and Korbinian Strimmer. 2004. “APE: Analyses of Phylogenetics and Evolution in R Language.” </w:t>
      </w:r>
      <w:r w:rsidRPr="004B78F5">
        <w:rPr>
          <w:rFonts w:cs="Times New Roman"/>
          <w:i/>
          <w:iCs/>
          <w:noProof/>
          <w:szCs w:val="24"/>
        </w:rPr>
        <w:t>Bioinformatics</w:t>
      </w:r>
      <w:r w:rsidRPr="004B78F5">
        <w:rPr>
          <w:rFonts w:cs="Times New Roman"/>
          <w:noProof/>
          <w:szCs w:val="24"/>
        </w:rPr>
        <w:t xml:space="preserve"> 20(2): 289–90.</w:t>
      </w:r>
    </w:p>
    <w:p w14:paraId="49CD134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Parks, Donovan H et al. 2015. “CheckM: Assessing the Quality of Microbial Genomes Recovered from Isolates, Single Cells, and Metagenomes.” </w:t>
      </w:r>
      <w:r w:rsidRPr="004B78F5">
        <w:rPr>
          <w:rFonts w:cs="Times New Roman"/>
          <w:i/>
          <w:iCs/>
          <w:noProof/>
          <w:szCs w:val="24"/>
        </w:rPr>
        <w:t>Genome Research</w:t>
      </w:r>
      <w:r w:rsidRPr="004B78F5">
        <w:rPr>
          <w:rFonts w:cs="Times New Roman"/>
          <w:noProof/>
          <w:szCs w:val="24"/>
        </w:rPr>
        <w:t xml:space="preserve"> 25(7).</w:t>
      </w:r>
    </w:p>
    <w:p w14:paraId="5B68716A"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50D3D05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Peters, John W. et al. 2015. “[FeFe]- and [NiFe]-Hydrogenase Diversity, Mechanism, and Maturation.” </w:t>
      </w:r>
      <w:r w:rsidRPr="004B78F5">
        <w:rPr>
          <w:rFonts w:cs="Times New Roman"/>
          <w:i/>
          <w:iCs/>
          <w:noProof/>
          <w:szCs w:val="24"/>
        </w:rPr>
        <w:t>Biochimica et Biophysica Acta - Molecular Cell Research</w:t>
      </w:r>
      <w:r w:rsidRPr="004B78F5">
        <w:rPr>
          <w:rFonts w:cs="Times New Roman"/>
          <w:noProof/>
          <w:szCs w:val="24"/>
        </w:rPr>
        <w:t xml:space="preserve"> 1853(6): 1350–69. http://dx.doi.org/10.1016/j.bbamcr.2014.11.021.</w:t>
      </w:r>
    </w:p>
    <w:p w14:paraId="68EB80F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Peura, Sari et al. 2012. “Distinct and Diverse Anaerobic Bacterial Communities in Boreal Lakes Dominated by Candidate Division OD1.” </w:t>
      </w:r>
      <w:r w:rsidRPr="004B78F5">
        <w:rPr>
          <w:rFonts w:cs="Times New Roman"/>
          <w:i/>
          <w:iCs/>
          <w:noProof/>
          <w:szCs w:val="24"/>
        </w:rPr>
        <w:t>ISME journal</w:t>
      </w:r>
      <w:r w:rsidRPr="004B78F5">
        <w:rPr>
          <w:rFonts w:cs="Times New Roman"/>
          <w:noProof/>
          <w:szCs w:val="24"/>
        </w:rPr>
        <w:t xml:space="preserve"> 6: 1640–52.</w:t>
      </w:r>
    </w:p>
    <w:p w14:paraId="2DBFD096"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Peura, Sari, Lucas Sinclair, Stefan Bertilsson, and Alexander Eiler. 2015. “Metagenomic Insights into Strategies of Aerobic and Anaerobic Carbon and Nitrogen Transformation in Boreal Lakes.” </w:t>
      </w:r>
      <w:r w:rsidRPr="004B78F5">
        <w:rPr>
          <w:rFonts w:cs="Times New Roman"/>
          <w:i/>
          <w:iCs/>
          <w:noProof/>
          <w:szCs w:val="24"/>
        </w:rPr>
        <w:t>Scientific Reports</w:t>
      </w:r>
      <w:r w:rsidRPr="004B78F5">
        <w:rPr>
          <w:rFonts w:cs="Times New Roman"/>
          <w:noProof/>
          <w:szCs w:val="24"/>
        </w:rPr>
        <w:t xml:space="preserve"> 5(February): 12102. http://www.nature.com/doifinder/10.1038/srep12102.</w:t>
      </w:r>
    </w:p>
    <w:p w14:paraId="32B1D532"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Price, Morgan N., Paramvir S. Dehal, and Adam P. Arkin. 2010. “FastTree 2 - Approximately Maximum-Likelihood Trees for Large Alignments.” </w:t>
      </w:r>
      <w:r w:rsidRPr="004B78F5">
        <w:rPr>
          <w:rFonts w:cs="Times New Roman"/>
          <w:i/>
          <w:iCs/>
          <w:noProof/>
          <w:szCs w:val="24"/>
        </w:rPr>
        <w:t>PLoS ONE</w:t>
      </w:r>
      <w:r w:rsidRPr="004B78F5">
        <w:rPr>
          <w:rFonts w:cs="Times New Roman"/>
          <w:noProof/>
          <w:szCs w:val="24"/>
        </w:rPr>
        <w:t xml:space="preserve"> 5(3).</w:t>
      </w:r>
    </w:p>
    <w:p w14:paraId="6B4CBCA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Remsen, Charles C, Edward J Carpenter, and Brian W Schroeder. 1972. “Competition for Urea among Estuarine Microorganisms.” </w:t>
      </w:r>
      <w:r w:rsidRPr="004B78F5">
        <w:rPr>
          <w:rFonts w:cs="Times New Roman"/>
          <w:i/>
          <w:iCs/>
          <w:noProof/>
          <w:szCs w:val="24"/>
        </w:rPr>
        <w:t>Ecological Society of America</w:t>
      </w:r>
      <w:r w:rsidRPr="004B78F5">
        <w:rPr>
          <w:rFonts w:cs="Times New Roman"/>
          <w:noProof/>
          <w:szCs w:val="24"/>
        </w:rPr>
        <w:t xml:space="preserve"> 53(5): 921–26.</w:t>
      </w:r>
    </w:p>
    <w:p w14:paraId="79EF06B2"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Rinke, Christian et al. 2013. “Insights into the Phylogeny and Coding Potential of Microbial Dark Matter.” </w:t>
      </w:r>
      <w:r w:rsidRPr="004B78F5">
        <w:rPr>
          <w:rFonts w:cs="Times New Roman"/>
          <w:i/>
          <w:iCs/>
          <w:noProof/>
          <w:szCs w:val="24"/>
        </w:rPr>
        <w:t>Nature</w:t>
      </w:r>
      <w:r w:rsidRPr="004B78F5">
        <w:rPr>
          <w:rFonts w:cs="Times New Roman"/>
          <w:noProof/>
          <w:szCs w:val="24"/>
        </w:rPr>
        <w:t xml:space="preserve"> 499(7459): 431–37. http://www.ncbi.nlm.nih.gov/pubmed/23851394.</w:t>
      </w:r>
    </w:p>
    <w:p w14:paraId="61E0D06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Salcher, Michaela M, Stefan M Neuenschwander, Thomas Posch, and Jakob Pernthaler. 2015a. “The Ecology of Pelagic Freshwater Methylotrophs Assessed by a High-Resolution Monitoring and Isolation Campaign.” 9(11): 2442–53. http://dx.doi.org/10.1038/ismej.2015.55.</w:t>
      </w:r>
    </w:p>
    <w:p w14:paraId="08A6DA8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 2015b. “The Ecology of Pelagic Freshwater Methylotrophs Assessed by a High-Resolution Monitoring and Isolation Campaign.” </w:t>
      </w:r>
      <w:r w:rsidRPr="004B78F5">
        <w:rPr>
          <w:rFonts w:cs="Times New Roman"/>
          <w:i/>
          <w:iCs/>
          <w:noProof/>
          <w:szCs w:val="24"/>
        </w:rPr>
        <w:t>The ISME Journal</w:t>
      </w:r>
      <w:r w:rsidRPr="004B78F5">
        <w:rPr>
          <w:rFonts w:cs="Times New Roman"/>
          <w:noProof/>
          <w:szCs w:val="24"/>
        </w:rPr>
        <w:t>: 1–12. http://www.nature.com/doifinder/10.1038/ismej.2015.55.</w:t>
      </w:r>
    </w:p>
    <w:p w14:paraId="0419425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Sommer, Daniel D, Arthur L Delcher, Steven L Salzberg, and Mihai Pop. 2007. “Minimus: A Fast, Lightweight Genome Assembler.” </w:t>
      </w:r>
      <w:r w:rsidRPr="004B78F5">
        <w:rPr>
          <w:rFonts w:cs="Times New Roman"/>
          <w:i/>
          <w:iCs/>
          <w:noProof/>
          <w:szCs w:val="24"/>
        </w:rPr>
        <w:t>BMC bioinformatics</w:t>
      </w:r>
      <w:r w:rsidRPr="004B78F5">
        <w:rPr>
          <w:rFonts w:cs="Times New Roman"/>
          <w:noProof/>
          <w:szCs w:val="24"/>
        </w:rPr>
        <w:t xml:space="preserve"> 8: 64.</w:t>
      </w:r>
    </w:p>
    <w:p w14:paraId="58137F7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Tang, Kuo Hsiang, and Robert E. Blankenship. 2010. “Both Forward and Reverse TCA Cycles Operate in Green Sulfur Bacteria.” </w:t>
      </w:r>
      <w:r w:rsidRPr="004B78F5">
        <w:rPr>
          <w:rFonts w:cs="Times New Roman"/>
          <w:i/>
          <w:iCs/>
          <w:noProof/>
          <w:szCs w:val="24"/>
        </w:rPr>
        <w:t>Journal of Biological Chemistry</w:t>
      </w:r>
      <w:r w:rsidRPr="004B78F5">
        <w:rPr>
          <w:rFonts w:cs="Times New Roman"/>
          <w:noProof/>
          <w:szCs w:val="24"/>
        </w:rPr>
        <w:t xml:space="preserve"> 285(46): 35848–54.</w:t>
      </w:r>
    </w:p>
    <w:p w14:paraId="7F0CD87B"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lastRenderedPageBreak/>
        <w:t xml:space="preserve">Team, R Core. 2015. “R: A Language and Environment for Statistical Computing.” </w:t>
      </w:r>
      <w:r w:rsidRPr="004B78F5">
        <w:rPr>
          <w:rFonts w:cs="Times New Roman"/>
          <w:i/>
          <w:iCs/>
          <w:noProof/>
          <w:szCs w:val="24"/>
        </w:rPr>
        <w:t>R Foundation for Statistical Computing, Vienna, Austria</w:t>
      </w:r>
      <w:r w:rsidRPr="004B78F5">
        <w:rPr>
          <w:rFonts w:cs="Times New Roman"/>
          <w:noProof/>
          <w:szCs w:val="24"/>
        </w:rPr>
        <w:t>: http://www.R-project.org/.</w:t>
      </w:r>
    </w:p>
    <w:p w14:paraId="2AD9DCFF"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Varghese, Neha J et al. 2015. “Microbial Species Delineation Using Whole Genome Sequences.” </w:t>
      </w:r>
      <w:r w:rsidRPr="004B78F5">
        <w:rPr>
          <w:rFonts w:cs="Times New Roman"/>
          <w:i/>
          <w:iCs/>
          <w:noProof/>
          <w:szCs w:val="24"/>
        </w:rPr>
        <w:t>Nucleic acids research</w:t>
      </w:r>
      <w:r w:rsidRPr="004B78F5">
        <w:rPr>
          <w:rFonts w:cs="Times New Roman"/>
          <w:noProof/>
          <w:szCs w:val="24"/>
        </w:rPr>
        <w:t xml:space="preserve"> 43(14): gkv657-. http://nar.oxfordjournals.org/content/early/2015/07/06/nar.gkv657.full.</w:t>
      </w:r>
    </w:p>
    <w:p w14:paraId="02FFF54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Wickham, Hadley. 2007. 21(12) Journal of Statistical Software </w:t>
      </w:r>
      <w:r w:rsidRPr="004B78F5">
        <w:rPr>
          <w:rFonts w:cs="Times New Roman"/>
          <w:i/>
          <w:iCs/>
          <w:noProof/>
          <w:szCs w:val="24"/>
        </w:rPr>
        <w:t>Reshaping Data with the Reshape Package</w:t>
      </w:r>
      <w:r w:rsidRPr="004B78F5">
        <w:rPr>
          <w:rFonts w:cs="Times New Roman"/>
          <w:noProof/>
          <w:szCs w:val="24"/>
        </w:rPr>
        <w:t>.</w:t>
      </w:r>
    </w:p>
    <w:p w14:paraId="3071B26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 2009. “ggplot2: Elegant Graphics for Data Analysis.” </w:t>
      </w:r>
      <w:r w:rsidRPr="004B78F5">
        <w:rPr>
          <w:rFonts w:cs="Times New Roman"/>
          <w:i/>
          <w:iCs/>
          <w:noProof/>
          <w:szCs w:val="24"/>
        </w:rPr>
        <w:t>Spring-Verlag New York</w:t>
      </w:r>
      <w:r w:rsidRPr="004B78F5">
        <w:rPr>
          <w:rFonts w:cs="Times New Roman"/>
          <w:noProof/>
          <w:szCs w:val="24"/>
        </w:rPr>
        <w:t>.</w:t>
      </w:r>
    </w:p>
    <w:p w14:paraId="14D6252A"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Williamson, Craig E., Walter Dodds, Timothy K. Kratz, and Margaret A. Palmer. 2008. “Lakes and Streams as Sentinels of Environmental Change in Terrestrial and Atmospheric Processes.” </w:t>
      </w:r>
      <w:r w:rsidRPr="004B78F5">
        <w:rPr>
          <w:rFonts w:cs="Times New Roman"/>
          <w:i/>
          <w:iCs/>
          <w:noProof/>
          <w:szCs w:val="24"/>
        </w:rPr>
        <w:t>Frontiers in Ecology and the Environment</w:t>
      </w:r>
      <w:r w:rsidRPr="004B78F5">
        <w:rPr>
          <w:rFonts w:cs="Times New Roman"/>
          <w:noProof/>
          <w:szCs w:val="24"/>
        </w:rPr>
        <w:t xml:space="preserve"> 6(5): 247–54.</w:t>
      </w:r>
    </w:p>
    <w:p w14:paraId="765C7D84"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Yin, Yanbin et al. 2012. “DbCAN: A Web Resource for Automated Carbohydrate-Active Enzyme Annotation.” </w:t>
      </w:r>
      <w:r w:rsidRPr="004B78F5">
        <w:rPr>
          <w:rFonts w:cs="Times New Roman"/>
          <w:i/>
          <w:iCs/>
          <w:noProof/>
          <w:szCs w:val="24"/>
        </w:rPr>
        <w:t>Nucleic Acids Research</w:t>
      </w:r>
      <w:r w:rsidRPr="004B78F5">
        <w:rPr>
          <w:rFonts w:cs="Times New Roman"/>
          <w:noProof/>
          <w:szCs w:val="24"/>
        </w:rPr>
        <w:t xml:space="preserve"> 40(W1): 445–51.</w:t>
      </w:r>
    </w:p>
    <w:p w14:paraId="5548392C" w14:textId="77777777" w:rsidR="004B78F5" w:rsidRPr="004B78F5" w:rsidRDefault="004B78F5" w:rsidP="004B78F5">
      <w:pPr>
        <w:widowControl w:val="0"/>
        <w:autoSpaceDE w:val="0"/>
        <w:autoSpaceDN w:val="0"/>
        <w:adjustRightInd w:val="0"/>
        <w:spacing w:line="240" w:lineRule="auto"/>
        <w:ind w:left="480" w:hanging="480"/>
        <w:rPr>
          <w:rFonts w:cs="Times New Roman"/>
          <w:noProof/>
        </w:rPr>
      </w:pPr>
      <w:r w:rsidRPr="004B78F5">
        <w:rPr>
          <w:rFonts w:cs="Times New Roman"/>
          <w:noProof/>
          <w:szCs w:val="24"/>
        </w:rPr>
        <w:t xml:space="preserve">Zheng, Yanning et al. 2018. “A Pathway for Biological Methane Production Using Bacterial Iron-Only Nitrogenase.” </w:t>
      </w:r>
      <w:r w:rsidRPr="004B78F5">
        <w:rPr>
          <w:rFonts w:cs="Times New Roman"/>
          <w:i/>
          <w:iCs/>
          <w:noProof/>
          <w:szCs w:val="24"/>
        </w:rPr>
        <w:t>Nature Microbiology</w:t>
      </w:r>
      <w:r w:rsidRPr="004B78F5">
        <w:rPr>
          <w:rFonts w:cs="Times New Roman"/>
          <w:noProof/>
          <w:szCs w:val="24"/>
        </w:rPr>
        <w:t xml:space="preserve"> 4. http://www.nature.com/articles/s41564-017-0091-5.</w:t>
      </w:r>
    </w:p>
    <w:p w14:paraId="072EEDC6" w14:textId="7F1B029C" w:rsidR="00C9067D" w:rsidRDefault="00C9067D" w:rsidP="00C9067D">
      <w:r>
        <w:fldChar w:fldCharType="end"/>
      </w:r>
    </w:p>
    <w:p w14:paraId="4A4025F7" w14:textId="785E66D2" w:rsidR="00791216" w:rsidRDefault="00791216" w:rsidP="00791216">
      <w:pPr>
        <w:pStyle w:val="Heading2"/>
      </w:pPr>
      <w:r>
        <w:t>Supplemental</w:t>
      </w:r>
    </w:p>
    <w:p w14:paraId="17747DCB" w14:textId="77777777" w:rsidR="00D63038" w:rsidRDefault="00D63038" w:rsidP="00D63038">
      <w:pPr>
        <w:rPr>
          <w:b/>
        </w:rPr>
      </w:pPr>
      <w:r>
        <w:rPr>
          <w:b/>
        </w:rPr>
        <w:t>Table S1. Additional chemical concentrations in our study sites.</w:t>
      </w:r>
    </w:p>
    <w:p w14:paraId="589B801F" w14:textId="77777777" w:rsidR="00D63038" w:rsidRPr="00D63038" w:rsidRDefault="00D63038" w:rsidP="00D63038"/>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91216" w14:paraId="5E971259" w14:textId="77777777" w:rsidTr="00791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6B851184" w14:textId="77777777" w:rsidR="00791216" w:rsidRDefault="00791216" w:rsidP="00F74885">
            <w:pPr>
              <w:spacing w:line="360" w:lineRule="auto"/>
              <w:jc w:val="center"/>
            </w:pPr>
          </w:p>
        </w:tc>
        <w:tc>
          <w:tcPr>
            <w:tcW w:w="1980" w:type="dxa"/>
          </w:tcPr>
          <w:p w14:paraId="6AFDEA83"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2A1AA3A5"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5B04B4C0"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5420A85E" w14:textId="77777777" w:rsidTr="0079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4A7D00C" w14:textId="58CBE006" w:rsidR="00791216" w:rsidRDefault="00791216" w:rsidP="00F74885">
            <w:pPr>
              <w:spacing w:line="360" w:lineRule="auto"/>
            </w:pPr>
            <w:r>
              <w:t>Chloride (ppm)</w:t>
            </w:r>
          </w:p>
        </w:tc>
        <w:tc>
          <w:tcPr>
            <w:tcW w:w="1980" w:type="dxa"/>
          </w:tcPr>
          <w:p w14:paraId="14E555E5" w14:textId="3DF33D06" w:rsidR="00791216" w:rsidRDefault="00890C2F"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44.51</w:t>
            </w:r>
            <w:r w:rsidR="00791216">
              <w:t xml:space="preserve"> (</w:t>
            </w:r>
            <w:r>
              <w:t>4.48</w:t>
            </w:r>
            <w:r w:rsidR="00791216">
              <w:t>)</w:t>
            </w:r>
          </w:p>
        </w:tc>
        <w:tc>
          <w:tcPr>
            <w:tcW w:w="2610" w:type="dxa"/>
          </w:tcPr>
          <w:p w14:paraId="3D1CFD7F" w14:textId="30697A1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w:t>
            </w:r>
            <w:r w:rsidR="00890C2F">
              <w:t>4</w:t>
            </w:r>
            <w:r>
              <w:t xml:space="preserve"> (0.0</w:t>
            </w:r>
            <w:r w:rsidR="00890C2F">
              <w:t>8</w:t>
            </w:r>
            <w:r>
              <w:t>)</w:t>
            </w:r>
          </w:p>
        </w:tc>
        <w:tc>
          <w:tcPr>
            <w:tcW w:w="2880" w:type="dxa"/>
          </w:tcPr>
          <w:p w14:paraId="1C35B9AB" w14:textId="7D68C88D"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w:t>
            </w:r>
            <w:r w:rsidR="00890C2F">
              <w:t>9</w:t>
            </w:r>
            <w:r>
              <w:t xml:space="preserve"> (0.0</w:t>
            </w:r>
            <w:r w:rsidR="00890C2F">
              <w:t>9</w:t>
            </w:r>
            <w:r>
              <w:t>)</w:t>
            </w:r>
          </w:p>
        </w:tc>
      </w:tr>
      <w:tr w:rsidR="00791216" w14:paraId="3E2796FB"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03E7F06C" w14:textId="1C36F1FE" w:rsidR="00791216" w:rsidRDefault="00791216" w:rsidP="00F74885">
            <w:pPr>
              <w:spacing w:line="360" w:lineRule="auto"/>
            </w:pPr>
            <w:r>
              <w:t>Calcium (ppm)</w:t>
            </w:r>
          </w:p>
        </w:tc>
        <w:tc>
          <w:tcPr>
            <w:tcW w:w="1980" w:type="dxa"/>
          </w:tcPr>
          <w:p w14:paraId="73FF23A4" w14:textId="2B33C450" w:rsidR="00791216" w:rsidRDefault="00890C2F"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29.95</w:t>
            </w:r>
            <w:r w:rsidR="00791216">
              <w:t xml:space="preserve"> (</w:t>
            </w:r>
            <w:r>
              <w:t>4.93</w:t>
            </w:r>
            <w:r w:rsidR="00791216">
              <w:t>)</w:t>
            </w:r>
          </w:p>
        </w:tc>
        <w:tc>
          <w:tcPr>
            <w:tcW w:w="2610" w:type="dxa"/>
          </w:tcPr>
          <w:p w14:paraId="1E074490" w14:textId="33EEC92C"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w:t>
            </w:r>
            <w:r w:rsidR="00890C2F">
              <w:t>29</w:t>
            </w:r>
            <w:r>
              <w:t xml:space="preserve"> (0.</w:t>
            </w:r>
            <w:r w:rsidR="00890C2F">
              <w:t>48</w:t>
            </w:r>
            <w:r>
              <w:t>)</w:t>
            </w:r>
          </w:p>
        </w:tc>
        <w:tc>
          <w:tcPr>
            <w:tcW w:w="2880" w:type="dxa"/>
          </w:tcPr>
          <w:p w14:paraId="17DE1711" w14:textId="670EAC21"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1.8</w:t>
            </w:r>
            <w:r w:rsidR="00890C2F">
              <w:t>8</w:t>
            </w:r>
            <w:r>
              <w:t xml:space="preserve"> (0.3</w:t>
            </w:r>
            <w:r w:rsidR="00890C2F">
              <w:t>7</w:t>
            </w:r>
            <w:r>
              <w:t>)</w:t>
            </w:r>
          </w:p>
        </w:tc>
      </w:tr>
      <w:tr w:rsidR="00791216" w14:paraId="2687F732"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FD7F0AE" w14:textId="0B4AD19A" w:rsidR="00791216" w:rsidRDefault="00791216" w:rsidP="00F74885">
            <w:pPr>
              <w:spacing w:line="360" w:lineRule="auto"/>
            </w:pPr>
            <w:r>
              <w:t>Magnesium (ppm)</w:t>
            </w:r>
          </w:p>
        </w:tc>
        <w:tc>
          <w:tcPr>
            <w:tcW w:w="1980" w:type="dxa"/>
          </w:tcPr>
          <w:p w14:paraId="6A39005A" w14:textId="7A3C89A1" w:rsidR="00791216" w:rsidRDefault="00890C2F"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31.23</w:t>
            </w:r>
            <w:r w:rsidR="00791216">
              <w:t xml:space="preserve"> (</w:t>
            </w:r>
            <w:r>
              <w:t>2.46</w:t>
            </w:r>
            <w:r w:rsidR="00791216">
              <w:t>)</w:t>
            </w:r>
          </w:p>
        </w:tc>
        <w:tc>
          <w:tcPr>
            <w:tcW w:w="2610" w:type="dxa"/>
          </w:tcPr>
          <w:p w14:paraId="27CF5EEE" w14:textId="56A1792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w:t>
            </w:r>
            <w:r w:rsidR="00890C2F">
              <w:t>37</w:t>
            </w:r>
            <w:r>
              <w:t xml:space="preserve"> (0.</w:t>
            </w:r>
            <w:r w:rsidR="00890C2F">
              <w:t>13</w:t>
            </w:r>
            <w:r>
              <w:t>)</w:t>
            </w:r>
          </w:p>
        </w:tc>
        <w:tc>
          <w:tcPr>
            <w:tcW w:w="2880" w:type="dxa"/>
          </w:tcPr>
          <w:p w14:paraId="597988F5" w14:textId="4590A9BA"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0.4</w:t>
            </w:r>
            <w:r w:rsidR="00890C2F">
              <w:t>7</w:t>
            </w:r>
            <w:r>
              <w:t xml:space="preserve"> (0.0</w:t>
            </w:r>
            <w:r w:rsidR="00890C2F">
              <w:t>7</w:t>
            </w:r>
            <w:r>
              <w:t>)</w:t>
            </w:r>
          </w:p>
        </w:tc>
      </w:tr>
      <w:tr w:rsidR="00791216" w14:paraId="26023509"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9230AFC" w14:textId="25AAEDC8" w:rsidR="00791216" w:rsidRDefault="00791216" w:rsidP="00F74885">
            <w:pPr>
              <w:spacing w:line="360" w:lineRule="auto"/>
            </w:pPr>
            <w:r>
              <w:t>Sodium (ppm)</w:t>
            </w:r>
          </w:p>
        </w:tc>
        <w:tc>
          <w:tcPr>
            <w:tcW w:w="1980" w:type="dxa"/>
          </w:tcPr>
          <w:p w14:paraId="60694CDF" w14:textId="18FC8A3E" w:rsidR="00791216" w:rsidRDefault="00890C2F"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20.52</w:t>
            </w:r>
            <w:r w:rsidR="00791216">
              <w:t xml:space="preserve"> (</w:t>
            </w:r>
            <w:r>
              <w:t>2.19</w:t>
            </w:r>
            <w:r w:rsidR="00791216">
              <w:t>)</w:t>
            </w:r>
          </w:p>
        </w:tc>
        <w:tc>
          <w:tcPr>
            <w:tcW w:w="2610" w:type="dxa"/>
          </w:tcPr>
          <w:p w14:paraId="42B6F35C" w14:textId="6E3F8BAA"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w:t>
            </w:r>
            <w:r w:rsidR="00890C2F">
              <w:t>3</w:t>
            </w:r>
            <w:r>
              <w:t xml:space="preserve"> (0.0</w:t>
            </w:r>
            <w:r w:rsidR="00890C2F">
              <w:t>9</w:t>
            </w:r>
            <w:r>
              <w:t>)</w:t>
            </w:r>
          </w:p>
        </w:tc>
        <w:tc>
          <w:tcPr>
            <w:tcW w:w="2880" w:type="dxa"/>
          </w:tcPr>
          <w:p w14:paraId="7FA2DCEC" w14:textId="082D2302"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w:t>
            </w:r>
            <w:r w:rsidR="00890C2F">
              <w:t>7</w:t>
            </w:r>
            <w:r>
              <w:t xml:space="preserve"> (0.06)</w:t>
            </w:r>
          </w:p>
        </w:tc>
      </w:tr>
      <w:tr w:rsidR="00791216" w14:paraId="0573BD4D"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DB951F1" w14:textId="26C582C5" w:rsidR="00791216" w:rsidRDefault="00791216" w:rsidP="00F74885">
            <w:pPr>
              <w:spacing w:line="360" w:lineRule="auto"/>
            </w:pPr>
            <w:r>
              <w:t>Potassium (ppm)</w:t>
            </w:r>
          </w:p>
        </w:tc>
        <w:tc>
          <w:tcPr>
            <w:tcW w:w="1980" w:type="dxa"/>
          </w:tcPr>
          <w:p w14:paraId="098962D2" w14:textId="1EB5AEB2" w:rsidR="00791216" w:rsidRDefault="00890C2F"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3.06</w:t>
            </w:r>
            <w:r w:rsidR="00791216">
              <w:t xml:space="preserve"> (0.2</w:t>
            </w:r>
            <w:r>
              <w:t>8</w:t>
            </w:r>
            <w:r w:rsidR="00791216">
              <w:t>)</w:t>
            </w:r>
          </w:p>
        </w:tc>
        <w:tc>
          <w:tcPr>
            <w:tcW w:w="2610" w:type="dxa"/>
          </w:tcPr>
          <w:p w14:paraId="76A0C4B6" w14:textId="4342B2F9"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w:t>
            </w:r>
            <w:r w:rsidR="00890C2F">
              <w:t>59</w:t>
            </w:r>
            <w:r>
              <w:t xml:space="preserve"> (0.</w:t>
            </w:r>
            <w:r w:rsidR="00890C2F">
              <w:t>28</w:t>
            </w:r>
            <w:r>
              <w:t>)</w:t>
            </w:r>
          </w:p>
        </w:tc>
        <w:tc>
          <w:tcPr>
            <w:tcW w:w="2880" w:type="dxa"/>
          </w:tcPr>
          <w:p w14:paraId="10A783B0" w14:textId="5886E319"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0.7</w:t>
            </w:r>
            <w:r w:rsidR="00890C2F">
              <w:t>2</w:t>
            </w:r>
            <w:r>
              <w:t xml:space="preserve"> (0.</w:t>
            </w:r>
            <w:r w:rsidR="00890C2F">
              <w:t>20</w:t>
            </w:r>
            <w:r>
              <w:t>)</w:t>
            </w:r>
          </w:p>
        </w:tc>
      </w:tr>
      <w:tr w:rsidR="00791216" w14:paraId="5D4C6DA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431D597" w14:textId="443B825D" w:rsidR="00791216" w:rsidRDefault="00791216" w:rsidP="00F74885">
            <w:pPr>
              <w:spacing w:line="360" w:lineRule="auto"/>
            </w:pPr>
            <w:r>
              <w:t>Iron (ppm)</w:t>
            </w:r>
          </w:p>
        </w:tc>
        <w:tc>
          <w:tcPr>
            <w:tcW w:w="1980" w:type="dxa"/>
          </w:tcPr>
          <w:p w14:paraId="46DBD88C" w14:textId="64C0C673"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0.0</w:t>
            </w:r>
            <w:r w:rsidR="00890C2F">
              <w:t>1</w:t>
            </w:r>
            <w:r>
              <w:t xml:space="preserve"> (0.01)</w:t>
            </w:r>
          </w:p>
        </w:tc>
        <w:tc>
          <w:tcPr>
            <w:tcW w:w="2610" w:type="dxa"/>
          </w:tcPr>
          <w:p w14:paraId="7B0F52C4" w14:textId="3C455578"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w:t>
            </w:r>
            <w:r w:rsidR="00890C2F">
              <w:t>29</w:t>
            </w:r>
            <w:r>
              <w:t xml:space="preserve"> (0.1</w:t>
            </w:r>
            <w:r w:rsidR="00890C2F">
              <w:t>5</w:t>
            </w:r>
            <w:r>
              <w:t>)</w:t>
            </w:r>
          </w:p>
        </w:tc>
        <w:tc>
          <w:tcPr>
            <w:tcW w:w="2880" w:type="dxa"/>
          </w:tcPr>
          <w:p w14:paraId="15E7163A" w14:textId="087D1625"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0.47 (0.</w:t>
            </w:r>
            <w:r w:rsidR="00890C2F">
              <w:t>10</w:t>
            </w:r>
            <w:r>
              <w:t>)</w:t>
            </w:r>
          </w:p>
        </w:tc>
      </w:tr>
      <w:tr w:rsidR="00791216" w14:paraId="37B8AEC5"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816D364" w14:textId="50ABAC9A" w:rsidR="00791216" w:rsidRDefault="00791216" w:rsidP="00F74885">
            <w:pPr>
              <w:spacing w:line="360" w:lineRule="auto"/>
            </w:pPr>
            <w:r>
              <w:t>Manganese (ppm)</w:t>
            </w:r>
          </w:p>
        </w:tc>
        <w:tc>
          <w:tcPr>
            <w:tcW w:w="1980" w:type="dxa"/>
          </w:tcPr>
          <w:p w14:paraId="7EB8809C" w14:textId="6D5FECAF"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w:t>
            </w:r>
            <w:r w:rsidR="00890C2F">
              <w:t>1</w:t>
            </w:r>
            <w:r>
              <w:t xml:space="preserve"> (0.0</w:t>
            </w:r>
            <w:r w:rsidR="00890C2F">
              <w:t>2</w:t>
            </w:r>
            <w:r>
              <w:t>)</w:t>
            </w:r>
          </w:p>
        </w:tc>
        <w:tc>
          <w:tcPr>
            <w:tcW w:w="2610" w:type="dxa"/>
          </w:tcPr>
          <w:p w14:paraId="072AE659" w14:textId="61C1EF19"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0.08 (0.0</w:t>
            </w:r>
            <w:r w:rsidR="00890C2F">
              <w:t>8</w:t>
            </w:r>
            <w:r>
              <w:t>)</w:t>
            </w:r>
          </w:p>
        </w:tc>
        <w:tc>
          <w:tcPr>
            <w:tcW w:w="2880" w:type="dxa"/>
          </w:tcPr>
          <w:p w14:paraId="13D3999C" w14:textId="1ECA2435"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w:t>
            </w:r>
            <w:r w:rsidR="00890C2F">
              <w:t>10</w:t>
            </w:r>
            <w:r>
              <w:t xml:space="preserve"> (0.1</w:t>
            </w:r>
            <w:r w:rsidR="00890C2F">
              <w:t>4</w:t>
            </w:r>
            <w:r>
              <w:t>)</w:t>
            </w:r>
          </w:p>
        </w:tc>
      </w:tr>
    </w:tbl>
    <w:p w14:paraId="73311FFC" w14:textId="0A94DAC2" w:rsidR="00791216" w:rsidRDefault="00791216" w:rsidP="00C9067D"/>
    <w:p w14:paraId="73A85B74" w14:textId="787E416E" w:rsidR="00D63038" w:rsidRPr="00D63038" w:rsidRDefault="00D63038" w:rsidP="00C9067D">
      <w:pPr>
        <w:rPr>
          <w:b/>
        </w:rPr>
      </w:pPr>
      <w:r>
        <w:rPr>
          <w:b/>
        </w:rPr>
        <w:t>Table S2. Statistics from genome assembly and binning</w:t>
      </w:r>
    </w:p>
    <w:tbl>
      <w:tblPr>
        <w:tblStyle w:val="GridTable3"/>
        <w:tblW w:w="11970" w:type="dxa"/>
        <w:tblInd w:w="-1530" w:type="dxa"/>
        <w:tblLook w:val="04A0" w:firstRow="1" w:lastRow="0" w:firstColumn="1" w:lastColumn="0" w:noHBand="0" w:noVBand="1"/>
      </w:tblPr>
      <w:tblGrid>
        <w:gridCol w:w="4050"/>
        <w:gridCol w:w="2610"/>
        <w:gridCol w:w="2610"/>
        <w:gridCol w:w="2700"/>
      </w:tblGrid>
      <w:tr w:rsidR="00D63038" w14:paraId="355FAE02" w14:textId="77777777" w:rsidTr="0002425D">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4050" w:type="dxa"/>
          </w:tcPr>
          <w:p w14:paraId="1D1EECA4" w14:textId="77777777" w:rsidR="00D63038" w:rsidRDefault="00D63038" w:rsidP="00D63038"/>
        </w:tc>
        <w:tc>
          <w:tcPr>
            <w:tcW w:w="2610" w:type="dxa"/>
          </w:tcPr>
          <w:p w14:paraId="466921C6" w14:textId="36C16D15" w:rsidR="00D63038" w:rsidRDefault="00D63038" w:rsidP="00D63038">
            <w:pPr>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4A418CBC" w14:textId="3582A043" w:rsidR="00D63038" w:rsidRDefault="00D63038" w:rsidP="00D63038">
            <w:pPr>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700" w:type="dxa"/>
          </w:tcPr>
          <w:p w14:paraId="4FC0E00A" w14:textId="6F4AF7D0" w:rsidR="00D63038" w:rsidRDefault="00D63038" w:rsidP="00D63038">
            <w:pPr>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D63038" w14:paraId="174F8957"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32A35C6B" w14:textId="4D013661" w:rsidR="00D63038" w:rsidRDefault="00D63038" w:rsidP="00C9067D">
            <w:r>
              <w:t>Number of metagenomes</w:t>
            </w:r>
          </w:p>
        </w:tc>
        <w:tc>
          <w:tcPr>
            <w:tcW w:w="2610" w:type="dxa"/>
          </w:tcPr>
          <w:p w14:paraId="401D389B" w14:textId="0B1975F9"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94</w:t>
            </w:r>
          </w:p>
        </w:tc>
        <w:tc>
          <w:tcPr>
            <w:tcW w:w="2610" w:type="dxa"/>
          </w:tcPr>
          <w:p w14:paraId="3C1173F1" w14:textId="3861DD05"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45</w:t>
            </w:r>
          </w:p>
        </w:tc>
        <w:tc>
          <w:tcPr>
            <w:tcW w:w="2700" w:type="dxa"/>
          </w:tcPr>
          <w:p w14:paraId="0499B208" w14:textId="5ACF2415"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45</w:t>
            </w:r>
          </w:p>
        </w:tc>
      </w:tr>
      <w:tr w:rsidR="00D63038" w14:paraId="4F1C0686"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61549D6E" w14:textId="2E68C4EA" w:rsidR="00D63038" w:rsidRDefault="00D63038" w:rsidP="00C9067D">
            <w:r>
              <w:t>Collection time span</w:t>
            </w:r>
          </w:p>
        </w:tc>
        <w:tc>
          <w:tcPr>
            <w:tcW w:w="2610" w:type="dxa"/>
          </w:tcPr>
          <w:p w14:paraId="0628621A" w14:textId="6B576133"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Jun. 2008 – Nov. 2012</w:t>
            </w:r>
          </w:p>
        </w:tc>
        <w:tc>
          <w:tcPr>
            <w:tcW w:w="2610" w:type="dxa"/>
          </w:tcPr>
          <w:p w14:paraId="56482A74" w14:textId="0BD9FD89"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Jun. 2007 – Aug. 2009</w:t>
            </w:r>
          </w:p>
        </w:tc>
        <w:tc>
          <w:tcPr>
            <w:tcW w:w="2700" w:type="dxa"/>
          </w:tcPr>
          <w:p w14:paraId="29918806" w14:textId="75F327B5"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May 2007 – Aug. 2009</w:t>
            </w:r>
          </w:p>
        </w:tc>
      </w:tr>
      <w:tr w:rsidR="00D63038" w14:paraId="57611691"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133334D" w14:textId="5B19F000" w:rsidR="00D63038" w:rsidRDefault="00D63038" w:rsidP="00C9067D">
            <w:r>
              <w:t>Total base pairs in metagenomes</w:t>
            </w:r>
          </w:p>
        </w:tc>
        <w:tc>
          <w:tcPr>
            <w:tcW w:w="2610" w:type="dxa"/>
          </w:tcPr>
          <w:p w14:paraId="2443C4AD" w14:textId="289344F1"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1.26x10</w:t>
            </w:r>
            <w:r w:rsidRPr="00D63038">
              <w:rPr>
                <w:vertAlign w:val="superscript"/>
              </w:rPr>
              <w:t>11</w:t>
            </w:r>
          </w:p>
        </w:tc>
        <w:tc>
          <w:tcPr>
            <w:tcW w:w="2610" w:type="dxa"/>
          </w:tcPr>
          <w:p w14:paraId="56DCE110" w14:textId="358E9D98"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6.72x10</w:t>
            </w:r>
            <w:r w:rsidRPr="00D63038">
              <w:rPr>
                <w:vertAlign w:val="superscript"/>
              </w:rPr>
              <w:t>10</w:t>
            </w:r>
          </w:p>
        </w:tc>
        <w:tc>
          <w:tcPr>
            <w:tcW w:w="2700" w:type="dxa"/>
          </w:tcPr>
          <w:p w14:paraId="72B2FB56" w14:textId="425834F8"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7.18x10</w:t>
            </w:r>
            <w:r w:rsidRPr="00D63038">
              <w:rPr>
                <w:vertAlign w:val="superscript"/>
              </w:rPr>
              <w:t>10</w:t>
            </w:r>
          </w:p>
        </w:tc>
      </w:tr>
      <w:tr w:rsidR="00D63038" w14:paraId="227BCF23"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42AB8A1F" w14:textId="09B540B5" w:rsidR="00D63038" w:rsidRDefault="00D63038" w:rsidP="00C9067D">
            <w:r>
              <w:lastRenderedPageBreak/>
              <w:t>Total base pairs in pooled assembly</w:t>
            </w:r>
          </w:p>
        </w:tc>
        <w:tc>
          <w:tcPr>
            <w:tcW w:w="2610" w:type="dxa"/>
          </w:tcPr>
          <w:p w14:paraId="49DEB21C" w14:textId="7371F4C8"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3.37x10</w:t>
            </w:r>
            <w:r w:rsidRPr="00D63038">
              <w:rPr>
                <w:vertAlign w:val="superscript"/>
              </w:rPr>
              <w:t>9</w:t>
            </w:r>
          </w:p>
        </w:tc>
        <w:tc>
          <w:tcPr>
            <w:tcW w:w="2610" w:type="dxa"/>
          </w:tcPr>
          <w:p w14:paraId="7F63B6C2" w14:textId="49DC20DC"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2.60x10</w:t>
            </w:r>
            <w:r w:rsidRPr="00D63038">
              <w:rPr>
                <w:vertAlign w:val="superscript"/>
              </w:rPr>
              <w:t>8</w:t>
            </w:r>
          </w:p>
        </w:tc>
        <w:tc>
          <w:tcPr>
            <w:tcW w:w="2700" w:type="dxa"/>
          </w:tcPr>
          <w:p w14:paraId="2F672178" w14:textId="111F4769"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5.47x10</w:t>
            </w:r>
            <w:r w:rsidRPr="00D63038">
              <w:rPr>
                <w:vertAlign w:val="superscript"/>
              </w:rPr>
              <w:t>8</w:t>
            </w:r>
          </w:p>
        </w:tc>
      </w:tr>
      <w:tr w:rsidR="00D63038" w14:paraId="40C9B041"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682027F2" w14:textId="3550EDDC" w:rsidR="00D63038" w:rsidRDefault="00D63038" w:rsidP="00C9067D">
            <w:r>
              <w:t>Number of contigs in pooled assembly</w:t>
            </w:r>
          </w:p>
        </w:tc>
        <w:tc>
          <w:tcPr>
            <w:tcW w:w="2610" w:type="dxa"/>
          </w:tcPr>
          <w:p w14:paraId="34A960BB" w14:textId="28F6B6FD"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9,912,431</w:t>
            </w:r>
          </w:p>
        </w:tc>
        <w:tc>
          <w:tcPr>
            <w:tcW w:w="2610" w:type="dxa"/>
          </w:tcPr>
          <w:p w14:paraId="60F0BC66" w14:textId="776311DE"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79,862</w:t>
            </w:r>
          </w:p>
        </w:tc>
        <w:tc>
          <w:tcPr>
            <w:tcW w:w="2700" w:type="dxa"/>
          </w:tcPr>
          <w:p w14:paraId="0E78866D" w14:textId="16C15501"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153,912</w:t>
            </w:r>
          </w:p>
        </w:tc>
      </w:tr>
      <w:tr w:rsidR="00D63038" w14:paraId="0FD113C4"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4A965362" w14:textId="594A9AD8" w:rsidR="00D63038" w:rsidRDefault="00D63038" w:rsidP="00C9067D">
            <w:r>
              <w:t>Number of curated bins</w:t>
            </w:r>
          </w:p>
        </w:tc>
        <w:tc>
          <w:tcPr>
            <w:tcW w:w="2610" w:type="dxa"/>
          </w:tcPr>
          <w:p w14:paraId="0409A9C7" w14:textId="5C724914"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99</w:t>
            </w:r>
          </w:p>
        </w:tc>
        <w:tc>
          <w:tcPr>
            <w:tcW w:w="2610" w:type="dxa"/>
          </w:tcPr>
          <w:p w14:paraId="01C2DC3D" w14:textId="3AA85571"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31</w:t>
            </w:r>
          </w:p>
        </w:tc>
        <w:tc>
          <w:tcPr>
            <w:tcW w:w="2700" w:type="dxa"/>
          </w:tcPr>
          <w:p w14:paraId="2B87B254" w14:textId="1F26B251"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63</w:t>
            </w:r>
          </w:p>
        </w:tc>
      </w:tr>
      <w:tr w:rsidR="00D63038" w14:paraId="0F631893"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556FB9D1" w14:textId="74A3CCC6" w:rsidR="00D63038" w:rsidRDefault="00D63038" w:rsidP="00C9067D">
            <w:r>
              <w:t>Number of base pairs in curated bins</w:t>
            </w:r>
          </w:p>
        </w:tc>
        <w:tc>
          <w:tcPr>
            <w:tcW w:w="2610" w:type="dxa"/>
          </w:tcPr>
          <w:p w14:paraId="3A386A0E" w14:textId="62647898"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2.31x10</w:t>
            </w:r>
            <w:r w:rsidRPr="00D63038">
              <w:rPr>
                <w:vertAlign w:val="superscript"/>
              </w:rPr>
              <w:t>8</w:t>
            </w:r>
          </w:p>
        </w:tc>
        <w:tc>
          <w:tcPr>
            <w:tcW w:w="2610" w:type="dxa"/>
          </w:tcPr>
          <w:p w14:paraId="214980D7" w14:textId="08026F60"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5.82x10</w:t>
            </w:r>
            <w:r w:rsidRPr="00D63038">
              <w:rPr>
                <w:vertAlign w:val="superscript"/>
              </w:rPr>
              <w:t>7</w:t>
            </w:r>
          </w:p>
        </w:tc>
        <w:tc>
          <w:tcPr>
            <w:tcW w:w="2700" w:type="dxa"/>
          </w:tcPr>
          <w:p w14:paraId="1BE08536" w14:textId="74D5495A"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1.60x10</w:t>
            </w:r>
            <w:r>
              <w:rPr>
                <w:vertAlign w:val="superscript"/>
              </w:rPr>
              <w:t>8</w:t>
            </w:r>
          </w:p>
        </w:tc>
      </w:tr>
      <w:tr w:rsidR="00D63038" w14:paraId="63C74177"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52FCFF54" w14:textId="3AD829C2" w:rsidR="00D63038" w:rsidRDefault="00D63038" w:rsidP="00C9067D">
            <w:r>
              <w:t>Number of contigs in curated bins</w:t>
            </w:r>
          </w:p>
        </w:tc>
        <w:tc>
          <w:tcPr>
            <w:tcW w:w="2610" w:type="dxa"/>
          </w:tcPr>
          <w:p w14:paraId="4EDC23FD" w14:textId="136FC62E"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18,675</w:t>
            </w:r>
          </w:p>
        </w:tc>
        <w:tc>
          <w:tcPr>
            <w:tcW w:w="2610" w:type="dxa"/>
          </w:tcPr>
          <w:p w14:paraId="6E5D7F05" w14:textId="6872CAAA"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5,098</w:t>
            </w:r>
          </w:p>
        </w:tc>
        <w:tc>
          <w:tcPr>
            <w:tcW w:w="2700" w:type="dxa"/>
          </w:tcPr>
          <w:p w14:paraId="13DEC20E" w14:textId="422745E9"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11,656</w:t>
            </w:r>
          </w:p>
        </w:tc>
      </w:tr>
    </w:tbl>
    <w:p w14:paraId="2A337831" w14:textId="77777777" w:rsidR="00D63038" w:rsidRPr="002F5421" w:rsidRDefault="00D63038" w:rsidP="00C9067D"/>
    <w:sectPr w:rsidR="00D63038" w:rsidRPr="002F5421"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03652"/>
    <w:rsid w:val="000178B6"/>
    <w:rsid w:val="0002425D"/>
    <w:rsid w:val="000753E0"/>
    <w:rsid w:val="00084F23"/>
    <w:rsid w:val="00096680"/>
    <w:rsid w:val="000A1F9F"/>
    <w:rsid w:val="000B240E"/>
    <w:rsid w:val="000E1E18"/>
    <w:rsid w:val="00102663"/>
    <w:rsid w:val="00105E49"/>
    <w:rsid w:val="00113EDB"/>
    <w:rsid w:val="001162B5"/>
    <w:rsid w:val="00131DF7"/>
    <w:rsid w:val="001476D8"/>
    <w:rsid w:val="001520B7"/>
    <w:rsid w:val="00153C67"/>
    <w:rsid w:val="0018783E"/>
    <w:rsid w:val="00194180"/>
    <w:rsid w:val="001E58CA"/>
    <w:rsid w:val="001F01FF"/>
    <w:rsid w:val="0020406E"/>
    <w:rsid w:val="00206C7B"/>
    <w:rsid w:val="00216C2A"/>
    <w:rsid w:val="00222B88"/>
    <w:rsid w:val="002409B3"/>
    <w:rsid w:val="00242EB5"/>
    <w:rsid w:val="00254972"/>
    <w:rsid w:val="00260505"/>
    <w:rsid w:val="00266869"/>
    <w:rsid w:val="00273685"/>
    <w:rsid w:val="0028221F"/>
    <w:rsid w:val="00283E2E"/>
    <w:rsid w:val="00285DA2"/>
    <w:rsid w:val="002B3736"/>
    <w:rsid w:val="002C1146"/>
    <w:rsid w:val="002F0582"/>
    <w:rsid w:val="002F5421"/>
    <w:rsid w:val="002F5E38"/>
    <w:rsid w:val="00317E09"/>
    <w:rsid w:val="003318E6"/>
    <w:rsid w:val="0034414A"/>
    <w:rsid w:val="003618A3"/>
    <w:rsid w:val="00363484"/>
    <w:rsid w:val="00364AC2"/>
    <w:rsid w:val="00365AF9"/>
    <w:rsid w:val="00377F14"/>
    <w:rsid w:val="0038091D"/>
    <w:rsid w:val="00393F1B"/>
    <w:rsid w:val="003B06F5"/>
    <w:rsid w:val="003C25F8"/>
    <w:rsid w:val="003D1F63"/>
    <w:rsid w:val="003D5A73"/>
    <w:rsid w:val="003E7958"/>
    <w:rsid w:val="003F2F8C"/>
    <w:rsid w:val="003F7145"/>
    <w:rsid w:val="00401ACA"/>
    <w:rsid w:val="004138AB"/>
    <w:rsid w:val="0041614F"/>
    <w:rsid w:val="00436542"/>
    <w:rsid w:val="0044567C"/>
    <w:rsid w:val="00483D84"/>
    <w:rsid w:val="00487299"/>
    <w:rsid w:val="004A46AC"/>
    <w:rsid w:val="004A6010"/>
    <w:rsid w:val="004A78B2"/>
    <w:rsid w:val="004B510D"/>
    <w:rsid w:val="004B78F5"/>
    <w:rsid w:val="004C0F8F"/>
    <w:rsid w:val="004C53C9"/>
    <w:rsid w:val="004D27D2"/>
    <w:rsid w:val="004E0516"/>
    <w:rsid w:val="004E4F3A"/>
    <w:rsid w:val="004F1920"/>
    <w:rsid w:val="004F6FF4"/>
    <w:rsid w:val="00501404"/>
    <w:rsid w:val="00567DBB"/>
    <w:rsid w:val="005705CE"/>
    <w:rsid w:val="0057242B"/>
    <w:rsid w:val="00576C40"/>
    <w:rsid w:val="005965AE"/>
    <w:rsid w:val="005A5527"/>
    <w:rsid w:val="005B0EB6"/>
    <w:rsid w:val="005C14E7"/>
    <w:rsid w:val="005E24DA"/>
    <w:rsid w:val="005E35C7"/>
    <w:rsid w:val="005E4BD6"/>
    <w:rsid w:val="005E5B8D"/>
    <w:rsid w:val="0060026A"/>
    <w:rsid w:val="006263CE"/>
    <w:rsid w:val="00632A77"/>
    <w:rsid w:val="00636F56"/>
    <w:rsid w:val="006412FF"/>
    <w:rsid w:val="00644EC2"/>
    <w:rsid w:val="006570F1"/>
    <w:rsid w:val="00662055"/>
    <w:rsid w:val="006711EE"/>
    <w:rsid w:val="00687196"/>
    <w:rsid w:val="00687C64"/>
    <w:rsid w:val="00687EFB"/>
    <w:rsid w:val="006F42C8"/>
    <w:rsid w:val="00701B59"/>
    <w:rsid w:val="00702800"/>
    <w:rsid w:val="00704B80"/>
    <w:rsid w:val="00705F64"/>
    <w:rsid w:val="00732488"/>
    <w:rsid w:val="00737662"/>
    <w:rsid w:val="00751DCB"/>
    <w:rsid w:val="007615B7"/>
    <w:rsid w:val="00774E95"/>
    <w:rsid w:val="00777F2B"/>
    <w:rsid w:val="007836BC"/>
    <w:rsid w:val="0078604B"/>
    <w:rsid w:val="007879EE"/>
    <w:rsid w:val="00791216"/>
    <w:rsid w:val="00793164"/>
    <w:rsid w:val="007A25BD"/>
    <w:rsid w:val="007B5D3B"/>
    <w:rsid w:val="007C0A8C"/>
    <w:rsid w:val="007C3BA7"/>
    <w:rsid w:val="007E726F"/>
    <w:rsid w:val="007F1A1E"/>
    <w:rsid w:val="00801431"/>
    <w:rsid w:val="00822990"/>
    <w:rsid w:val="0083766F"/>
    <w:rsid w:val="00887063"/>
    <w:rsid w:val="00890C2F"/>
    <w:rsid w:val="008A5CFA"/>
    <w:rsid w:val="008B23D3"/>
    <w:rsid w:val="008F5749"/>
    <w:rsid w:val="008F651D"/>
    <w:rsid w:val="00907EF0"/>
    <w:rsid w:val="0094429B"/>
    <w:rsid w:val="0095001B"/>
    <w:rsid w:val="0095079F"/>
    <w:rsid w:val="009552BD"/>
    <w:rsid w:val="0097677A"/>
    <w:rsid w:val="00976FEB"/>
    <w:rsid w:val="00981DA2"/>
    <w:rsid w:val="00982A50"/>
    <w:rsid w:val="00990A37"/>
    <w:rsid w:val="00990D17"/>
    <w:rsid w:val="00991A92"/>
    <w:rsid w:val="009C20E9"/>
    <w:rsid w:val="009D0694"/>
    <w:rsid w:val="009D4394"/>
    <w:rsid w:val="009D5AB9"/>
    <w:rsid w:val="009E15D3"/>
    <w:rsid w:val="009F65A4"/>
    <w:rsid w:val="00A062F7"/>
    <w:rsid w:val="00A06DFE"/>
    <w:rsid w:val="00A26E1A"/>
    <w:rsid w:val="00A37C26"/>
    <w:rsid w:val="00A52D3C"/>
    <w:rsid w:val="00A57D83"/>
    <w:rsid w:val="00A830DF"/>
    <w:rsid w:val="00A874F2"/>
    <w:rsid w:val="00A95153"/>
    <w:rsid w:val="00AA676C"/>
    <w:rsid w:val="00AB3825"/>
    <w:rsid w:val="00AB7112"/>
    <w:rsid w:val="00AC01EE"/>
    <w:rsid w:val="00AE05E6"/>
    <w:rsid w:val="00AE127B"/>
    <w:rsid w:val="00AE3753"/>
    <w:rsid w:val="00AF731F"/>
    <w:rsid w:val="00B05CCB"/>
    <w:rsid w:val="00B214AE"/>
    <w:rsid w:val="00B238EA"/>
    <w:rsid w:val="00B25EC0"/>
    <w:rsid w:val="00B42A56"/>
    <w:rsid w:val="00B4745F"/>
    <w:rsid w:val="00B54DAC"/>
    <w:rsid w:val="00B57552"/>
    <w:rsid w:val="00BA208D"/>
    <w:rsid w:val="00BA4C1C"/>
    <w:rsid w:val="00BA5790"/>
    <w:rsid w:val="00BD76E8"/>
    <w:rsid w:val="00BE4306"/>
    <w:rsid w:val="00BE484D"/>
    <w:rsid w:val="00BF3B0E"/>
    <w:rsid w:val="00C02EA1"/>
    <w:rsid w:val="00C04B82"/>
    <w:rsid w:val="00C12FD2"/>
    <w:rsid w:val="00C208E1"/>
    <w:rsid w:val="00C213C5"/>
    <w:rsid w:val="00C34AE3"/>
    <w:rsid w:val="00C4283D"/>
    <w:rsid w:val="00C54FFE"/>
    <w:rsid w:val="00C64D38"/>
    <w:rsid w:val="00C67198"/>
    <w:rsid w:val="00C9067D"/>
    <w:rsid w:val="00C93A65"/>
    <w:rsid w:val="00CB1014"/>
    <w:rsid w:val="00CB4BEF"/>
    <w:rsid w:val="00CD2B02"/>
    <w:rsid w:val="00CD5DBD"/>
    <w:rsid w:val="00CD631C"/>
    <w:rsid w:val="00CD786A"/>
    <w:rsid w:val="00CE5FF6"/>
    <w:rsid w:val="00CF4312"/>
    <w:rsid w:val="00D00FD2"/>
    <w:rsid w:val="00D11FC2"/>
    <w:rsid w:val="00D23AA4"/>
    <w:rsid w:val="00D33E54"/>
    <w:rsid w:val="00D407BC"/>
    <w:rsid w:val="00D43B03"/>
    <w:rsid w:val="00D62382"/>
    <w:rsid w:val="00D63038"/>
    <w:rsid w:val="00D70442"/>
    <w:rsid w:val="00D71A65"/>
    <w:rsid w:val="00D74007"/>
    <w:rsid w:val="00D7439F"/>
    <w:rsid w:val="00D8003E"/>
    <w:rsid w:val="00D80656"/>
    <w:rsid w:val="00D917F3"/>
    <w:rsid w:val="00DA0A6D"/>
    <w:rsid w:val="00DB0C6F"/>
    <w:rsid w:val="00DB50A6"/>
    <w:rsid w:val="00DD2E1C"/>
    <w:rsid w:val="00DF5B3C"/>
    <w:rsid w:val="00DF606D"/>
    <w:rsid w:val="00E14098"/>
    <w:rsid w:val="00E508C6"/>
    <w:rsid w:val="00E54A3A"/>
    <w:rsid w:val="00E54EFD"/>
    <w:rsid w:val="00E71475"/>
    <w:rsid w:val="00E8160D"/>
    <w:rsid w:val="00E8497A"/>
    <w:rsid w:val="00E85E33"/>
    <w:rsid w:val="00E863DA"/>
    <w:rsid w:val="00EA2895"/>
    <w:rsid w:val="00EA42C4"/>
    <w:rsid w:val="00EB54BC"/>
    <w:rsid w:val="00EB63E9"/>
    <w:rsid w:val="00EC2782"/>
    <w:rsid w:val="00ED1D87"/>
    <w:rsid w:val="00ED6B89"/>
    <w:rsid w:val="00ED781E"/>
    <w:rsid w:val="00EF284B"/>
    <w:rsid w:val="00EF418D"/>
    <w:rsid w:val="00EF4926"/>
    <w:rsid w:val="00F067D9"/>
    <w:rsid w:val="00F17423"/>
    <w:rsid w:val="00F2127E"/>
    <w:rsid w:val="00F26AFE"/>
    <w:rsid w:val="00F313D0"/>
    <w:rsid w:val="00F379E4"/>
    <w:rsid w:val="00F37CA0"/>
    <w:rsid w:val="00F513F6"/>
    <w:rsid w:val="00F64B28"/>
    <w:rsid w:val="00F67CDC"/>
    <w:rsid w:val="00F74885"/>
    <w:rsid w:val="00F74AB4"/>
    <w:rsid w:val="00F80C19"/>
    <w:rsid w:val="00F838A1"/>
    <w:rsid w:val="00FA0DA2"/>
    <w:rsid w:val="00FA386C"/>
    <w:rsid w:val="00FA426B"/>
    <w:rsid w:val="00FB1280"/>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95BE2042-7D55-42A7-9A91-267C763B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3B06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06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B06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B06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B06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8783E"/>
    <w:rPr>
      <w:color w:val="0000FF"/>
      <w:u w:val="single"/>
    </w:rPr>
  </w:style>
  <w:style w:type="character" w:styleId="UnresolvedMention">
    <w:name w:val="Unresolved Mention"/>
    <w:basedOn w:val="DefaultParagraphFont"/>
    <w:uiPriority w:val="99"/>
    <w:semiHidden/>
    <w:unhideWhenUsed/>
    <w:rsid w:val="00976FEB"/>
    <w:rPr>
      <w:color w:val="808080"/>
      <w:shd w:val="clear" w:color="auto" w:fill="E6E6E6"/>
    </w:rPr>
  </w:style>
  <w:style w:type="paragraph" w:styleId="HTMLPreformatted">
    <w:name w:val="HTML Preformatted"/>
    <w:basedOn w:val="Normal"/>
    <w:link w:val="HTMLPreformattedChar"/>
    <w:uiPriority w:val="99"/>
    <w:semiHidden/>
    <w:unhideWhenUsed/>
    <w:rsid w:val="00E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81E"/>
    <w:rPr>
      <w:rFonts w:ascii="Courier New" w:eastAsia="Times New Roman" w:hAnsi="Courier New" w:cs="Courier New"/>
      <w:sz w:val="20"/>
      <w:szCs w:val="20"/>
    </w:rPr>
  </w:style>
  <w:style w:type="character" w:customStyle="1" w:styleId="gnkrckgcgsb">
    <w:name w:val="gnkrckgcgsb"/>
    <w:basedOn w:val="DefaultParagraphFont"/>
    <w:rsid w:val="00ED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27418">
      <w:bodyDiv w:val="1"/>
      <w:marLeft w:val="0"/>
      <w:marRight w:val="0"/>
      <w:marTop w:val="0"/>
      <w:marBottom w:val="0"/>
      <w:divBdr>
        <w:top w:val="none" w:sz="0" w:space="0" w:color="auto"/>
        <w:left w:val="none" w:sz="0" w:space="0" w:color="auto"/>
        <w:bottom w:val="none" w:sz="0" w:space="0" w:color="auto"/>
        <w:right w:val="none" w:sz="0" w:space="0" w:color="auto"/>
      </w:divBdr>
    </w:div>
    <w:div w:id="1944074712">
      <w:bodyDiv w:val="1"/>
      <w:marLeft w:val="0"/>
      <w:marRight w:val="0"/>
      <w:marTop w:val="0"/>
      <w:marBottom w:val="0"/>
      <w:divBdr>
        <w:top w:val="none" w:sz="0" w:space="0" w:color="auto"/>
        <w:left w:val="none" w:sz="0" w:space="0" w:color="auto"/>
        <w:bottom w:val="none" w:sz="0" w:space="0" w:color="auto"/>
        <w:right w:val="none" w:sz="0" w:space="0" w:color="auto"/>
      </w:divBdr>
    </w:div>
    <w:div w:id="214272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cMahonLab/Scripts/tree/master/Phylogeny" TargetMode="External"/><Relationship Id="rId11" Type="http://schemas.openxmlformats.org/officeDocument/2006/relationships/fontTable" Target="fontTable.xml"/><Relationship Id="rId5" Type="http://schemas.openxmlformats.org/officeDocument/2006/relationships/hyperlink" Target="http://lter.limnology.wisc.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AE00-5B5E-48C3-A660-687E39B08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27</Pages>
  <Words>27508</Words>
  <Characters>156798</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25</cp:revision>
  <dcterms:created xsi:type="dcterms:W3CDTF">2018-01-19T15:30:00Z</dcterms:created>
  <dcterms:modified xsi:type="dcterms:W3CDTF">2018-02-23T22:02:00Z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