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4E5" w:rsidRDefault="004E4294" w:rsidP="000D4BB0">
      <w:pPr>
        <w:pStyle w:val="Heading2"/>
        <w:spacing w:before="0" w:line="480" w:lineRule="auto"/>
        <w:jc w:val="both"/>
      </w:pPr>
      <w:r>
        <w:t>Introduction</w:t>
      </w:r>
    </w:p>
    <w:p w:rsidR="000D4BB0" w:rsidRDefault="000D4BB0" w:rsidP="000D4BB0">
      <w:pPr>
        <w:spacing w:line="480" w:lineRule="auto"/>
        <w:ind w:firstLine="720"/>
        <w:jc w:val="both"/>
      </w:pPr>
      <w:r>
        <w:t>One of the major goals of microbial ecology is to predict bacterial community composition. The need for prediction can be demonstrated in s</w:t>
      </w:r>
      <w:r w:rsidR="005D0CDC">
        <w:t>ituations</w:t>
      </w:r>
      <w:r>
        <w:t xml:space="preserve"> such as the connection between disease and the human microbiome</w:t>
      </w:r>
      <w:r w:rsidR="00C86B55">
        <w:t xml:space="preserve"> </w:t>
      </w:r>
      <w:r w:rsidR="00C86B55">
        <w:fldChar w:fldCharType="begin" w:fldLock="1"/>
      </w:r>
      <w:r w:rsidR="00C86B55">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"id" : "ITEM-1", "issue" : "April", "issued" : { "date-parts" : [ [ "2012" ] ] }, "title" : "The human microbiome :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t>, the detrimental impacts of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t>, and a variety of industrial applications including chemical production</w:t>
      </w:r>
      <w:r w:rsidR="00C86B55">
        <w:t xml:space="preserve"> </w:t>
      </w:r>
      <w:r w:rsidR="00C86B55">
        <w:fldChar w:fldCharType="begin" w:fldLock="1"/>
      </w:r>
      <w:r w:rsidR="00C86B55">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"id" : "ITEM-1", "issued" : { "date-parts" : [ [ "2012" ] ] }, "title" : "No Title", "type" : "article-journal", "volume" : "686" }, "uris" : [ "http://www.mendeley.com/documents/?uuid=ab1acb21-d387-4ff8-ba7e-5dae28f9f9fe" ] } ], "mendeley" : { "formattedCitation" : "(3)", "plainTextFormattedCitation" : "(3)", "previouslyFormattedCitation" : "(3)" }, "properties" : { "noteIndex" : 0 }, "schema" : "https://github.com/citation-style-language/schema/raw/master/csl-citation.json" }</w:instrText>
      </w:r>
      <w:r w:rsidR="00C86B55">
        <w:fldChar w:fldCharType="separate"/>
      </w:r>
      <w:r w:rsidR="00C86B55" w:rsidRPr="00C86B55">
        <w:rPr>
          <w:noProof/>
        </w:rPr>
        <w:t>(3)</w:t>
      </w:r>
      <w:r w:rsidR="00C86B55">
        <w:fldChar w:fldCharType="end"/>
      </w:r>
      <w:r>
        <w:t>, biofuel production</w:t>
      </w:r>
      <w:r w:rsidR="00C86B55">
        <w:t xml:space="preserve"> </w:t>
      </w:r>
      <w:r w:rsidR="00C86B55">
        <w:fldChar w:fldCharType="begin" w:fldLock="1"/>
      </w:r>
      <w:r w:rsidR="00C86B55">
        <w:instrText>ADDIN CSL_CITATION { "citationItems" : [ { "id" : "ITEM-1",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"id" : "ITEM-1", "issued" : { "date-parts" : [ [ "2013" ] ] }, "title" : "Integrated microbial processes for biofuels and high value-added products : the way to improve the cost effectiveness of biofuel production", "type" : "article-journal" }, "uris" : [ "http://www.mendeley.com/documents/?uuid=d4972b6d-0346-4217-9967-fde97de07f00" ] } ], "mendeley" : { "formattedCitation" : "(4)", "plainTextFormattedCitation" : "(4)", "previouslyFormattedCitation" : "(4)" }, "properties" : { "noteIndex" : 0 }, "schema" : "https://github.com/citation-style-language/schema/raw/master/csl-citation.json" }</w:instrText>
      </w:r>
      <w:r w:rsidR="00C86B55">
        <w:fldChar w:fldCharType="separate"/>
      </w:r>
      <w:r w:rsidR="00C86B55" w:rsidRPr="00C86B55">
        <w:rPr>
          <w:noProof/>
        </w:rPr>
        <w:t>(4)</w:t>
      </w:r>
      <w:r w:rsidR="00C86B55">
        <w:fldChar w:fldCharType="end"/>
      </w:r>
      <w:r>
        <w:t>, wastewater treatment</w:t>
      </w:r>
      <w:r w:rsidR="00C86B55">
        <w:t xml:space="preserve"> </w:t>
      </w:r>
      <w:r w:rsidR="00C86B55">
        <w:fldChar w:fldCharType="begin" w:fldLock="1"/>
      </w:r>
      <w:r w:rsidR="00353516">
        <w:instrText>ADDIN CSL_CITATION { "citationItems" : [ { "id" : "ITEM-1",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"ITEM-1", "issued" : { "date-parts" : [ [ "2016" ] ] }, "page" : "in press", "publisher" : "Elsevier Inc.", "title" : "Insights into microbial diversity in wastewater treatment systems: How far have we come?", "type" : "article-journal" }, "uris" : [ "http://www.mendeley.com/documents/?uuid=ced6f1dc-c4f4-4bd6-88b9-ac575a77f84d" ] } ], "mendeley" : { "formattedCitation" : "(5)", "plainTextFormattedCitation" : "(5)", "previouslyFormattedCitation" : "(5)" }, "properties" : { "noteIndex" : 0 }, "schema" : "https://github.com/citation-style-language/schema/raw/master/csl-citation.json" }</w:instrText>
      </w:r>
      <w:r w:rsidR="00C86B55">
        <w:fldChar w:fldCharType="separate"/>
      </w:r>
      <w:r w:rsidR="00C86B55" w:rsidRPr="00C86B55">
        <w:rPr>
          <w:noProof/>
        </w:rPr>
        <w:t>(5)</w:t>
      </w:r>
      <w:r w:rsidR="00C86B55">
        <w:fldChar w:fldCharType="end"/>
      </w:r>
      <w:r>
        <w:t>, and food science</w:t>
      </w:r>
      <w:r w:rsidR="00C86B55">
        <w:t xml:space="preserve"> </w:t>
      </w:r>
      <w:r w:rsidR="00353516">
        <w:fldChar w:fldCharType="begin" w:fldLock="1"/>
      </w:r>
      <w:r w:rsidR="00353516">
        <w:instrText>ADDIN CSL_CITATION { "citationItems" : [ { "id" : "ITEM-1",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"ITEM-1", "issue" : "3", "issued" : { "date-parts" : [ [ "2012" ] ] }, "page" : "87-97", "publisher" : "Elsevier B.V.", "title" : "International Journal of Food Microbiology Food fermentations : Microorganisms with technological bene fi cial use", "type" : "article-journal", "volume" : "154" }, "uris" : [ "http://www.mendeley.com/documents/?uuid=3538c216-c3fa-420e-b103-d87176b24a95" ] } ], "mendeley" : { "formattedCitation" : "(6)", "plainTextFormattedCitation" : "(6)", "previouslyFormattedCitation" : "(6)" }, "properties" : { "noteIndex" : 0 }, "schema" : "https://github.com/citation-style-language/schema/raw/master/csl-citation.json" }</w:instrText>
      </w:r>
      <w:r w:rsidR="00353516">
        <w:fldChar w:fldCharType="separate"/>
      </w:r>
      <w:r w:rsidR="00353516" w:rsidRPr="00353516">
        <w:rPr>
          <w:noProof/>
        </w:rPr>
        <w:t>(6)</w:t>
      </w:r>
      <w:r w:rsidR="00353516">
        <w:fldChar w:fldCharType="end"/>
      </w:r>
      <w:r>
        <w:t xml:space="preserve">. However, we have only a cursory knowledge of the factors that would allow us to predict bacterial community dynamics. Many microbial ecology studies sample large numbers of sites in order to draw conclusions about how bacterial communities are structured, a pursuit which has greatly benefitted our field. But in addition to space, time must also be considered. </w:t>
      </w:r>
    </w:p>
    <w:p w:rsidR="000D4BB0" w:rsidRDefault="000D4BB0" w:rsidP="000D4BB0">
      <w:pPr>
        <w:spacing w:line="480" w:lineRule="auto"/>
        <w:ind w:firstLine="720"/>
        <w:jc w:val="both"/>
      </w:pPr>
      <w:r>
        <w:t>Long-term studies of the bacterial communities are less common due their logistical difficulties and the need for stable funding, but results from the Microbial Observatory projects</w:t>
      </w:r>
      <w:r w:rsidR="005D0CDC">
        <w:t xml:space="preserve"> are promising. </w:t>
      </w:r>
      <w:r w:rsidR="009F0972">
        <w:t>As a few examples among many</w:t>
      </w:r>
      <w:r w:rsidR="005D0CDC">
        <w:t>, the San Pedro North Pacific - Microbial Observatory contributed to our understanding of heterogeneity of bacterial communities across space and time</w:t>
      </w:r>
      <w:r w:rsidR="00353516">
        <w:t xml:space="preserve"> </w:t>
      </w:r>
      <w:r w:rsidR="00353516">
        <w:fldChar w:fldCharType="begin" w:fldLock="1"/>
      </w:r>
      <w:r w:rsidR="0035351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353516" w:rsidRPr="00353516">
        <w:rPr>
          <w:noProof/>
        </w:rPr>
        <w:t>(7)</w:t>
      </w:r>
      <w:r w:rsidR="00353516">
        <w:fldChar w:fldCharType="end"/>
      </w:r>
      <w:r w:rsidR="005D0CDC">
        <w:t xml:space="preserve">, while research at the </w:t>
      </w:r>
      <w:proofErr w:type="spellStart"/>
      <w:r w:rsidR="005D0CDC">
        <w:t>Sapelo</w:t>
      </w:r>
      <w:proofErr w:type="spellEnd"/>
      <w:r w:rsidR="005D0CDC">
        <w:t xml:space="preserve"> Island – Microbial Observatory has led the field in linking genomic data to metadata</w:t>
      </w:r>
      <w:r w:rsidR="00353516">
        <w:t xml:space="preserve"> </w:t>
      </w:r>
      <w:r w:rsidR="00353516">
        <w:fldChar w:fldCharType="begin" w:fldLock="1"/>
      </w:r>
      <w:r w:rsidR="00353516">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353516" w:rsidRPr="00353516">
        <w:rPr>
          <w:noProof/>
        </w:rPr>
        <w:t>(8)</w:t>
      </w:r>
      <w:r w:rsidR="00353516">
        <w:fldChar w:fldCharType="end"/>
      </w:r>
      <w:r w:rsidR="005D0CDC">
        <w:t xml:space="preserve"> and in the sampling and analysis of environmental RNA</w:t>
      </w:r>
      <w:r w:rsidR="00353516">
        <w:t xml:space="preserve"> </w:t>
      </w:r>
      <w:r w:rsidR="00353516">
        <w:fldChar w:fldCharType="begin" w:fldLock="1"/>
      </w:r>
      <w:r w:rsidR="00353516">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353516" w:rsidRPr="00353516">
        <w:rPr>
          <w:noProof/>
        </w:rPr>
        <w:t>(9)</w:t>
      </w:r>
      <w:r w:rsidR="00353516">
        <w:fldChar w:fldCharType="end"/>
      </w:r>
      <w:r w:rsidR="005D0CDC">
        <w:t>.</w:t>
      </w:r>
      <w:r>
        <w:t xml:space="preserve"> In our own North Temperate Lakes – Microbial Observatory, based in Wisconsin, USA, a multi-year time series of </w:t>
      </w:r>
      <w:proofErr w:type="spellStart"/>
      <w:r>
        <w:t>metagenomic</w:t>
      </w:r>
      <w:proofErr w:type="spellEnd"/>
      <w:r>
        <w:t xml:space="preserve"> data was used to study sweeps in diversity at the genome level</w:t>
      </w:r>
      <w:r w:rsidR="00353516">
        <w:t xml:space="preserve"> </w:t>
      </w:r>
      <w:r w:rsidR="00353516">
        <w:fldChar w:fldCharType="begin" w:fldLock="1"/>
      </w:r>
      <w:r w:rsidR="004A12DC">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353516" w:rsidRPr="00353516">
        <w:rPr>
          <w:noProof/>
        </w:rPr>
        <w:t>(10)</w:t>
      </w:r>
      <w:r w:rsidR="00353516">
        <w:fldChar w:fldCharType="end"/>
      </w:r>
      <w:r>
        <w:t>, adding to our knowledge of how genetic mutation influences bacterial communities. Long-term microbial ecology studies have a time-tested role in the quest to forecast bacterial communities.</w:t>
      </w:r>
    </w:p>
    <w:p w:rsidR="000D4BB0" w:rsidRDefault="000D4BB0" w:rsidP="000D4BB0">
      <w:pPr>
        <w:spacing w:line="480" w:lineRule="auto"/>
        <w:ind w:firstLine="720"/>
        <w:jc w:val="both"/>
      </w:pPr>
      <w:r>
        <w:t xml:space="preserve">In this research, we present 16S amplicon data from the North Temperate Lakes – Microbial Observatory. This dataset includes over 1,300 samples, spanning four years, eight lakes, </w:t>
      </w:r>
      <w:r>
        <w:lastRenderedPageBreak/>
        <w:t xml:space="preserve">and two depths. The lakes included in this study are all bog lakes in the boreal region of northern Wisconsin near Minocqua. Bog lakes are open regions of water surrounded by a slowly expanding mat of sphagnum moss, which leaches large amounts of dissolved organic carbon into the water in the form of </w:t>
      </w:r>
      <w:proofErr w:type="spellStart"/>
      <w:r>
        <w:t>humic</w:t>
      </w:r>
      <w:proofErr w:type="spellEnd"/>
      <w:r>
        <w:t xml:space="preserve"> and </w:t>
      </w:r>
      <w:proofErr w:type="spellStart"/>
      <w:r>
        <w:t>fulvic</w:t>
      </w:r>
      <w:proofErr w:type="spellEnd"/>
      <w:r>
        <w:t xml:space="preserve"> acids. These ecosystems contain much greater amounts of carbon than of nitrogen or phosphorus, earning the categorization of “</w:t>
      </w:r>
      <w:proofErr w:type="spellStart"/>
      <w:r>
        <w:t>humic</w:t>
      </w:r>
      <w:proofErr w:type="spellEnd"/>
      <w:r>
        <w:t xml:space="preserve">” or “dystrophic.” Because the dissolved organic carbon stains the water dark brown, these lakes quickly absorb heat from sunlight and form strong vertical gradients structured by temperature and dissolved oxygen concentrations. Depending on depth, surface area, and </w:t>
      </w:r>
      <w:proofErr w:type="spellStart"/>
      <w:r>
        <w:t>bathymetery</w:t>
      </w:r>
      <w:proofErr w:type="spellEnd"/>
      <w:r>
        <w:t xml:space="preserve">, bog lakes mix at different frequencies. </w:t>
      </w:r>
      <w:r w:rsidR="00EC1276">
        <w:t xml:space="preserve">These frequencies are called “mixing regime,” and our lakes are classified as either </w:t>
      </w:r>
      <w:proofErr w:type="spellStart"/>
      <w:r w:rsidR="00EC1276">
        <w:t>polymictic</w:t>
      </w:r>
      <w:proofErr w:type="spellEnd"/>
      <w:r w:rsidR="00EC1276">
        <w:t xml:space="preserve"> (more than two mixing events per year), dimictic (exactly two mixing events per year), or meromictic (no mixing events).</w:t>
      </w:r>
    </w:p>
    <w:p w:rsidR="000D4BB0" w:rsidRDefault="000D4BB0" w:rsidP="000D4BB0">
      <w:pPr>
        <w:spacing w:line="480" w:lineRule="auto"/>
        <w:ind w:firstLine="720"/>
        <w:jc w:val="both"/>
      </w:pPr>
      <w:r>
        <w:t>The well-defined boundaries and environmental gradients of bog lakes make them excellent study systems for microbial ecology, but bog lakes are important ecosystems in their own right. Bogs and wetlands play a crucial role in the global carbon cycle by releasing and consuming methane and carbon dioxide. Some estimates place freshwater carbon emissions equivalent or even greater to those from the ocean. These greenhouse gases are produced and consumed by the bacterial communities. Understanding how bacterial communities change over time could improve our understanding of carbon cycling in freshwater, and therefore our global estim</w:t>
      </w:r>
      <w:r w:rsidR="00981527">
        <w:t>ates of natural carbon emission</w:t>
      </w:r>
      <w:r>
        <w:t xml:space="preserve"> and capture.</w:t>
      </w:r>
    </w:p>
    <w:p w:rsidR="000D4BB0" w:rsidRDefault="000D4BB0" w:rsidP="000D4BB0">
      <w:pPr>
        <w:spacing w:line="480" w:lineRule="auto"/>
        <w:ind w:firstLine="720"/>
        <w:jc w:val="both"/>
      </w:pPr>
      <w:r>
        <w:t xml:space="preserve">We use our Microbial Observatory 16S dataset to analyze bacterial community composition along both space and time. The communities within each lake and layer are compared, and taxa with preference for certain environmental conditions are identified. We also investigate seasonal trends, and find that broad metrics repeat annually, but abundance patterns of individual </w:t>
      </w:r>
      <w:proofErr w:type="gramStart"/>
      <w:r>
        <w:lastRenderedPageBreak/>
        <w:t>taxa</w:t>
      </w:r>
      <w:proofErr w:type="gramEnd"/>
      <w:r>
        <w:t xml:space="preserve"> do not. Finally, we examine traits in the abundance and presence/absence patterns of taxa in order to determine if these groups behave in a consistent manner each year. The results of our analysis can be used to guide future attempts to predict bacterial community composition.</w:t>
      </w:r>
    </w:p>
    <w:p w:rsidR="004E4294" w:rsidRDefault="004E4294" w:rsidP="000D4BB0">
      <w:pPr>
        <w:pStyle w:val="Heading2"/>
        <w:spacing w:before="0" w:line="480" w:lineRule="auto"/>
        <w:jc w:val="both"/>
      </w:pPr>
      <w:r>
        <w:t>Methods</w:t>
      </w:r>
    </w:p>
    <w:p w:rsidR="000D4BB0" w:rsidRPr="000D4BB0" w:rsidRDefault="000D4BB0" w:rsidP="000D4BB0">
      <w:pPr>
        <w:spacing w:line="480" w:lineRule="auto"/>
        <w:jc w:val="both"/>
        <w:rPr>
          <w:b/>
        </w:rPr>
      </w:pPr>
      <w:r w:rsidRPr="000D4BB0">
        <w:rPr>
          <w:b/>
        </w:rPr>
        <w:t>Sample Collection</w:t>
      </w:r>
    </w:p>
    <w:p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4A12D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"(11)", "plainTextFormattedCitation" : "(11)", "previouslyFormattedCitation" : "(11)" }, "properties" : { "noteIndex" : 0 }, "schema" : "https://github.com/citation-style-language/schema/raw/master/csl-citation.json" }</w:instrText>
      </w:r>
      <w:r>
        <w:fldChar w:fldCharType="separate"/>
      </w:r>
      <w:r w:rsidR="00353516" w:rsidRPr="00353516">
        <w:rPr>
          <w:noProof/>
        </w:rPr>
        <w:t>(11)</w:t>
      </w:r>
      <w:r>
        <w:fldChar w:fldCharType="end"/>
      </w:r>
      <w:r>
        <w:t>. Briefly, t</w:t>
      </w:r>
      <w:r w:rsidRPr="002A74FF">
        <w:t xml:space="preserve">he </w:t>
      </w:r>
      <w:proofErr w:type="spellStart"/>
      <w:r w:rsidRPr="002A74FF">
        <w:t>epilimnion</w:t>
      </w:r>
      <w:proofErr w:type="spellEnd"/>
      <w:r w:rsidRPr="002A74FF">
        <w:t xml:space="preserve"> and </w:t>
      </w:r>
      <w:proofErr w:type="spellStart"/>
      <w:r w:rsidRPr="002A74FF">
        <w:t>hypolimnion</w:t>
      </w:r>
      <w:proofErr w:type="spellEnd"/>
      <w:r w:rsidRPr="002A74FF">
        <w:t xml:space="preserve">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w:t>
      </w:r>
      <w:proofErr w:type="gramStart"/>
      <w:r>
        <w:t>Port</w:t>
      </w:r>
      <w:proofErr w:type="gramEnd"/>
      <w:r>
        <w:t xml:space="preserve">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4A12DC">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"(12)", "plainTextFormattedCitation" : "(12)", "previouslyFormattedCitation" : "(12)" }, "properties" : { "noteIndex" : 0 }, "schema" : "https://github.com/citation-style-language/schema/raw/master/csl-citation.json" }</w:instrText>
      </w:r>
      <w:r w:rsidRPr="00637477">
        <w:fldChar w:fldCharType="separate"/>
      </w:r>
      <w:r w:rsidR="00353516" w:rsidRPr="00353516">
        <w:rPr>
          <w:noProof/>
        </w:rPr>
        <w:t>(12)</w:t>
      </w:r>
      <w:r w:rsidRPr="00637477">
        <w:fldChar w:fldCharType="end"/>
      </w:r>
      <w:r w:rsidRPr="002A74FF">
        <w:t xml:space="preserve"> </w:t>
      </w:r>
      <w:r>
        <w:t xml:space="preserve">The sampling sites are located near </w:t>
      </w:r>
      <w:r w:rsidRPr="002A74FF">
        <w:t xml:space="preserve">Boulder Junction, WI, and were chosen to </w:t>
      </w:r>
      <w:r>
        <w:t xml:space="preserve">include lakes represent all three mixing regimes. </w:t>
      </w:r>
      <w:r w:rsidRPr="002A74FF">
        <w:t xml:space="preserve">(Table 1). </w:t>
      </w:r>
      <w:r>
        <w:t xml:space="preserve">Three lakes are </w:t>
      </w:r>
      <w:proofErr w:type="spellStart"/>
      <w:r>
        <w:t>polymictic</w:t>
      </w:r>
      <w:proofErr w:type="spellEnd"/>
      <w:r>
        <w:t>, three are dimictic, and two are meromictic. Trout Bog and Crystal Bog are primary study sites for the North Temperate Lakes - Long Term Ecological Research Program, which measures a suite of chemical limnology parameters fortnightly during the open water season. The NTL-LTER also maintains autonomous sensing platforms (buoys) on Trout Bog and Crystal Bog, allowing for more refined mixing event detection based on thermistor chain measurements</w:t>
      </w: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 w:tblpY="3196"/>
        <w:tblW w:w="12139" w:type="dxa"/>
        <w:tblLayout w:type="fixed"/>
        <w:tblLook w:val="04A0" w:firstRow="1" w:lastRow="0" w:firstColumn="1" w:lastColumn="0" w:noHBand="0" w:noVBand="1"/>
      </w:tblPr>
      <w:tblGrid>
        <w:gridCol w:w="1537"/>
        <w:gridCol w:w="1070"/>
        <w:gridCol w:w="1375"/>
        <w:gridCol w:w="1375"/>
        <w:gridCol w:w="1375"/>
        <w:gridCol w:w="1375"/>
        <w:gridCol w:w="1375"/>
        <w:gridCol w:w="1378"/>
        <w:gridCol w:w="1279"/>
      </w:tblGrid>
      <w:tr w:rsidR="00BE72D5" w:rsidTr="00BE72D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rsidTr="00BE72D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rsidTr="00BE72D5">
        <w:trPr>
          <w:trHeight w:val="251"/>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rsidTr="00BE72D5">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rsidTr="00BE72D5">
        <w:trPr>
          <w:trHeight w:val="488"/>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rsidTr="00BE72D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46.047776,  -89.651248</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46.007639,  -89.606341</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46.004819,  -89.705214</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46.004633,  -89.709082</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-89.686352</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-89.709082</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46.186674,  -89.702510</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46.250764,  -89.900419</w:t>
            </w:r>
          </w:p>
        </w:tc>
      </w:tr>
      <w:tr w:rsidR="00BE72D5" w:rsidTr="00BE72D5">
        <w:trPr>
          <w:trHeight w:val="505"/>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rsidTr="00BE72D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inorganic carbon</w:t>
            </w:r>
            <w:r>
              <w:rPr>
                <w:rFonts w:ascii="Nirmala UI Semilight" w:eastAsia="Times New Roman" w:hAnsi="Nirmala UI Semilight" w:cs="Nirmala UI Semilight"/>
                <w:sz w:val="20"/>
                <w:szCs w:val="20"/>
              </w:rPr>
              <w:t xml:space="preserve"> (ppm)</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rsidTr="00BE72D5">
        <w:trPr>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organic carbon</w:t>
            </w:r>
            <w:r>
              <w:rPr>
                <w:rFonts w:ascii="Nirmala UI Semilight" w:eastAsia="Times New Roman" w:hAnsi="Nirmala UI Semilight" w:cs="Nirmala UI Semilight"/>
                <w:sz w:val="20"/>
                <w:szCs w:val="20"/>
              </w:rPr>
              <w:t xml:space="preserve"> (ppm)</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rsidTr="00BE72D5">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nitrogen</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620.57, 846.00</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629.09, 809.45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737.71, 1121.00</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813.88, 1498</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1332.57, 3652.38</w:t>
            </w:r>
          </w:p>
        </w:tc>
      </w:tr>
      <w:tr w:rsidR="00BE72D5" w:rsidTr="00BE72D5">
        <w:trPr>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phosphorus</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30.00, 38.86</w:t>
            </w:r>
          </w:p>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78.00, 135.45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50.57, 53.25</w:t>
            </w: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48.63, 69.14</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78.00, 303.50</w:t>
            </w:r>
          </w:p>
        </w:tc>
      </w:tr>
      <w:tr w:rsidR="00BE72D5" w:rsidTr="00BE72D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nitrogen</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1290.19, 490.13</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442.39, 586.56</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582.5, 820.21</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451.63, 1179.21</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1024.5, 3220.14</w:t>
            </w:r>
          </w:p>
        </w:tc>
      </w:tr>
      <w:tr w:rsidR="00BE72D5" w:rsidTr="00BE72D5">
        <w:trPr>
          <w:trHeight w:val="1013"/>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phosphorus</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84.25, 14.88</w:t>
            </w: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70.22, 22.67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34.5, 31.57</w:t>
            </w: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16.25, 18.29</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71.13, 228</w:t>
            </w:r>
          </w:p>
        </w:tc>
      </w:tr>
    </w:tbl>
    <w:p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 xml:space="preserve">All lakes are located near Boulder Junction, WI, in the southern boreal region of North America. The mixing regime indicates the frequency of mixing of the two stratified layers, the </w:t>
      </w:r>
      <w:proofErr w:type="spellStart"/>
      <w:r>
        <w:rPr>
          <w:rFonts w:eastAsia="Times New Roman"/>
        </w:rPr>
        <w:t>epilimnion</w:t>
      </w:r>
      <w:proofErr w:type="spellEnd"/>
      <w:r>
        <w:rPr>
          <w:rFonts w:eastAsia="Times New Roman"/>
        </w:rPr>
        <w:t xml:space="preserve"> and </w:t>
      </w:r>
      <w:proofErr w:type="spellStart"/>
      <w:r>
        <w:rPr>
          <w:rFonts w:eastAsia="Times New Roman"/>
        </w:rPr>
        <w:t>hypolimnion</w:t>
      </w:r>
      <w:proofErr w:type="spellEnd"/>
      <w:r>
        <w:rPr>
          <w:rFonts w:eastAsia="Times New Roman"/>
        </w:rPr>
        <w:t xml:space="preserve">. Nutrient concentrations are reported for the </w:t>
      </w:r>
      <w:proofErr w:type="spellStart"/>
      <w:r>
        <w:rPr>
          <w:rFonts w:eastAsia="Times New Roman"/>
        </w:rPr>
        <w:t>epilimnion</w:t>
      </w:r>
      <w:proofErr w:type="spellEnd"/>
      <w:r>
        <w:rPr>
          <w:rFonts w:eastAsia="Times New Roman"/>
        </w:rPr>
        <w:t xml:space="preserve"> first, then the </w:t>
      </w:r>
      <w:proofErr w:type="spellStart"/>
      <w:r>
        <w:rPr>
          <w:rFonts w:eastAsia="Times New Roman"/>
        </w:rPr>
        <w:t>hypolimnion</w:t>
      </w:r>
      <w:proofErr w:type="spellEnd"/>
      <w:r>
        <w:rPr>
          <w:rFonts w:eastAsia="Times New Roman"/>
        </w:rPr>
        <w:t>, and represent the average concentration measured in 2008.</w:t>
      </w:r>
    </w:p>
    <w:p w:rsidR="00103B13" w:rsidRDefault="00103B13" w:rsidP="000D4BB0">
      <w:pPr>
        <w:pStyle w:val="ManuscriptText"/>
      </w:pPr>
    </w:p>
    <w:p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0D4BB0" w:rsidRPr="000D4BB0" w:rsidRDefault="000D4BB0" w:rsidP="000D4BB0">
      <w:pPr>
        <w:spacing w:line="480" w:lineRule="auto"/>
        <w:jc w:val="both"/>
        <w:rPr>
          <w:b/>
        </w:rPr>
      </w:pPr>
      <w:r w:rsidRPr="000D4BB0">
        <w:rPr>
          <w:b/>
        </w:rPr>
        <w:t>Sequencing</w:t>
      </w:r>
    </w:p>
    <w:p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4A12DC">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"(13)", "plainTextFormattedCitation" : "(13)", "previouslyFormattedCitation" : "(13)" }, "properties" : { "noteIndex" : 0 }, "schema" : "https://github.com/citation-style-language/schema/raw/master/csl-citation.json" }</w:instrText>
      </w:r>
      <w:r>
        <w:fldChar w:fldCharType="separate"/>
      </w:r>
      <w:r w:rsidR="00353516" w:rsidRPr="00353516">
        <w:rPr>
          <w:noProof/>
        </w:rPr>
        <w:t>(13)</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proofErr w:type="spellStart"/>
      <w:r w:rsidRPr="002A74FF">
        <w:t>deblurring</w:t>
      </w:r>
      <w:proofErr w:type="spellEnd"/>
      <w:r>
        <w:t>”</w:t>
      </w:r>
      <w:r w:rsidRPr="002A74FF">
        <w:t xml:space="preserve"> algorithm for reducing sequence error in Illumina data was </w:t>
      </w:r>
      <w:r>
        <w:t>applied</w:t>
      </w:r>
      <w:r w:rsidRPr="002A74FF">
        <w:t xml:space="preserve"> </w:t>
      </w:r>
      <w:r>
        <w:t>(</w:t>
      </w:r>
      <w:hyperlink r:id="rId6"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w:t>
      </w:r>
      <w:proofErr w:type="spellStart"/>
      <w:r>
        <w:t>deblurring</w:t>
      </w:r>
      <w:proofErr w:type="spellEnd"/>
      <w:r>
        <w:t>, leaving 9,856 unique sequences.</w:t>
      </w:r>
    </w:p>
    <w:p w:rsidR="000D4BB0" w:rsidRDefault="000D4BB0" w:rsidP="000D4BB0">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4A12DC">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"(14)", "plainTextFormattedCitation" : "(14)", "previouslyFormattedCitation" : "(14)" }, "properties" : { "noteIndex" : 0 }, "schema" : "https://github.com/citation-style-language/schema/raw/master/csl-citation.json" }</w:instrText>
      </w:r>
      <w:r>
        <w:fldChar w:fldCharType="separate"/>
      </w:r>
      <w:r w:rsidR="00353516" w:rsidRPr="00353516">
        <w:rPr>
          <w:noProof/>
        </w:rPr>
        <w:t>(14)</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4A12DC">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"(15)", "plainTextFormattedCitation" : "(15)", "previouslyFormattedCitation" : "(15)" }, "properties" : { "noteIndex" : 0 }, "schema" : "https://github.com/citation-style-language/schema/raw/master/csl-citation.json" }</w:instrText>
      </w:r>
      <w:r>
        <w:fldChar w:fldCharType="separate"/>
      </w:r>
      <w:r w:rsidR="00353516" w:rsidRPr="00353516">
        <w:rPr>
          <w:noProof/>
        </w:rPr>
        <w:t>(15)</w:t>
      </w:r>
      <w:r>
        <w:fldChar w:fldCharType="end"/>
      </w:r>
      <w:r>
        <w:t xml:space="preserve"> were removed</w:t>
      </w:r>
      <w:r w:rsidRPr="002A74FF">
        <w:t xml:space="preserve">. The remaining </w:t>
      </w:r>
      <w:r>
        <w:t xml:space="preserve">8,913 </w:t>
      </w:r>
      <w:r w:rsidRPr="002A74FF">
        <w:t xml:space="preserve">unique sequences were clustered into 98% OTUs using </w:t>
      </w:r>
      <w:proofErr w:type="spellStart"/>
      <w:r w:rsidRPr="002A74FF">
        <w:t>mothur’s</w:t>
      </w:r>
      <w:proofErr w:type="spellEnd"/>
      <w:r w:rsidRPr="002A74FF">
        <w:t xml:space="preserve"> average neighbor clustering algorithm. </w:t>
      </w:r>
      <w:r>
        <w:t xml:space="preserve">98% OTUs were created instead of 97% OTUs to maintain consistency with the established taxonomy for freshwater bacteria, in which a “tribe” represents a population with 98% sequence similarity </w:t>
      </w:r>
      <w:r>
        <w:fldChar w:fldCharType="begin" w:fldLock="1"/>
      </w:r>
      <w:r w:rsidR="004A12DC">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"(16)", "plainTextFormattedCitation" : "(16)", "previouslyFormattedCitation" : "(16)" }, "properties" : { "noteIndex" : 0 }, "schema" : "https://github.com/citation-style-language/schema/raw/master/csl-citation.json" }</w:instrText>
      </w:r>
      <w:r>
        <w:fldChar w:fldCharType="separate"/>
      </w:r>
      <w:r w:rsidR="00353516" w:rsidRPr="00353516">
        <w:rPr>
          <w:noProof/>
        </w:rPr>
        <w:t>(16)</w:t>
      </w:r>
      <w:r>
        <w:fldChar w:fldCharType="end"/>
      </w:r>
      <w:r>
        <w:t xml:space="preserve">. Samples were rarefied to 2,500 reads; samples with less than 2,500 reads were omitted, resulting in 1,387 remaining samples. </w:t>
      </w:r>
      <w:r w:rsidRPr="00E42826">
        <w:t>The rarefaction cutoff used was determined based on the results of simulation; 2,500 reads was chosen in order to maximize the number of samples retained, while maintaining sufficient quality for downstream analysis of diversity metrics.</w:t>
      </w:r>
    </w:p>
    <w:p w:rsidR="000D4BB0" w:rsidRPr="002A74FF" w:rsidRDefault="000D4BB0" w:rsidP="000D4BB0">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w:t>
      </w:r>
      <w:r w:rsidRPr="002A74FF">
        <w:lastRenderedPageBreak/>
        <w:t xml:space="preserve">database </w:t>
      </w:r>
      <w:r>
        <w:fldChar w:fldCharType="begin" w:fldLock="1"/>
      </w:r>
      <w:r w:rsidR="004A12DC">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"(16)", "plainTextFormattedCitation" : "(16)", "previouslyFormattedCitation" : "(16)" }, "properties" : { "noteIndex" : 0 }, "schema" : "https://github.com/citation-style-language/schema/raw/master/csl-citation.json" }</w:instrText>
      </w:r>
      <w:r>
        <w:fldChar w:fldCharType="separate"/>
      </w:r>
      <w:r w:rsidR="00353516" w:rsidRPr="00353516">
        <w:rPr>
          <w:noProof/>
        </w:rPr>
        <w:t>(16)</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rsidR="004A12DC">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"(17)", "plainTextFormattedCitation" : "(17)", "previouslyFormattedCitation" : "(17)" }, "properties" : { "noteIndex" : 0 }, "schema" : "https://github.com/citation-style-language/schema/raw/master/csl-citation.json" }</w:instrText>
      </w:r>
      <w:r w:rsidRPr="00F25490">
        <w:fldChar w:fldCharType="separate"/>
      </w:r>
      <w:r w:rsidR="00353516" w:rsidRPr="00353516">
        <w:rPr>
          <w:noProof/>
        </w:rPr>
        <w:t>(17)</w:t>
      </w:r>
      <w:r w:rsidRPr="00F25490">
        <w:fldChar w:fldCharType="end"/>
      </w:r>
      <w:r w:rsidRPr="002A74FF">
        <w:t>.</w:t>
      </w:r>
      <w:r>
        <w:t xml:space="preserve"> Representative sequences from each OTU were randomly chosen. The program </w:t>
      </w:r>
      <w:proofErr w:type="spellStart"/>
      <w:r>
        <w:t>blastn</w:t>
      </w:r>
      <w:proofErr w:type="spellEnd"/>
      <w:r>
        <w:t xml:space="preserve"> was 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rsidR="004A12DC">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"(18)", "plainTextFormattedCitation" : "(18)", "previouslyFormattedCitation" : "(18)" }, "properties" : { "noteIndex" : 0 }, "schema" : "https://github.com/citation-style-language/schema/raw/master/csl-citation.json" }</w:instrText>
      </w:r>
      <w:r>
        <w:fldChar w:fldCharType="separate"/>
      </w:r>
      <w:r w:rsidR="00353516" w:rsidRPr="00353516">
        <w:rPr>
          <w:noProof/>
        </w:rPr>
        <w:t>(18)</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7" w:tgtFrame="_blank" w:history="1">
        <w:r>
          <w:rPr>
            <w:rStyle w:val="Hyperlink"/>
          </w:rPr>
          <w:t>https://github.com/McMahonLab/16STaxAss</w:t>
        </w:r>
      </w:hyperlink>
      <w:r>
        <w:t xml:space="preserve"> ) (manuscript in prep).</w:t>
      </w:r>
    </w:p>
    <w:p w:rsidR="000D4BB0" w:rsidRPr="000D4BB0" w:rsidRDefault="000D4BB0" w:rsidP="000D4BB0">
      <w:pPr>
        <w:spacing w:line="480" w:lineRule="auto"/>
        <w:jc w:val="both"/>
        <w:rPr>
          <w:b/>
        </w:rPr>
      </w:pPr>
      <w:r w:rsidRPr="000D4BB0">
        <w:rPr>
          <w:b/>
        </w:rPr>
        <w:t>Statistics</w:t>
      </w:r>
    </w:p>
    <w:p w:rsidR="000D4BB0" w:rsidRDefault="000D4BB0" w:rsidP="000D4BB0">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Significant differences in observed richness between each pair of lakes were identified using </w:t>
      </w:r>
      <w:r w:rsidRPr="00B34567">
        <w:t>the Wilcoxon signed-rank test implement using “</w:t>
      </w:r>
      <w:proofErr w:type="spellStart"/>
      <w:r w:rsidRPr="00B34567">
        <w:t>exactRankTests</w:t>
      </w:r>
      <w:proofErr w:type="spellEnd"/>
      <w:r w:rsidRPr="00B34567">
        <w:t>”</w:t>
      </w:r>
      <w:r>
        <w:t xml:space="preserve"> (</w:t>
      </w:r>
      <w:proofErr w:type="spellStart"/>
      <w:r>
        <w:t>Hothorn</w:t>
      </w:r>
      <w:proofErr w:type="spellEnd"/>
      <w:r>
        <w:t xml:space="preserve"> and </w:t>
      </w:r>
      <w:proofErr w:type="spellStart"/>
      <w:r>
        <w:t>Hornik</w:t>
      </w:r>
      <w:proofErr w:type="spellEnd"/>
      <w:r>
        <w:t xml:space="preserve"> (2013). </w:t>
      </w:r>
      <w:proofErr w:type="spellStart"/>
      <w:r>
        <w:t>exactRankTests</w:t>
      </w:r>
      <w:proofErr w:type="spellEnd"/>
      <w:r>
        <w:t>: Exact Distributions for Rank and Permutation Tests. R package v0.8-28)</w:t>
      </w:r>
      <w:r w:rsidRPr="00B34567">
        <w:t>. This is a non-parametric alternative to the Student’s t-test for non-normal data.</w:t>
      </w:r>
      <w:r>
        <w:t xml:space="preserve"> Evenness was measured using </w:t>
      </w:r>
      <w:proofErr w:type="spellStart"/>
      <w:r>
        <w:t>Pielou’s</w:t>
      </w:r>
      <w:proofErr w:type="spellEnd"/>
      <w:r>
        <w:t xml:space="preserve"> Evenness Index. Both alpha diversity and evenness were measured at the OTU level.</w:t>
      </w:r>
    </w:p>
    <w:p w:rsidR="000D4BB0" w:rsidRPr="009C2E4C" w:rsidRDefault="000D4BB0" w:rsidP="000D4BB0">
      <w:pPr>
        <w:pStyle w:val="HTMLPreformatted"/>
        <w:wordWrap w:val="0"/>
        <w:spacing w:line="480" w:lineRule="auto"/>
        <w:jc w:val="both"/>
        <w:rPr>
          <w:rFonts w:ascii="Times New Roman" w:hAnsi="Times New Roman" w:cs="Times New Roman"/>
          <w:color w:val="000000"/>
          <w:sz w:val="24"/>
          <w:szCs w:val="24"/>
          <w:shd w:val="clear" w:color="auto" w:fill="E1E2E5"/>
        </w:rPr>
      </w:pPr>
      <w:r>
        <w:rPr>
          <w:rFonts w:ascii="Times New Roman" w:hAnsi="Times New Roman" w:cs="Times New Roman"/>
          <w:sz w:val="24"/>
          <w:szCs w:val="24"/>
        </w:rPr>
        <w:tab/>
      </w:r>
      <w:r w:rsidRPr="009C2E4C">
        <w:rPr>
          <w:rFonts w:ascii="Times New Roman" w:hAnsi="Times New Roman" w:cs="Times New Roman"/>
          <w:sz w:val="24"/>
          <w:szCs w:val="24"/>
        </w:rPr>
        <w:t xml:space="preserve">Similarity between samples was compared using </w:t>
      </w:r>
      <w:proofErr w:type="spellStart"/>
      <w:r w:rsidRPr="009C2E4C">
        <w:rPr>
          <w:rFonts w:ascii="Times New Roman" w:hAnsi="Times New Roman" w:cs="Times New Roman"/>
          <w:sz w:val="24"/>
          <w:szCs w:val="24"/>
        </w:rPr>
        <w:t>UniFrac</w:t>
      </w:r>
      <w:proofErr w:type="spellEnd"/>
      <w:r w:rsidRPr="009C2E4C">
        <w:rPr>
          <w:rFonts w:ascii="Times New Roman" w:hAnsi="Times New Roman" w:cs="Times New Roman"/>
          <w:sz w:val="24"/>
          <w:szCs w:val="24"/>
        </w:rPr>
        <w:t xml:space="preserve"> distances, as implement in “</w:t>
      </w:r>
      <w:proofErr w:type="spellStart"/>
      <w:r w:rsidRPr="009C2E4C">
        <w:rPr>
          <w:rFonts w:ascii="Times New Roman" w:hAnsi="Times New Roman" w:cs="Times New Roman"/>
          <w:sz w:val="24"/>
          <w:szCs w:val="24"/>
        </w:rPr>
        <w:t>phyloseq</w:t>
      </w:r>
      <w:proofErr w:type="spellEnd"/>
      <w:r w:rsidRPr="009C2E4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A12DC">
        <w:rPr>
          <w:rFonts w:ascii="Times New Roman" w:hAnsi="Times New Roman" w:cs="Times New Roman"/>
          <w:sz w:val="24"/>
          <w:szCs w:val="24"/>
        </w:rP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"(19)", "plainTextFormattedCitation" : "(19)", "previouslyFormattedCitation" : "(19)" }, "properties" : { "noteIndex" : 0 }, "schema" : "https://github.com/citation-style-language/schema/raw/master/csl-citation.json" }</w:instrText>
      </w:r>
      <w:r>
        <w:rPr>
          <w:rFonts w:ascii="Times New Roman" w:hAnsi="Times New Roman" w:cs="Times New Roman"/>
          <w:sz w:val="24"/>
          <w:szCs w:val="24"/>
        </w:rPr>
        <w:fldChar w:fldCharType="separate"/>
      </w:r>
      <w:r w:rsidR="00353516" w:rsidRPr="00353516">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(P.J. </w:t>
      </w:r>
      <w:proofErr w:type="spellStart"/>
      <w:r>
        <w:rPr>
          <w:rFonts w:ascii="Times New Roman" w:hAnsi="Times New Roman" w:cs="Times New Roman"/>
          <w:sz w:val="24"/>
          <w:szCs w:val="24"/>
        </w:rPr>
        <w:t>McMurdie</w:t>
      </w:r>
      <w:proofErr w:type="spellEnd"/>
      <w:r>
        <w:rPr>
          <w:rFonts w:ascii="Times New Roman" w:hAnsi="Times New Roman" w:cs="Times New Roman"/>
          <w:sz w:val="24"/>
          <w:szCs w:val="24"/>
        </w:rPr>
        <w:t xml:space="preserve"> and S. Holmes (2013). </w:t>
      </w:r>
      <w:proofErr w:type="spellStart"/>
      <w:r>
        <w:rPr>
          <w:rFonts w:ascii="Times New Roman" w:hAnsi="Times New Roman" w:cs="Times New Roman"/>
          <w:sz w:val="24"/>
          <w:szCs w:val="24"/>
        </w:rPr>
        <w:t>phyloseq</w:t>
      </w:r>
      <w:proofErr w:type="spellEnd"/>
      <w:r>
        <w:rPr>
          <w:rFonts w:ascii="Times New Roman" w:hAnsi="Times New Roman" w:cs="Times New Roman"/>
          <w:sz w:val="24"/>
          <w:szCs w:val="24"/>
        </w:rPr>
        <w:t xml:space="preserve">: An R Package for reproducible interactive analysis and graphic of microbiome census data). </w:t>
      </w:r>
      <w:r w:rsidRPr="009C2E4C">
        <w:rPr>
          <w:rFonts w:ascii="Times New Roman" w:hAnsi="Times New Roman" w:cs="Times New Roman"/>
          <w:sz w:val="24"/>
          <w:szCs w:val="24"/>
        </w:rPr>
        <w:t xml:space="preserve">Weighted and unweighted </w:t>
      </w:r>
      <w:proofErr w:type="spellStart"/>
      <w:r w:rsidRPr="009C2E4C">
        <w:rPr>
          <w:rFonts w:ascii="Times New Roman" w:hAnsi="Times New Roman" w:cs="Times New Roman"/>
          <w:sz w:val="24"/>
          <w:szCs w:val="24"/>
        </w:rPr>
        <w:t>Unifrac</w:t>
      </w:r>
      <w:proofErr w:type="spellEnd"/>
      <w:r w:rsidRPr="009C2E4C">
        <w:rPr>
          <w:rFonts w:ascii="Times New Roman" w:hAnsi="Times New Roman" w:cs="Times New Roman"/>
          <w:sz w:val="24"/>
          <w:szCs w:val="24"/>
        </w:rPr>
        <w:t xml:space="preserve"> distance was compared with Bray-Curtis Dissimilarity and </w:t>
      </w:r>
      <w:proofErr w:type="spellStart"/>
      <w:r w:rsidRPr="009C2E4C">
        <w:rPr>
          <w:rFonts w:ascii="Times New Roman" w:hAnsi="Times New Roman" w:cs="Times New Roman"/>
          <w:sz w:val="24"/>
          <w:szCs w:val="24"/>
        </w:rPr>
        <w:t>Jaccard</w:t>
      </w:r>
      <w:proofErr w:type="spellEnd"/>
      <w:r w:rsidRPr="009C2E4C">
        <w:rPr>
          <w:rFonts w:ascii="Times New Roman" w:hAnsi="Times New Roman" w:cs="Times New Roman"/>
          <w:sz w:val="24"/>
          <w:szCs w:val="24"/>
        </w:rPr>
        <w:t xml:space="preserve"> Similarit</w:t>
      </w:r>
      <w:r>
        <w:rPr>
          <w:rFonts w:ascii="Times New Roman" w:hAnsi="Times New Roman" w:cs="Times New Roman"/>
          <w:sz w:val="24"/>
          <w:szCs w:val="24"/>
        </w:rPr>
        <w:t xml:space="preserve">y, implemented in “vegan” (J. </w:t>
      </w:r>
      <w:proofErr w:type="spellStart"/>
      <w:r>
        <w:rPr>
          <w:rFonts w:ascii="Times New Roman" w:hAnsi="Times New Roman" w:cs="Times New Roman"/>
          <w:sz w:val="24"/>
          <w:szCs w:val="24"/>
        </w:rPr>
        <w:t>Oksanen</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(2016). vegan: Community Ecology Package)</w:t>
      </w:r>
      <w:r w:rsidRPr="009C2E4C">
        <w:rPr>
          <w:rFonts w:ascii="Times New Roman" w:hAnsi="Times New Roman" w:cs="Times New Roman"/>
          <w:sz w:val="24"/>
          <w:szCs w:val="24"/>
        </w:rPr>
        <w:t xml:space="preserve">. Weighted </w:t>
      </w:r>
      <w:proofErr w:type="spellStart"/>
      <w:r w:rsidRPr="009C2E4C">
        <w:rPr>
          <w:rFonts w:ascii="Times New Roman" w:hAnsi="Times New Roman" w:cs="Times New Roman"/>
          <w:sz w:val="24"/>
          <w:szCs w:val="24"/>
        </w:rPr>
        <w:t>UniFrac</w:t>
      </w:r>
      <w:proofErr w:type="spellEnd"/>
      <w:r w:rsidRPr="009C2E4C">
        <w:rPr>
          <w:rFonts w:ascii="Times New Roman" w:hAnsi="Times New Roman" w:cs="Times New Roman"/>
          <w:sz w:val="24"/>
          <w:szCs w:val="24"/>
        </w:rPr>
        <w:t xml:space="preserve"> distances were chosen for principle coordinates analysis, performed by </w:t>
      </w:r>
      <w:proofErr w:type="spellStart"/>
      <w:proofErr w:type="gramStart"/>
      <w:r w:rsidRPr="009C2E4C">
        <w:rPr>
          <w:rFonts w:ascii="Times New Roman" w:hAnsi="Times New Roman" w:cs="Times New Roman"/>
          <w:sz w:val="24"/>
          <w:szCs w:val="24"/>
        </w:rPr>
        <w:t>betadisper</w:t>
      </w:r>
      <w:proofErr w:type="spellEnd"/>
      <w:r w:rsidRPr="009C2E4C">
        <w:rPr>
          <w:rFonts w:ascii="Times New Roman" w:hAnsi="Times New Roman" w:cs="Times New Roman"/>
          <w:sz w:val="24"/>
          <w:szCs w:val="24"/>
        </w:rPr>
        <w:t>(</w:t>
      </w:r>
      <w:proofErr w:type="gramEnd"/>
      <w:r w:rsidRPr="009C2E4C">
        <w:rPr>
          <w:rFonts w:ascii="Times New Roman" w:hAnsi="Times New Roman" w:cs="Times New Roman"/>
          <w:sz w:val="24"/>
          <w:szCs w:val="24"/>
        </w:rPr>
        <w:t>) in “vegan”, because it explai</w:t>
      </w:r>
      <w:r w:rsidRPr="009C2E4C">
        <w:rPr>
          <w:rFonts w:ascii="Times New Roman" w:hAnsi="Times New Roman" w:cs="Times New Roman"/>
          <w:sz w:val="24"/>
          <w:szCs w:val="24"/>
        </w:rPr>
        <w:lastRenderedPageBreak/>
        <w:t xml:space="preserve">ned the greatest amount of variation in the first two axes.  Significant clustering by year in </w:t>
      </w:r>
      <w:proofErr w:type="spellStart"/>
      <w:r w:rsidRPr="009C2E4C">
        <w:rPr>
          <w:rFonts w:ascii="Times New Roman" w:hAnsi="Times New Roman" w:cs="Times New Roman"/>
          <w:sz w:val="24"/>
          <w:szCs w:val="24"/>
        </w:rPr>
        <w:t>PCoA</w:t>
      </w:r>
      <w:proofErr w:type="spellEnd"/>
      <w:r w:rsidRPr="009C2E4C">
        <w:rPr>
          <w:rFonts w:ascii="Times New Roman" w:hAnsi="Times New Roman" w:cs="Times New Roman"/>
          <w:sz w:val="24"/>
          <w:szCs w:val="24"/>
        </w:rPr>
        <w:t xml:space="preserve"> was tested using PERMANOVA with the function </w:t>
      </w:r>
      <w:proofErr w:type="spellStart"/>
      <w:proofErr w:type="gramStart"/>
      <w:r w:rsidRPr="009C2E4C">
        <w:rPr>
          <w:rFonts w:ascii="Times New Roman" w:hAnsi="Times New Roman" w:cs="Times New Roman"/>
          <w:sz w:val="24"/>
          <w:szCs w:val="24"/>
        </w:rPr>
        <w:t>adonis</w:t>
      </w:r>
      <w:proofErr w:type="spellEnd"/>
      <w:r w:rsidRPr="009C2E4C">
        <w:rPr>
          <w:rFonts w:ascii="Times New Roman" w:hAnsi="Times New Roman" w:cs="Times New Roman"/>
          <w:sz w:val="24"/>
          <w:szCs w:val="24"/>
        </w:rPr>
        <w:t>(</w:t>
      </w:r>
      <w:proofErr w:type="gramEnd"/>
      <w:r w:rsidRPr="009C2E4C">
        <w:rPr>
          <w:rFonts w:ascii="Times New Roman" w:hAnsi="Times New Roman" w:cs="Times New Roman"/>
          <w:sz w:val="24"/>
          <w:szCs w:val="24"/>
        </w:rPr>
        <w:t xml:space="preserve">) in “vegan.” </w:t>
      </w:r>
    </w:p>
    <w:p w:rsidR="000D4BB0" w:rsidRDefault="000D4BB0" w:rsidP="000D4BB0">
      <w:pPr>
        <w:pStyle w:val="ManuscriptText"/>
      </w:pPr>
      <w:r>
        <w:t>Indicator species analysis was performed using “</w:t>
      </w:r>
      <w:proofErr w:type="spellStart"/>
      <w:r>
        <w:t>indicspecies</w:t>
      </w:r>
      <w:proofErr w:type="spellEnd"/>
      <w:r>
        <w:t xml:space="preserve">” </w:t>
      </w:r>
      <w:r>
        <w:fldChar w:fldCharType="begin" w:fldLock="1"/>
      </w:r>
      <w:r w:rsidR="004A12DC">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"(20)", "plainTextFormattedCitation" : "(20)", "previouslyFormattedCitation" : "(20)" }, "properties" : { "noteIndex" : 0 }, "schema" : "https://github.com/citation-style-language/schema/raw/master/csl-citation.json" }</w:instrText>
      </w:r>
      <w:r>
        <w:fldChar w:fldCharType="separate"/>
      </w:r>
      <w:r w:rsidR="00353516" w:rsidRPr="00353516">
        <w:rPr>
          <w:noProof/>
        </w:rPr>
        <w:t>(20)</w:t>
      </w:r>
      <w:r>
        <w:fldChar w:fldCharType="end"/>
      </w:r>
      <w:r>
        <w:t xml:space="preserve">.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rsidR="000D4BB0" w:rsidRDefault="000D4BB0" w:rsidP="000D4BB0">
      <w:pPr>
        <w:pStyle w:val="ManuscriptText"/>
      </w:pPr>
      <w:r>
        <w:t>Plots were generated using “ggplot2” (Wickham. (2009). ggplot2: Elegant Graphics for Data Analysis). “reshape2” was used for data formatting (H. Wickham (2007).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rsidR="000D4BB0" w:rsidRPr="000D4BB0" w:rsidRDefault="000D4BB0" w:rsidP="000D4BB0">
      <w:pPr>
        <w:spacing w:line="480" w:lineRule="auto"/>
        <w:jc w:val="both"/>
      </w:pPr>
    </w:p>
    <w:p w:rsidR="004E4294" w:rsidRDefault="004E4294" w:rsidP="000D4BB0">
      <w:pPr>
        <w:pStyle w:val="Heading2"/>
        <w:spacing w:before="0" w:line="480" w:lineRule="auto"/>
        <w:jc w:val="both"/>
      </w:pPr>
      <w:r w:rsidRPr="004E4294">
        <w:t>Results</w:t>
      </w:r>
    </w:p>
    <w:p w:rsidR="004E63A7" w:rsidRPr="000D4BB0" w:rsidRDefault="004E63A7" w:rsidP="000D4BB0">
      <w:pPr>
        <w:spacing w:line="480" w:lineRule="auto"/>
        <w:jc w:val="both"/>
        <w:rPr>
          <w:b/>
        </w:rPr>
      </w:pPr>
      <w:r w:rsidRPr="000D4BB0">
        <w:rPr>
          <w:b/>
        </w:rPr>
        <w:t>Overview of community composition</w:t>
      </w:r>
    </w:p>
    <w:p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proofErr w:type="spellStart"/>
      <w:r>
        <w:rPr>
          <w:i/>
        </w:rPr>
        <w:t>Proteobacteria</w:t>
      </w:r>
      <w:proofErr w:type="spellEnd"/>
      <w:r>
        <w:rPr>
          <w:i/>
        </w:rPr>
        <w:t xml:space="preserve">, </w:t>
      </w:r>
      <w:proofErr w:type="spellStart"/>
      <w:r>
        <w:rPr>
          <w:i/>
        </w:rPr>
        <w:t>Actinobacteria</w:t>
      </w:r>
      <w:proofErr w:type="spellEnd"/>
      <w:r>
        <w:rPr>
          <w:i/>
        </w:rPr>
        <w:t xml:space="preserve">, </w:t>
      </w:r>
      <w:proofErr w:type="spellStart"/>
      <w:r>
        <w:rPr>
          <w:i/>
        </w:rPr>
        <w:t>Bacteroidetes</w:t>
      </w:r>
      <w:proofErr w:type="spellEnd"/>
      <w:r>
        <w:rPr>
          <w:i/>
        </w:rPr>
        <w:t xml:space="preserve">, </w:t>
      </w:r>
      <w:r>
        <w:t xml:space="preserve">and </w:t>
      </w:r>
      <w:proofErr w:type="spellStart"/>
      <w:r>
        <w:rPr>
          <w:i/>
        </w:rPr>
        <w:t>Verrucomicrobia</w:t>
      </w:r>
      <w:proofErr w:type="spellEnd"/>
      <w:r>
        <w:rPr>
          <w:i/>
        </w:rPr>
        <w:t xml:space="preserve"> </w:t>
      </w:r>
      <w:r>
        <w:t xml:space="preserve">were the most abundant phyla. </w:t>
      </w:r>
      <w:r w:rsidR="00F87E83">
        <w:t>Within these phyla, OTU abundance is highly uneven</w:t>
      </w:r>
      <w:r>
        <w:t xml:space="preserve">. </w:t>
      </w:r>
      <w:r w:rsidR="00F87E83">
        <w:t>For example, m</w:t>
      </w:r>
      <w:r>
        <w:t xml:space="preserve">uch of the abundance of </w:t>
      </w:r>
      <w:proofErr w:type="spellStart"/>
      <w:r w:rsidR="00F87E83">
        <w:rPr>
          <w:i/>
        </w:rPr>
        <w:t>Proteobacteria</w:t>
      </w:r>
      <w:proofErr w:type="spellEnd"/>
      <w:r w:rsidR="00F87E83">
        <w:rPr>
          <w:i/>
        </w:rPr>
        <w:t xml:space="preserve"> </w:t>
      </w:r>
      <w:r>
        <w:t xml:space="preserve">can be attributed to OTUs belonging to the well-known freshwater groups </w:t>
      </w:r>
      <w:proofErr w:type="spellStart"/>
      <w:r>
        <w:rPr>
          <w:i/>
        </w:rPr>
        <w:t>Polynucleobacter</w:t>
      </w:r>
      <w:proofErr w:type="spellEnd"/>
      <w:r>
        <w:rPr>
          <w:i/>
        </w:rPr>
        <w:t xml:space="preserve"> </w:t>
      </w:r>
      <w:r>
        <w:t xml:space="preserve">and </w:t>
      </w:r>
      <w:proofErr w:type="spellStart"/>
      <w:r>
        <w:rPr>
          <w:i/>
        </w:rPr>
        <w:t>Limnohabitans</w:t>
      </w:r>
      <w:proofErr w:type="spellEnd"/>
      <w:r w:rsidR="00F87E83">
        <w:rPr>
          <w:i/>
        </w:rPr>
        <w:t xml:space="preserve">, </w:t>
      </w:r>
      <w:r w:rsidR="00F87E83">
        <w:t xml:space="preserve">and the freshwater clade </w:t>
      </w:r>
      <w:proofErr w:type="spellStart"/>
      <w:r w:rsidR="00F87E83">
        <w:t>acI</w:t>
      </w:r>
      <w:proofErr w:type="spellEnd"/>
      <w:r w:rsidR="00F87E83">
        <w:t xml:space="preserve"> contributes disproportionately to the observed abundance of </w:t>
      </w:r>
      <w:proofErr w:type="spellStart"/>
      <w:r w:rsidR="00F87E83">
        <w:rPr>
          <w:i/>
        </w:rPr>
        <w:t>Actinobacteria</w:t>
      </w:r>
      <w:proofErr w:type="spellEnd"/>
      <w:r>
        <w:t>.</w:t>
      </w:r>
      <w:r w:rsidR="00F87E83">
        <w:t xml:space="preserve"> </w:t>
      </w:r>
      <w:r>
        <w:t xml:space="preserve"> </w:t>
      </w:r>
      <w:r w:rsidR="00F87E83">
        <w:t xml:space="preserve">Unevenness is </w:t>
      </w:r>
      <w:r w:rsidR="00C51B82">
        <w:t xml:space="preserve">a recurring theme </w:t>
      </w:r>
      <w:r w:rsidR="00C51B82">
        <w:lastRenderedPageBreak/>
        <w:t>in this</w:t>
      </w:r>
      <w:r w:rsidR="00F87E83">
        <w:t xml:space="preserve"> dataset, which has a long rare tail of OTUs and trends driven largely by the most abundant OTUs.</w:t>
      </w:r>
    </w:p>
    <w:p w:rsidR="004E63A7" w:rsidRPr="000D4BB0" w:rsidRDefault="004E63A7" w:rsidP="000D4BB0">
      <w:pPr>
        <w:spacing w:line="480" w:lineRule="auto"/>
        <w:jc w:val="both"/>
        <w:rPr>
          <w:b/>
        </w:rPr>
      </w:pPr>
      <w:r w:rsidRPr="000D4BB0">
        <w:rPr>
          <w:b/>
        </w:rPr>
        <w:t>Clusters of community composition</w:t>
      </w:r>
    </w:p>
    <w:p w:rsidR="007D3071" w:rsidRDefault="009D61B5" w:rsidP="000D4BB0">
      <w:pPr>
        <w:spacing w:line="480" w:lineRule="auto"/>
        <w:ind w:firstLine="720"/>
        <w:jc w:val="both"/>
      </w:pPr>
      <w:r>
        <w:t xml:space="preserve">When differences in community composition are quantified using weighted </w:t>
      </w:r>
      <w:proofErr w:type="spellStart"/>
      <w:r>
        <w:t>UniFrac</w:t>
      </w:r>
      <w:proofErr w:type="spellEnd"/>
      <w:r>
        <w:t xml:space="preserve"> distance, several trends emerge. Communities from the </w:t>
      </w:r>
      <w:proofErr w:type="spellStart"/>
      <w:r>
        <w:t>epilimnion</w:t>
      </w:r>
      <w:proofErr w:type="spellEnd"/>
      <w:r>
        <w:t xml:space="preserve"> and </w:t>
      </w:r>
      <w:proofErr w:type="spellStart"/>
      <w:r>
        <w:t>hypolimnion</w:t>
      </w:r>
      <w:proofErr w:type="spellEnd"/>
      <w:r>
        <w:t xml:space="preserve"> layers are distinct</w:t>
      </w:r>
      <w:r w:rsidR="00C51B82">
        <w:t xml:space="preserve"> from each other</w:t>
      </w:r>
      <w:r>
        <w:t xml:space="preserve"> in all lakes. </w:t>
      </w:r>
      <w:proofErr w:type="spellStart"/>
      <w:r>
        <w:t>Epilimni</w:t>
      </w:r>
      <w:r w:rsidR="00C51B82">
        <w:t>a</w:t>
      </w:r>
      <w:proofErr w:type="spellEnd"/>
      <w:r w:rsidR="00C51B82">
        <w:t xml:space="preserve"> </w:t>
      </w:r>
      <w:r>
        <w:t xml:space="preserve">have a higher proportion of OTUs classified using the established freshwater taxonomy, while </w:t>
      </w:r>
      <w:proofErr w:type="spellStart"/>
      <w:r>
        <w:t>hypolimnion</w:t>
      </w:r>
      <w:proofErr w:type="spellEnd"/>
      <w:r>
        <w:t xml:space="preserve"> communities have more OTUs that cannot be classified past the family level. OTUs belonging to candidate phyla are more frequently observed in </w:t>
      </w:r>
      <w:proofErr w:type="spellStart"/>
      <w:r>
        <w:t>hypolimnia</w:t>
      </w:r>
      <w:proofErr w:type="spellEnd"/>
      <w:r w:rsidR="00FC3D22">
        <w:t>. These differ</w:t>
      </w:r>
      <w:r w:rsidR="00C51B82">
        <w:t xml:space="preserve">ences </w:t>
      </w:r>
      <w:r w:rsidR="00C51B82">
        <w:t>are less pronounced in lakes that mix frequently</w:t>
      </w:r>
      <w:r w:rsidR="00C51B82">
        <w:t>, and likely reflect the bias in</w:t>
      </w:r>
      <w:r w:rsidR="00FC3D22">
        <w:t xml:space="preserve"> freshwater microbial ecology to</w:t>
      </w:r>
      <w:r w:rsidR="00C51B82">
        <w:t>wards</w:t>
      </w:r>
      <w:r w:rsidR="00FC3D22">
        <w:t xml:space="preserve"> the surface waters of lakes. Within layers, mixing regime is the next </w:t>
      </w:r>
      <w:r w:rsidR="00C51B82">
        <w:t xml:space="preserve">driver </w:t>
      </w:r>
      <w:r w:rsidR="00FC3D22">
        <w:t xml:space="preserve">of community composition. This effect is stronger in </w:t>
      </w:r>
      <w:proofErr w:type="spellStart"/>
      <w:r w:rsidR="00FC3D22">
        <w:t>hypolimnia</w:t>
      </w:r>
      <w:proofErr w:type="spellEnd"/>
      <w:r w:rsidR="00FC3D22">
        <w:t xml:space="preserve">, which experience major changes in oxygen content during mixing events. </w:t>
      </w:r>
      <w:r w:rsidR="009760A9">
        <w:t xml:space="preserve">One exception is that Crystal Bog, a </w:t>
      </w:r>
      <w:proofErr w:type="spellStart"/>
      <w:r w:rsidR="009760A9">
        <w:t>polymictic</w:t>
      </w:r>
      <w:proofErr w:type="spellEnd"/>
      <w:r w:rsidR="009760A9">
        <w:t xml:space="preserve"> lake, clusters with other </w:t>
      </w:r>
      <w:proofErr w:type="spellStart"/>
      <w:r w:rsidR="009760A9">
        <w:t>polymictic</w:t>
      </w:r>
      <w:proofErr w:type="spellEnd"/>
      <w:r w:rsidR="009760A9">
        <w:t xml:space="preserve"> </w:t>
      </w:r>
      <w:proofErr w:type="spellStart"/>
      <w:r w:rsidR="009760A9">
        <w:t>hypolimnia</w:t>
      </w:r>
      <w:proofErr w:type="spellEnd"/>
      <w:r w:rsidR="009760A9">
        <w:t xml:space="preserve"> (West Sparkling Bog and Forestry Bog) in 2007, but appears more similar to dimictic </w:t>
      </w:r>
      <w:proofErr w:type="spellStart"/>
      <w:r w:rsidR="009760A9">
        <w:t>hypolimnia</w:t>
      </w:r>
      <w:proofErr w:type="spellEnd"/>
      <w:r w:rsidR="009760A9">
        <w:t xml:space="preserve"> in 2009. High resolution buoy data for Crystal Bog is available through the North Temperate Lakes Long Term Ecological Research Project, and this data shows that Crystal Bog mixed multiple times in 2007, but only twice in 2009. (Check 07 and 08 dates of NS points in the </w:t>
      </w:r>
      <w:proofErr w:type="spellStart"/>
      <w:r w:rsidR="009760A9">
        <w:t>polymictic</w:t>
      </w:r>
      <w:proofErr w:type="spellEnd"/>
      <w:r w:rsidR="009760A9">
        <w:t xml:space="preserve"> cluster)</w:t>
      </w:r>
    </w:p>
    <w:p w:rsidR="009D61B5" w:rsidRDefault="007D3071" w:rsidP="000D4BB0">
      <w:pPr>
        <w:spacing w:line="480" w:lineRule="auto"/>
        <w:ind w:firstLine="720"/>
        <w:jc w:val="both"/>
      </w:pPr>
      <w:r>
        <w:t xml:space="preserve">The stark contrast between years in Crystal Bog is mirrored to a lesser extent in the other lakes in this study. Each year of sampling from the same lake is unique and distinct, particularly in </w:t>
      </w:r>
      <w:proofErr w:type="spellStart"/>
      <w:r>
        <w:t>hypolimnia</w:t>
      </w:r>
      <w:proofErr w:type="spellEnd"/>
      <w:r>
        <w:t>. While the change in Crystal Bog can be attributed to mixing frequency, the reasons for this trend in other lakes is less clear. Some possible drivers could include climatic factors, landscape level events, differences in geography, or stochastic community assembly.</w:t>
      </w:r>
    </w:p>
    <w:p w:rsidR="009D61B5" w:rsidRDefault="007D3071" w:rsidP="000D4BB0">
      <w:pPr>
        <w:spacing w:line="480" w:lineRule="auto"/>
        <w:ind w:firstLine="720"/>
        <w:jc w:val="both"/>
      </w:pPr>
      <w:r>
        <w:rPr>
          <w:noProof/>
        </w:rPr>
        <w:lastRenderedPageBreak/>
        <w:drawing>
          <wp:anchor distT="0" distB="0" distL="114300" distR="114300" simplePos="0" relativeHeight="251659264" behindDoc="1" locked="0" layoutInCell="1" allowOverlap="1" wp14:anchorId="67D949D3" wp14:editId="15F21F96">
            <wp:simplePos x="0" y="0"/>
            <wp:positionH relativeFrom="margin">
              <wp:align>center</wp:align>
            </wp:positionH>
            <wp:positionV relativeFrom="paragraph">
              <wp:posOffset>3371215</wp:posOffset>
            </wp:positionV>
            <wp:extent cx="4324350" cy="31438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3143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D2DBCB1" wp14:editId="0EACCEFC">
            <wp:simplePos x="0" y="0"/>
            <wp:positionH relativeFrom="margin">
              <wp:posOffset>723900</wp:posOffset>
            </wp:positionH>
            <wp:positionV relativeFrom="paragraph">
              <wp:posOffset>0</wp:posOffset>
            </wp:positionV>
            <wp:extent cx="4467225" cy="328168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67225" cy="3281680"/>
                    </a:xfrm>
                    <a:prstGeom prst="rect">
                      <a:avLst/>
                    </a:prstGeom>
                  </pic:spPr>
                </pic:pic>
              </a:graphicData>
            </a:graphic>
            <wp14:sizeRelH relativeFrom="margin">
              <wp14:pctWidth>0</wp14:pctWidth>
            </wp14:sizeRelH>
            <wp14:sizeRelV relativeFrom="margin">
              <wp14:pctHeight>0</wp14:pctHeight>
            </wp14:sizeRelV>
          </wp:anchor>
        </w:drawing>
      </w:r>
    </w:p>
    <w:p w:rsidR="009D61B5" w:rsidRDefault="007D3071" w:rsidP="000D4BB0">
      <w:pPr>
        <w:spacing w:line="240" w:lineRule="auto"/>
        <w:jc w:val="both"/>
      </w:pPr>
      <w:r w:rsidRPr="007D3071">
        <w:rPr>
          <w:b/>
        </w:rPr>
        <w:t xml:space="preserve">Figure 1. Principal components analysis based on weighted </w:t>
      </w:r>
      <w:proofErr w:type="spellStart"/>
      <w:r w:rsidRPr="007D3071">
        <w:rPr>
          <w:b/>
        </w:rPr>
        <w:t>UniFrac</w:t>
      </w:r>
      <w:proofErr w:type="spellEnd"/>
      <w:r w:rsidRPr="007D3071">
        <w:rPr>
          <w:b/>
        </w:rPr>
        <w:t xml:space="preserve"> distance of samples split by layer.</w:t>
      </w:r>
      <w:r>
        <w:t xml:space="preserve"> Clustering by</w:t>
      </w:r>
      <w:r w:rsidR="000D4BB0">
        <w:t xml:space="preserve"> lake,</w:t>
      </w:r>
      <w:r>
        <w:t xml:space="preserve"> mixi</w:t>
      </w:r>
      <w:r w:rsidR="000D4BB0">
        <w:t xml:space="preserve">ng regime, and year are observed are observed in both layers, although the effect is stronger in </w:t>
      </w:r>
      <w:proofErr w:type="spellStart"/>
      <w:r w:rsidR="000D4BB0">
        <w:t>hypolimnia</w:t>
      </w:r>
      <w:proofErr w:type="spellEnd"/>
      <w:r w:rsidR="000D4BB0">
        <w:t xml:space="preserve"> (r2 values from MANOVA). This suggests that environmental filtering is occurring based on parameters unique to each site.</w:t>
      </w:r>
    </w:p>
    <w:p w:rsidR="007D3071" w:rsidRDefault="007D3071" w:rsidP="000D4BB0">
      <w:pPr>
        <w:spacing w:line="480" w:lineRule="auto"/>
        <w:jc w:val="both"/>
      </w:pPr>
    </w:p>
    <w:p w:rsidR="004E63A7" w:rsidRPr="000D4BB0" w:rsidRDefault="004E63A7" w:rsidP="000D4BB0">
      <w:pPr>
        <w:spacing w:line="480" w:lineRule="auto"/>
        <w:jc w:val="both"/>
        <w:rPr>
          <w:b/>
        </w:rPr>
      </w:pPr>
      <w:r w:rsidRPr="000D4BB0">
        <w:rPr>
          <w:b/>
        </w:rPr>
        <w:lastRenderedPageBreak/>
        <w:t>Indicator taxa</w:t>
      </w:r>
    </w:p>
    <w:p w:rsidR="007D3071" w:rsidRDefault="007D3071" w:rsidP="000D4BB0">
      <w:pPr>
        <w:spacing w:line="480" w:lineRule="auto"/>
        <w:jc w:val="both"/>
      </w:pPr>
      <w:r>
        <w:tab/>
        <w:t>To further investig</w:t>
      </w:r>
      <w:r w:rsidR="007F5BF0">
        <w:t xml:space="preserve">ate potential drivers of the differences in community composition between mixing regime, we performed indicator analysis </w:t>
      </w:r>
      <w:r w:rsidR="004E63A7">
        <w:t>(Table 2)</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w:t>
      </w:r>
      <w:proofErr w:type="spellStart"/>
      <w:r w:rsidR="00C229E2">
        <w:t>polymictic</w:t>
      </w:r>
      <w:proofErr w:type="spellEnd"/>
      <w:r w:rsidR="00C229E2">
        <w:t xml:space="preserve"> </w:t>
      </w:r>
      <w:proofErr w:type="spellStart"/>
      <w:r w:rsidR="00C229E2">
        <w:t>epilimnia</w:t>
      </w:r>
      <w:proofErr w:type="spellEnd"/>
      <w:r w:rsidR="00C229E2">
        <w:t xml:space="preserve"> and </w:t>
      </w:r>
      <w:proofErr w:type="spellStart"/>
      <w:r w:rsidR="00C229E2">
        <w:t>hypolimnia</w:t>
      </w:r>
      <w:proofErr w:type="spellEnd"/>
      <w:r w:rsidR="00C229E2">
        <w:t xml:space="preserve">, which makes sense as this group is defined by high mixing frequency. </w:t>
      </w:r>
      <w:r w:rsidR="004E63A7">
        <w:t>The presence of taxa endemic to each mixing regime likely reflects the environmental filtering taking place in these ecosystems.</w:t>
      </w:r>
    </w:p>
    <w:p w:rsidR="009C3131" w:rsidRDefault="009C3131" w:rsidP="009C3131">
      <w:pPr>
        <w:spacing w:line="240" w:lineRule="auto"/>
        <w:jc w:val="both"/>
      </w:pPr>
      <w:r>
        <w:rPr>
          <w:b/>
        </w:rPr>
        <w:t xml:space="preserve">Table 2.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rsidR="009C3131" w:rsidRDefault="009C3131" w:rsidP="009C3131">
      <w:pPr>
        <w:spacing w:line="240" w:lineRule="auto"/>
        <w:jc w:val="both"/>
      </w:pPr>
    </w:p>
    <w:p w:rsidR="009C3131" w:rsidRPr="009C3131" w:rsidRDefault="009C3131" w:rsidP="009C3131">
      <w:pPr>
        <w:spacing w:line="240" w:lineRule="auto"/>
        <w:jc w:val="both"/>
      </w:pPr>
    </w:p>
    <w:tbl>
      <w:tblPr>
        <w:tblStyle w:val="TableGrid"/>
        <w:tblW w:w="0" w:type="auto"/>
        <w:tblInd w:w="-635" w:type="dxa"/>
        <w:tblCellMar>
          <w:top w:w="72" w:type="dxa"/>
          <w:left w:w="115" w:type="dxa"/>
          <w:bottom w:w="72" w:type="dxa"/>
          <w:right w:w="115" w:type="dxa"/>
        </w:tblCellMar>
        <w:tblLook w:val="04A0" w:firstRow="1" w:lastRow="0" w:firstColumn="1" w:lastColumn="0" w:noHBand="0" w:noVBand="1"/>
      </w:tblPr>
      <w:tblGrid>
        <w:gridCol w:w="8370"/>
      </w:tblGrid>
      <w:tr w:rsidR="00BE72D5" w:rsidTr="005B4D51">
        <w:trPr>
          <w:trHeight w:val="467"/>
        </w:trPr>
        <w:tc>
          <w:tcPr>
            <w:tcW w:w="8010" w:type="dxa"/>
            <w:shd w:val="clear" w:color="auto" w:fill="E7E6E6" w:themeFill="background2"/>
          </w:tcPr>
          <w:p w:rsidR="00BE72D5" w:rsidRPr="00BE72D5" w:rsidRDefault="00BE72D5" w:rsidP="005B4D51">
            <w:pPr>
              <w:jc w:val="center"/>
              <w:rPr>
                <w:rFonts w:ascii="Nirmala UI Semilight" w:hAnsi="Nirmala UI Semilight" w:cs="Nirmala UI Semilight"/>
                <w:b/>
              </w:rPr>
            </w:pPr>
            <w:proofErr w:type="spellStart"/>
            <w:r w:rsidRPr="00BE72D5">
              <w:rPr>
                <w:rFonts w:ascii="Nirmala UI Semilight" w:hAnsi="Nirmala UI Semilight" w:cs="Nirmala UI Semilight"/>
                <w:b/>
              </w:rPr>
              <w:t>Polymictic</w:t>
            </w:r>
            <w:proofErr w:type="spellEnd"/>
            <w:r w:rsidRPr="00BE72D5">
              <w:rPr>
                <w:rFonts w:ascii="Nirmala UI Semilight" w:hAnsi="Nirmala UI Semilight" w:cs="Nirmala UI Semilight"/>
                <w:b/>
              </w:rPr>
              <w:t xml:space="preserve"> </w:t>
            </w:r>
            <w:proofErr w:type="spellStart"/>
            <w:r w:rsidRPr="00BE72D5">
              <w:rPr>
                <w:rFonts w:ascii="Nirmala UI Semilight" w:hAnsi="Nirmala UI Semilight" w:cs="Nirmala UI Semilight"/>
                <w:b/>
              </w:rPr>
              <w:t>epilimnia</w:t>
            </w:r>
            <w:proofErr w:type="spellEnd"/>
          </w:p>
        </w:tc>
      </w:tr>
      <w:tr w:rsidR="00BE72D5" w:rsidTr="005B4D51">
        <w:tc>
          <w:tcPr>
            <w:tcW w:w="8010" w:type="dxa"/>
          </w:tcPr>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Actinobacteria;Actinobacteria</w:t>
            </w:r>
            <w:proofErr w:type="spellEnd"/>
            <w:r w:rsidRPr="00BE72D5">
              <w:rPr>
                <w:rFonts w:ascii="Nirmala UI Semilight" w:eastAsia="Times New Roman" w:hAnsi="Nirmala UI Semilight" w:cs="Nirmala UI Semilight"/>
                <w:sz w:val="20"/>
                <w:szCs w:val="20"/>
              </w:rPr>
              <w:t>; A</w:t>
            </w:r>
            <w:r>
              <w:rPr>
                <w:rFonts w:ascii="Nirmala UI Semilight" w:eastAsia="Times New Roman" w:hAnsi="Nirmala UI Semilight" w:cs="Nirmala UI Semilight"/>
                <w:sz w:val="20"/>
                <w:szCs w:val="20"/>
              </w:rPr>
              <w:t>ctinomycetales;acI;acI-B;acI-B3</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Verrucomicrobia;Spartobacteria</w:t>
            </w:r>
            <w:proofErr w:type="spellEnd"/>
            <w:r w:rsidRPr="00BE72D5">
              <w:rPr>
                <w:rFonts w:ascii="Nirmala UI Semilight" w:eastAsia="Times New Roman" w:hAnsi="Nirmala UI Semilight" w:cs="Nirmala UI Semilight"/>
                <w:sz w:val="20"/>
                <w:szCs w:val="20"/>
              </w:rPr>
              <w:t xml:space="preserve">; </w:t>
            </w:r>
            <w:proofErr w:type="spellStart"/>
            <w:r w:rsidRPr="00BE72D5">
              <w:rPr>
                <w:rFonts w:ascii="Nirmala UI Semilight" w:eastAsia="Times New Roman" w:hAnsi="Nirmala UI Semilight" w:cs="Nirmala UI Semilight"/>
                <w:sz w:val="20"/>
                <w:szCs w:val="20"/>
              </w:rPr>
              <w:t>Chthoniobacterales;verI-A</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Proteobacteria;Betaproteobacteria;Burkholderiales;betI;betI-A;Lhab-A4</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Proteobacteria;Betaproteobacteria;Methylophilales</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Actinobacteria;Actinobacteria;Actinomycetales;acI;acI-B;acI-B3</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Proteobacteria;Betaproteobacteria;Burkholderiales;betI;betI-A</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Verrucomicrobia;Spartobacteria</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Actinobacteria;Actinobacteria;ActinomycetalesMycobacteriaceae;Mycobacterium</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Actinobacteria;Actinobacteria;Actinomycetales;acI</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Proteobacteria;Betaproteobacteria;Burkholderiales;betII;Pnec;PnecC</w:t>
            </w:r>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t>Di</w:t>
            </w:r>
            <w:r w:rsidRPr="00BE72D5">
              <w:rPr>
                <w:rFonts w:ascii="Nirmala UI Semilight" w:hAnsi="Nirmala UI Semilight" w:cs="Nirmala UI Semilight"/>
                <w:b/>
              </w:rPr>
              <w:t xml:space="preserve">mictic </w:t>
            </w:r>
            <w:proofErr w:type="spellStart"/>
            <w:r w:rsidRPr="00BE72D5">
              <w:rPr>
                <w:rFonts w:ascii="Nirmala UI Semilight" w:hAnsi="Nirmala UI Semilight" w:cs="Nirmala UI Semilight"/>
                <w:b/>
              </w:rPr>
              <w:t>epilimnia</w:t>
            </w:r>
            <w:proofErr w:type="spellEnd"/>
          </w:p>
        </w:tc>
      </w:tr>
      <w:tr w:rsidR="00BE72D5" w:rsidTr="005B4D51">
        <w:tc>
          <w:tcPr>
            <w:tcW w:w="8010" w:type="dxa"/>
          </w:tcPr>
          <w:p w:rsidR="00BE72D5" w:rsidRPr="005B4D51" w:rsidRDefault="00BE72D5"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w:t>
            </w:r>
            <w:r w:rsidR="005B4D51" w:rsidRPr="005B4D51">
              <w:rPr>
                <w:rFonts w:ascii="Nirmala UI Semilight" w:eastAsia="Times New Roman" w:hAnsi="Nirmala UI Semilight" w:cs="Nirmala UI Semilight"/>
                <w:sz w:val="20"/>
                <w:szCs w:val="20"/>
              </w:rPr>
              <w:t>cteria;Betaproteobacteria;</w:t>
            </w:r>
            <w:r w:rsidRPr="005B4D51">
              <w:rPr>
                <w:rFonts w:ascii="Nirmala UI Semilight" w:eastAsia="Times New Roman" w:hAnsi="Nirmala UI Semilight" w:cs="Nirmala UI Semilight"/>
                <w:sz w:val="20"/>
                <w:szCs w:val="20"/>
              </w:rPr>
              <w:t>Methylophilales</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Actinobacteria;Acidimicrobiia;</w:t>
            </w:r>
            <w:r w:rsidR="00BE72D5" w:rsidRPr="005B4D51">
              <w:rPr>
                <w:rFonts w:ascii="Nirmala UI Semilight" w:eastAsia="Times New Roman" w:hAnsi="Nirmala UI Semilight" w:cs="Nirmala UI Semilight"/>
                <w:sz w:val="20"/>
                <w:szCs w:val="20"/>
              </w:rPr>
              <w:t>Acidimicrobiales;acV</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Actinobacteria;Actinobacteria;</w:t>
            </w:r>
            <w:r w:rsidR="00BE72D5" w:rsidRPr="005B4D51">
              <w:rPr>
                <w:rFonts w:ascii="Nirmala UI Semilight" w:eastAsia="Times New Roman" w:hAnsi="Nirmala UI Semilight" w:cs="Nirmala UI Semilight"/>
                <w:sz w:val="20"/>
                <w:szCs w:val="20"/>
              </w:rPr>
              <w:t>Ac</w:t>
            </w:r>
            <w:r w:rsidRPr="005B4D51">
              <w:rPr>
                <w:rFonts w:ascii="Nirmala UI Semilight" w:eastAsia="Times New Roman" w:hAnsi="Nirmala UI Semilight" w:cs="Nirmala UI Semilight"/>
                <w:sz w:val="20"/>
                <w:szCs w:val="20"/>
              </w:rPr>
              <w:t>tinomycetales;acI;acI-B;acI-B2</w:t>
            </w:r>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Bacteroidetes;Saprospirae;Saprospirales;</w:t>
            </w:r>
            <w:r w:rsidR="00BE72D5" w:rsidRPr="005B4D51">
              <w:rPr>
                <w:rFonts w:ascii="Nirmala UI Semilight" w:eastAsia="Times New Roman" w:hAnsi="Nirmala UI Semilight" w:cs="Nirmala UI Semilight"/>
                <w:sz w:val="20"/>
                <w:szCs w:val="20"/>
              </w:rPr>
              <w:t>Chitinophagaceae</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Bacteroidetes;Sphingobacteriia;</w:t>
            </w:r>
            <w:r w:rsidR="00BE72D5" w:rsidRPr="005B4D51">
              <w:rPr>
                <w:rFonts w:ascii="Nirmala UI Semilight" w:eastAsia="Times New Roman" w:hAnsi="Nirmala UI Semilight" w:cs="Nirmala UI Semilight"/>
                <w:sz w:val="20"/>
                <w:szCs w:val="20"/>
              </w:rPr>
              <w:t>Sphingo</w:t>
            </w:r>
            <w:r w:rsidRPr="005B4D51">
              <w:rPr>
                <w:rFonts w:ascii="Nirmala UI Semilight" w:eastAsia="Times New Roman" w:hAnsi="Nirmala UI Semilight" w:cs="Nirmala UI Semilight"/>
                <w:sz w:val="20"/>
                <w:szCs w:val="20"/>
              </w:rPr>
              <w:t>bacteriales;bacVI;bacVI-A;Muci</w:t>
            </w:r>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w:t>
            </w:r>
            <w:r w:rsidR="00BE72D5" w:rsidRPr="005B4D51">
              <w:rPr>
                <w:rFonts w:ascii="Nirmala UI Semilight" w:eastAsia="Times New Roman" w:hAnsi="Nirmala UI Semilight" w:cs="Nirmala UI Semilight"/>
                <w:sz w:val="20"/>
                <w:szCs w:val="20"/>
              </w:rPr>
              <w:t>Bur</w:t>
            </w:r>
            <w:r w:rsidRPr="005B4D51">
              <w:rPr>
                <w:rFonts w:ascii="Nirmala UI Semilight" w:eastAsia="Times New Roman" w:hAnsi="Nirmala UI Semilight" w:cs="Nirmala UI Semilight"/>
                <w:sz w:val="20"/>
                <w:szCs w:val="20"/>
              </w:rPr>
              <w:t>kholderiales;betI;betI-B;Rhodo</w:t>
            </w:r>
          </w:p>
          <w:p w:rsidR="00BE72D5" w:rsidRPr="005B4D51" w:rsidRDefault="00BE72D5"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Acidobacteria</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lastRenderedPageBreak/>
              <w:t>Proteobacteria;Alphaproteobacteria;Rickettsiales;</w:t>
            </w:r>
            <w:r w:rsidR="00BE72D5" w:rsidRPr="005B4D51">
              <w:rPr>
                <w:rFonts w:ascii="Nirmala UI Semilight" w:eastAsia="Times New Roman" w:hAnsi="Nirmala UI Semilight" w:cs="Nirmala UI Semilight"/>
                <w:sz w:val="20"/>
                <w:szCs w:val="20"/>
              </w:rPr>
              <w:t>Rickettsiaceae</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Chlorobi;</w:t>
            </w:r>
            <w:r w:rsidR="00BE72D5" w:rsidRPr="005B4D51">
              <w:rPr>
                <w:rFonts w:ascii="Nirmala UI Semilight" w:eastAsia="Times New Roman" w:hAnsi="Nirmala UI Semilight" w:cs="Nirmala UI Semilight"/>
                <w:sz w:val="20"/>
                <w:szCs w:val="20"/>
              </w:rPr>
              <w:t>Chlorobia</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Proteobacteria;Alphaproteobacteria;Rickettsiales;</w:t>
            </w:r>
            <w:r w:rsidR="00BE72D5" w:rsidRPr="005B4D51">
              <w:rPr>
                <w:rFonts w:ascii="Nirmala UI Semilight" w:eastAsia="Times New Roman" w:hAnsi="Nirmala UI Semilight" w:cs="Nirmala UI Semilight"/>
                <w:sz w:val="20"/>
                <w:szCs w:val="20"/>
              </w:rPr>
              <w:t>Rickettsiaceae</w:t>
            </w:r>
            <w:proofErr w:type="spellEnd"/>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lastRenderedPageBreak/>
              <w:t>Mero</w:t>
            </w:r>
            <w:r w:rsidRPr="00BE72D5">
              <w:rPr>
                <w:rFonts w:ascii="Nirmala UI Semilight" w:hAnsi="Nirmala UI Semilight" w:cs="Nirmala UI Semilight"/>
                <w:b/>
              </w:rPr>
              <w:t xml:space="preserve">mictic </w:t>
            </w:r>
            <w:proofErr w:type="spellStart"/>
            <w:r w:rsidRPr="00BE72D5">
              <w:rPr>
                <w:rFonts w:ascii="Nirmala UI Semilight" w:hAnsi="Nirmala UI Semilight" w:cs="Nirmala UI Semilight"/>
                <w:b/>
              </w:rPr>
              <w:t>epilimnia</w:t>
            </w:r>
            <w:proofErr w:type="spellEnd"/>
          </w:p>
        </w:tc>
      </w:tr>
      <w:tr w:rsidR="00BE72D5" w:rsidTr="005B4D51">
        <w:tc>
          <w:tcPr>
            <w:tcW w:w="8010" w:type="dxa"/>
          </w:tcPr>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Planctomycetes</w:t>
            </w:r>
            <w:proofErr w:type="spellEnd"/>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Actinobacteria;Actinobacteria;Actinomycetales;acTH2</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Proteobacteria;Betaproteobacteria;Burkholderiales;betI;betI-A;Lhab-A11</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Actinobacteria;Actinobacteria;Actinomycetales;acI;acI-A;acI-A6</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Proteobacteria;Alphaproteobacteria;Rhizobiales;alfI;alfI-B;alfI-B21</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Proteobacteria;Betaproteobacteria;Burkholderiales;betIII;betIII-A;betIII-A1</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Actinobacteria;Actinobacteria;Actinomycetales;acI;acI-A</w:t>
            </w:r>
            <w:proofErr w:type="spellEnd"/>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Proteobacteria;Gammaproteobacteria;Xanthomonadales;Sinobacteraceae</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Proteobacteria;Alphaproteobacteria;Rickettsiales</w:t>
            </w:r>
            <w:proofErr w:type="spellEnd"/>
          </w:p>
          <w:p w:rsidR="00BE72D5"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Proteobacteria;Betaproteobacteria;Burkholderiales;betI;betI-A;Lhab-A1</w:t>
            </w:r>
          </w:p>
        </w:tc>
      </w:tr>
      <w:tr w:rsidR="00BE72D5" w:rsidTr="005B4D51">
        <w:tc>
          <w:tcPr>
            <w:tcW w:w="8010" w:type="dxa"/>
            <w:shd w:val="clear" w:color="auto" w:fill="E7E6E6" w:themeFill="background2"/>
          </w:tcPr>
          <w:p w:rsidR="00BE72D5" w:rsidRDefault="00BE72D5" w:rsidP="005B4D51">
            <w:pPr>
              <w:jc w:val="center"/>
            </w:pPr>
            <w:proofErr w:type="spellStart"/>
            <w:r w:rsidRPr="00BE72D5">
              <w:rPr>
                <w:rFonts w:ascii="Nirmala UI Semilight" w:hAnsi="Nirmala UI Semilight" w:cs="Nirmala UI Semilight"/>
                <w:b/>
              </w:rPr>
              <w:t>Polymictic</w:t>
            </w:r>
            <w:proofErr w:type="spellEnd"/>
            <w:r w:rsidRPr="00BE72D5">
              <w:rPr>
                <w:rFonts w:ascii="Nirmala UI Semilight" w:hAnsi="Nirmala UI Semilight" w:cs="Nirmala UI Semilight"/>
                <w:b/>
              </w:rPr>
              <w:t xml:space="preserve"> </w:t>
            </w:r>
            <w:proofErr w:type="spellStart"/>
            <w:r>
              <w:rPr>
                <w:rFonts w:ascii="Nirmala UI Semilight" w:hAnsi="Nirmala UI Semilight" w:cs="Nirmala UI Semilight"/>
                <w:b/>
              </w:rPr>
              <w:t>hypolimnia</w:t>
            </w:r>
            <w:proofErr w:type="spellEnd"/>
          </w:p>
        </w:tc>
      </w:tr>
      <w:tr w:rsidR="00BE72D5" w:rsidTr="005B4D51">
        <w:tc>
          <w:tcPr>
            <w:tcW w:w="8010" w:type="dxa"/>
          </w:tcPr>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Actinobacteria;Actinobacteria;Actinomycetales</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w:t>
            </w:r>
            <w:proofErr w:type="spellEnd"/>
            <w:r w:rsidRPr="005B4D51">
              <w:rPr>
                <w:rFonts w:ascii="Nirmala UI Semilight" w:eastAsia="Times New Roman" w:hAnsi="Nirmala UI Semilight" w:cs="Nirmala UI Semilight"/>
                <w:sz w:val="20"/>
                <w:szCs w:val="20"/>
              </w:rPr>
              <w:t>;_</w:t>
            </w:r>
            <w:proofErr w:type="spellStart"/>
            <w:r w:rsidRPr="005B4D51">
              <w:rPr>
                <w:rFonts w:ascii="Nirmala UI Semilight" w:eastAsia="Times New Roman" w:hAnsi="Nirmala UI Semilight" w:cs="Nirmala UI Semilight"/>
                <w:sz w:val="20"/>
                <w:szCs w:val="20"/>
              </w:rPr>
              <w:t>Betaproteobacteria;Burkholderiales;betI;betI-A</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Verrucomicrobia;Spartobacteria;Chthoniobacterales;verI-A</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Bacteroidetes;Saprospirae</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Proteobacteria;Alphaproteobacteria;Rhizobiales</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Proteobacteria;Betaproteobacteria;Burkholderiales;betII;Pnec;PnecC</w:t>
            </w:r>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Actinobacteria;Acidimicrobiia;Acidimicrobiales</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Actinobacteria;Acidimicrobiia;Acidimicrobiales</w:t>
            </w:r>
            <w:proofErr w:type="spellEnd"/>
          </w:p>
          <w:p w:rsidR="00BE72D5"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w:t>
            </w:r>
            <w:proofErr w:type="spellEnd"/>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t>Di</w:t>
            </w:r>
            <w:r w:rsidRPr="00BE72D5">
              <w:rPr>
                <w:rFonts w:ascii="Nirmala UI Semilight" w:hAnsi="Nirmala UI Semilight" w:cs="Nirmala UI Semilight"/>
                <w:b/>
              </w:rPr>
              <w:t xml:space="preserve">mictic </w:t>
            </w:r>
            <w:proofErr w:type="spellStart"/>
            <w:r>
              <w:rPr>
                <w:rFonts w:ascii="Nirmala UI Semilight" w:hAnsi="Nirmala UI Semilight" w:cs="Nirmala UI Semilight"/>
                <w:b/>
              </w:rPr>
              <w:t>hypolimnia</w:t>
            </w:r>
            <w:proofErr w:type="spellEnd"/>
          </w:p>
        </w:tc>
      </w:tr>
      <w:tr w:rsidR="00BE72D5" w:rsidTr="005B4D51">
        <w:tc>
          <w:tcPr>
            <w:tcW w:w="8010" w:type="dxa"/>
          </w:tcPr>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Acidobacteria;Holophagae;Holophagales;Holophagaceae</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Acidobacteria</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Proteobacteria;Betaproteobacteria;Burkholderiales;betII;Pnec;PnecC</w:t>
            </w:r>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Proteobacteria;Betaproteobacteria;Methylophilales</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Verrucomicrobia;Pedosphaerae;Pedosphaerales;Ellin515</w:t>
            </w:r>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Proteobacteria;Betaproteobacteria</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Proteobacteria;Deltaproteobacteria;Desulfobacterales;Desulfobulbaceae;Desulfobulbus</w:t>
            </w:r>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Proteobacteria;Betaproteobacteria;Burkholderiales;betI;betI-B;Rhodo</w:t>
            </w:r>
          </w:p>
          <w:p w:rsid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Proteobacteria;Betaproteobacteria;Methylophilales;Methylophilaceae</w:t>
            </w:r>
          </w:p>
          <w:p w:rsidR="00BE72D5"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Proteobacteria;Deltaproteobacteria;Desulfobacterales;Desulfobulbaceae</w:t>
            </w:r>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t>Mero</w:t>
            </w:r>
            <w:r w:rsidRPr="00BE72D5">
              <w:rPr>
                <w:rFonts w:ascii="Nirmala UI Semilight" w:hAnsi="Nirmala UI Semilight" w:cs="Nirmala UI Semilight"/>
                <w:b/>
              </w:rPr>
              <w:t xml:space="preserve">mictic </w:t>
            </w:r>
            <w:proofErr w:type="spellStart"/>
            <w:r>
              <w:rPr>
                <w:rFonts w:ascii="Nirmala UI Semilight" w:hAnsi="Nirmala UI Semilight" w:cs="Nirmala UI Semilight"/>
                <w:b/>
              </w:rPr>
              <w:t>hypolimnia</w:t>
            </w:r>
            <w:proofErr w:type="spellEnd"/>
          </w:p>
        </w:tc>
      </w:tr>
      <w:tr w:rsidR="00BE72D5" w:rsidTr="005B4D51">
        <w:tc>
          <w:tcPr>
            <w:tcW w:w="8010" w:type="dxa"/>
          </w:tcPr>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Proteobacteria;Deltaproteobacteria;Syntrophobacterales</w:t>
            </w:r>
            <w:proofErr w:type="spellEnd"/>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Proteobacteria;Deltaproteobacteria;Syntrophobacterales;Syntrophaceae</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OP3;BD4-9</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OP3</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Verrucomicrobia;Verruco-5;WCHB1-41</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lastRenderedPageBreak/>
              <w:t>Proteobacteria;Deltaproteobacteria;Desulfobacterales;Desulfobacteraceae</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Planctomycetes</w:t>
            </w:r>
            <w:proofErr w:type="spellEnd"/>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Archaea;Parvarchaeota</w:t>
            </w:r>
            <w:proofErr w:type="spellEnd"/>
          </w:p>
          <w:p w:rsid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Verrucomicrobia;Verruco-5</w:t>
            </w:r>
          </w:p>
          <w:p w:rsidR="00BE72D5"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OP8;OP8_1</w:t>
            </w:r>
          </w:p>
        </w:tc>
      </w:tr>
    </w:tbl>
    <w:p w:rsidR="00AC68E3" w:rsidRDefault="00AC68E3" w:rsidP="000D4BB0">
      <w:pPr>
        <w:spacing w:line="480" w:lineRule="auto"/>
        <w:jc w:val="both"/>
      </w:pPr>
    </w:p>
    <w:p w:rsidR="004E63A7" w:rsidRPr="000D4BB0" w:rsidRDefault="004E63A7" w:rsidP="000D4BB0">
      <w:pPr>
        <w:spacing w:line="480" w:lineRule="auto"/>
        <w:jc w:val="both"/>
        <w:rPr>
          <w:b/>
        </w:rPr>
      </w:pPr>
      <w:r w:rsidRPr="000D4BB0">
        <w:rPr>
          <w:b/>
        </w:rPr>
        <w:t>Seasonal trends</w:t>
      </w:r>
    </w:p>
    <w:p w:rsidR="00AA6F0D" w:rsidRDefault="004E63A7" w:rsidP="00AA6F0D">
      <w:pPr>
        <w:spacing w:line="480" w:lineRule="auto"/>
        <w:jc w:val="both"/>
      </w:pPr>
      <w:r>
        <w:tab/>
        <w:t xml:space="preserve">Despite distinct community compositions each year, there are high level seasonal trends. </w:t>
      </w:r>
      <w:r w:rsidR="003B2440">
        <w:t>Both biodiversity and evenness increase over time while stratification is in place</w:t>
      </w:r>
      <w:r w:rsidR="00AA6F0D">
        <w:t xml:space="preserve"> (supplemental)</w:t>
      </w:r>
      <w:r w:rsidR="003B2440">
        <w:t>. Sharp decreases in both of these community properties are observed during the well-sampled Trout Bog 2007 fall mixing event and the North Sparkling Bog artificial mixing event. At the phylum level, t</w:t>
      </w:r>
      <w:r>
        <w:t xml:space="preserve">he abundance of </w:t>
      </w:r>
      <w:proofErr w:type="spellStart"/>
      <w:r>
        <w:rPr>
          <w:i/>
        </w:rPr>
        <w:t>Proteobacteria</w:t>
      </w:r>
      <w:proofErr w:type="spellEnd"/>
      <w:r>
        <w:rPr>
          <w:i/>
        </w:rPr>
        <w:t xml:space="preserve"> </w:t>
      </w:r>
      <w:r>
        <w:t>is particularly high in the few winter samples in this data</w:t>
      </w:r>
      <w:r w:rsidR="003B2440">
        <w:t xml:space="preserve">set and during mixing events. After spring stratification, the abundance of </w:t>
      </w:r>
      <w:proofErr w:type="spellStart"/>
      <w:r w:rsidR="003B2440">
        <w:rPr>
          <w:i/>
        </w:rPr>
        <w:t>Proteobacteria</w:t>
      </w:r>
      <w:proofErr w:type="spellEnd"/>
      <w:r w:rsidR="003B2440">
        <w:rPr>
          <w:i/>
        </w:rPr>
        <w:t xml:space="preserve"> </w:t>
      </w:r>
      <w:r w:rsidR="003B2440">
        <w:t xml:space="preserve">decreases as the abundances of other phyla increase. Because this is relative abundance data, this trend may reflect the observed increase in biodiversity over time, and the survivability of dominant </w:t>
      </w:r>
      <w:proofErr w:type="spellStart"/>
      <w:r w:rsidR="003B2440">
        <w:t>Proteobacterial</w:t>
      </w:r>
      <w:proofErr w:type="spellEnd"/>
      <w:r w:rsidR="003B2440">
        <w:t xml:space="preserve"> groups </w:t>
      </w:r>
      <w:proofErr w:type="spellStart"/>
      <w:r w:rsidR="003B2440">
        <w:rPr>
          <w:i/>
        </w:rPr>
        <w:t>Polynucleobacter</w:t>
      </w:r>
      <w:proofErr w:type="spellEnd"/>
      <w:r w:rsidR="003B2440">
        <w:rPr>
          <w:i/>
        </w:rPr>
        <w:t xml:space="preserve"> </w:t>
      </w:r>
      <w:r w:rsidR="003B2440">
        <w:t xml:space="preserve">and </w:t>
      </w:r>
      <w:proofErr w:type="spellStart"/>
      <w:r w:rsidR="003B2440">
        <w:rPr>
          <w:i/>
        </w:rPr>
        <w:t>Limnohabitans</w:t>
      </w:r>
      <w:proofErr w:type="spellEnd"/>
      <w:r w:rsidR="003B2440">
        <w:rPr>
          <w:i/>
        </w:rPr>
        <w:t xml:space="preserve"> </w:t>
      </w:r>
      <w:r w:rsidR="003B2440">
        <w:t>during the ice-on period of the year.</w:t>
      </w:r>
    </w:p>
    <w:p w:rsidR="003B2440" w:rsidRDefault="00AA6F0D" w:rsidP="00AA6F0D">
      <w:pPr>
        <w:spacing w:line="240" w:lineRule="auto"/>
        <w:jc w:val="both"/>
      </w:pPr>
      <w:r>
        <w:rPr>
          <w:noProof/>
        </w:rPr>
        <w:lastRenderedPageBreak/>
        <w:drawing>
          <wp:anchor distT="0" distB="0" distL="114300" distR="114300" simplePos="0" relativeHeight="251660288" behindDoc="0" locked="0" layoutInCell="1" allowOverlap="1" wp14:anchorId="5FD86537" wp14:editId="0BAFD8A2">
            <wp:simplePos x="0" y="0"/>
            <wp:positionH relativeFrom="margin">
              <wp:posOffset>152400</wp:posOffset>
            </wp:positionH>
            <wp:positionV relativeFrom="paragraph">
              <wp:posOffset>3378200</wp:posOffset>
            </wp:positionV>
            <wp:extent cx="4457700" cy="32696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57700" cy="3269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41676AC" wp14:editId="1CD38AB0">
            <wp:simplePos x="0" y="0"/>
            <wp:positionH relativeFrom="margin">
              <wp:posOffset>180975</wp:posOffset>
            </wp:positionH>
            <wp:positionV relativeFrom="paragraph">
              <wp:posOffset>0</wp:posOffset>
            </wp:positionV>
            <wp:extent cx="4614545" cy="33051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4545" cy="3305175"/>
                    </a:xfrm>
                    <a:prstGeom prst="rect">
                      <a:avLst/>
                    </a:prstGeom>
                  </pic:spPr>
                </pic:pic>
              </a:graphicData>
            </a:graphic>
            <wp14:sizeRelH relativeFrom="margin">
              <wp14:pctWidth>0</wp14:pctWidth>
            </wp14:sizeRelH>
            <wp14:sizeRelV relativeFrom="margin">
              <wp14:pctHeight>0</wp14:pctHeight>
            </wp14:sizeRelV>
          </wp:anchor>
        </w:drawing>
      </w:r>
      <w:r w:rsidR="003B2440" w:rsidRPr="000D4BB0">
        <w:rPr>
          <w:b/>
        </w:rPr>
        <w:t>Figure 2. Phylum-level seasonal trends.</w:t>
      </w:r>
      <w:r w:rsidR="003B2440">
        <w:t xml:space="preserve"> </w:t>
      </w:r>
      <w:r w:rsidR="000D4BB0">
        <w:t xml:space="preserve">The proportion of </w:t>
      </w:r>
      <w:proofErr w:type="spellStart"/>
      <w:r w:rsidR="000D4BB0">
        <w:t>Proteobacteria</w:t>
      </w:r>
      <w:proofErr w:type="spellEnd"/>
      <w:r w:rsidR="000D4BB0">
        <w:t xml:space="preserve"> is highest in winter, early spring, and fall, but decreases during the stratified summer months. Most other phyla show the opposite trend. Because this is based on relative abundance data, this trend likely reflects the observed increase in biodiversity with time, and adds that members of </w:t>
      </w:r>
      <w:proofErr w:type="spellStart"/>
      <w:r w:rsidR="000D4BB0">
        <w:t>Proteobacteria</w:t>
      </w:r>
      <w:proofErr w:type="spellEnd"/>
      <w:r w:rsidR="000D4BB0">
        <w:t xml:space="preserve"> are even more dominant when bog lakes are not stratified.</w:t>
      </w:r>
    </w:p>
    <w:p w:rsidR="003B2440" w:rsidRDefault="003B2440" w:rsidP="000D4BB0">
      <w:pPr>
        <w:spacing w:line="480" w:lineRule="auto"/>
        <w:jc w:val="both"/>
      </w:pPr>
    </w:p>
    <w:p w:rsidR="003B2440" w:rsidRPr="003B2440" w:rsidRDefault="009C3131" w:rsidP="000D4BB0">
      <w:pPr>
        <w:spacing w:line="480" w:lineRule="auto"/>
        <w:ind w:firstLine="720"/>
        <w:jc w:val="both"/>
      </w:pPr>
      <w:r>
        <w:rPr>
          <w:noProof/>
        </w:rPr>
        <w:lastRenderedPageBreak/>
        <w:drawing>
          <wp:anchor distT="0" distB="0" distL="114300" distR="114300" simplePos="0" relativeHeight="251662336" behindDoc="0" locked="0" layoutInCell="1" allowOverlap="1" wp14:anchorId="3E49DB39" wp14:editId="326BFBA4">
            <wp:simplePos x="0" y="0"/>
            <wp:positionH relativeFrom="margin">
              <wp:align>center</wp:align>
            </wp:positionH>
            <wp:positionV relativeFrom="paragraph">
              <wp:posOffset>4730750</wp:posOffset>
            </wp:positionV>
            <wp:extent cx="4563110" cy="3276600"/>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110" cy="3276600"/>
                    </a:xfrm>
                    <a:prstGeom prst="rect">
                      <a:avLst/>
                    </a:prstGeom>
                  </pic:spPr>
                </pic:pic>
              </a:graphicData>
            </a:graphic>
          </wp:anchor>
        </w:drawing>
      </w:r>
      <w:r w:rsidR="003B2440">
        <w:t>However, seasonal trends break</w:t>
      </w:r>
      <w:r w:rsidR="00AA6F0D">
        <w:t xml:space="preserve"> </w:t>
      </w:r>
      <w:r w:rsidR="003B2440">
        <w:t xml:space="preserve">down at lower taxonomic levels. </w:t>
      </w:r>
      <w:r w:rsidR="00AE2E3F">
        <w:t xml:space="preserve">In other aquatic ecosystems, </w:t>
      </w:r>
      <w:r w:rsidR="00AA6F0D">
        <w:t>OTUs show repeatable trends in abundance each year</w:t>
      </w:r>
      <w:r w:rsidR="00AE2E3F">
        <w:t>, resulting in high s</w:t>
      </w:r>
      <w:r w:rsidR="00AA6F0D">
        <w:t>imilarity between samples collect during the same season but different years</w:t>
      </w:r>
      <w:r w:rsidR="00AE2E3F">
        <w:t xml:space="preserve">. This is frequently depicted by plotting a beta diversity metric such as </w:t>
      </w:r>
      <w:proofErr w:type="spellStart"/>
      <w:r w:rsidR="00AE2E3F">
        <w:t>UniFrac</w:t>
      </w:r>
      <w:proofErr w:type="spellEnd"/>
      <w:r w:rsidR="00AE2E3F">
        <w:t xml:space="preserve"> distance between samples versus the time between </w:t>
      </w:r>
      <w:r w:rsidR="00AA6F0D">
        <w:t xml:space="preserve">sample </w:t>
      </w:r>
      <w:proofErr w:type="gramStart"/>
      <w:r w:rsidR="00AA6F0D">
        <w:t>collection</w:t>
      </w:r>
      <w:proofErr w:type="gramEnd"/>
      <w:r w:rsidR="00AA6F0D">
        <w:t xml:space="preserve">. This generally produces </w:t>
      </w:r>
      <w:r w:rsidR="00AE2E3F">
        <w:t>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rsidR="00AE2E3F" w:rsidRDefault="00AE2E3F" w:rsidP="000D4BB0">
      <w:pPr>
        <w:spacing w:line="480" w:lineRule="auto"/>
        <w:jc w:val="both"/>
      </w:pPr>
    </w:p>
    <w:p w:rsidR="00AE2E3F" w:rsidRDefault="00AE2E3F" w:rsidP="000D4BB0">
      <w:pPr>
        <w:spacing w:line="480" w:lineRule="auto"/>
        <w:jc w:val="both"/>
      </w:pPr>
      <w:r>
        <w:rPr>
          <w:noProof/>
        </w:rPr>
        <w:lastRenderedPageBreak/>
        <w:drawing>
          <wp:anchor distT="0" distB="0" distL="114300" distR="114300" simplePos="0" relativeHeight="251664384" behindDoc="0" locked="0" layoutInCell="1" allowOverlap="1" wp14:anchorId="55C8C960" wp14:editId="12E2441D">
            <wp:simplePos x="0" y="0"/>
            <wp:positionH relativeFrom="margin">
              <wp:posOffset>514350</wp:posOffset>
            </wp:positionH>
            <wp:positionV relativeFrom="paragraph">
              <wp:posOffset>3457575</wp:posOffset>
            </wp:positionV>
            <wp:extent cx="4505325" cy="315023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3150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54EB47C" wp14:editId="376EADDF">
            <wp:simplePos x="0" y="0"/>
            <wp:positionH relativeFrom="margin">
              <wp:posOffset>457200</wp:posOffset>
            </wp:positionH>
            <wp:positionV relativeFrom="paragraph">
              <wp:posOffset>0</wp:posOffset>
            </wp:positionV>
            <wp:extent cx="4591050" cy="32296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91050" cy="3229610"/>
                    </a:xfrm>
                    <a:prstGeom prst="rect">
                      <a:avLst/>
                    </a:prstGeom>
                  </pic:spPr>
                </pic:pic>
              </a:graphicData>
            </a:graphic>
          </wp:anchor>
        </w:drawing>
      </w:r>
    </w:p>
    <w:p w:rsidR="00AE2E3F" w:rsidRDefault="00AE2E3F" w:rsidP="000D4BB0">
      <w:pPr>
        <w:spacing w:line="480" w:lineRule="auto"/>
        <w:jc w:val="both"/>
      </w:pPr>
    </w:p>
    <w:p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Despite strong seasonal climatic factors in the studied systems, repeatable seasonal trends were not observed in community composition at the phylum level. The only increased similarity on annual scales was observed in Trout Bog, where high numbers of fall, winter, and spring samples contribute to this trend.</w:t>
      </w:r>
    </w:p>
    <w:p w:rsidR="00AE2E3F" w:rsidRDefault="00AE2E3F" w:rsidP="000D4BB0">
      <w:pPr>
        <w:spacing w:line="480" w:lineRule="auto"/>
        <w:jc w:val="both"/>
      </w:pPr>
    </w:p>
    <w:p w:rsidR="00F72F3F" w:rsidRPr="000D4BB0" w:rsidRDefault="00F72F3F" w:rsidP="000D4BB0">
      <w:pPr>
        <w:spacing w:line="480" w:lineRule="auto"/>
        <w:jc w:val="both"/>
        <w:rPr>
          <w:b/>
        </w:rPr>
      </w:pPr>
      <w:r w:rsidRPr="000D4BB0">
        <w:rPr>
          <w:b/>
        </w:rPr>
        <w:lastRenderedPageBreak/>
        <w:t>Trends in specific OTUs do not repeat annually</w:t>
      </w:r>
    </w:p>
    <w:p w:rsidR="00F72F3F" w:rsidRDefault="00FA453C" w:rsidP="000D4BB0">
      <w:pPr>
        <w:spacing w:line="480" w:lineRule="auto"/>
        <w:jc w:val="both"/>
      </w:pPr>
      <w:r>
        <w:rPr>
          <w:noProof/>
        </w:rPr>
        <w:drawing>
          <wp:anchor distT="0" distB="0" distL="114300" distR="114300" simplePos="0" relativeHeight="251665408" behindDoc="0" locked="0" layoutInCell="1" allowOverlap="1" wp14:anchorId="77DFE213" wp14:editId="62F0F593">
            <wp:simplePos x="0" y="0"/>
            <wp:positionH relativeFrom="margin">
              <wp:align>center</wp:align>
            </wp:positionH>
            <wp:positionV relativeFrom="paragraph">
              <wp:posOffset>3867150</wp:posOffset>
            </wp:positionV>
            <wp:extent cx="4820920" cy="3524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0920" cy="3524250"/>
                    </a:xfrm>
                    <a:prstGeom prst="rect">
                      <a:avLst/>
                    </a:prstGeom>
                  </pic:spPr>
                </pic:pic>
              </a:graphicData>
            </a:graphic>
            <wp14:sizeRelH relativeFrom="margin">
              <wp14:pctWidth>0</wp14:pctWidth>
            </wp14:sizeRelH>
            <wp14:sizeRelV relativeFrom="margin">
              <wp14:pctHeight>0</wp14:pctHeight>
            </wp14:sizeRelV>
          </wp:anchor>
        </w:drawing>
      </w:r>
      <w:r w:rsidR="00F72F3F">
        <w:tab/>
        <w:t xml:space="preserve">As suggested by the lack of similarity in community composition between samples taken one year apart, trends in OTU abundance over time do not repeat annually. They do not peak in abundance at consistent times of year or show the same relationship to time each year. OTUs would likely show </w:t>
      </w:r>
      <w:r>
        <w:t>a consistent</w:t>
      </w:r>
      <w:r w:rsidR="00F72F3F">
        <w:t xml:space="preserve"> response to mixing events because this is such a large disturbance; however, this dataset does not capture a sufficient number of mixing events to demonstrate this. To further complicate OTU abundances, closely related OTUs have different interaction</w:t>
      </w:r>
      <w:r>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rsidR="00FA453C" w:rsidRDefault="00FA453C" w:rsidP="000D4BB0">
      <w:pPr>
        <w:spacing w:line="480" w:lineRule="auto"/>
        <w:jc w:val="both"/>
      </w:pPr>
    </w:p>
    <w:p w:rsidR="00FA453C" w:rsidRPr="006456E8" w:rsidRDefault="006456E8" w:rsidP="006456E8">
      <w:pPr>
        <w:spacing w:line="240" w:lineRule="auto"/>
        <w:jc w:val="both"/>
      </w:pPr>
      <w:r w:rsidRPr="006456E8">
        <w:rPr>
          <w:b/>
          <w:noProof/>
        </w:rPr>
        <w:lastRenderedPageBreak/>
        <w:drawing>
          <wp:anchor distT="0" distB="0" distL="114300" distR="114300" simplePos="0" relativeHeight="251666432" behindDoc="0" locked="0" layoutInCell="1" allowOverlap="1" wp14:anchorId="4DD9538C" wp14:editId="25670883">
            <wp:simplePos x="0" y="0"/>
            <wp:positionH relativeFrom="margin">
              <wp:posOffset>409575</wp:posOffset>
            </wp:positionH>
            <wp:positionV relativeFrom="paragraph">
              <wp:posOffset>0</wp:posOffset>
            </wp:positionV>
            <wp:extent cx="4848225" cy="35433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8225" cy="3543300"/>
                    </a:xfrm>
                    <a:prstGeom prst="rect">
                      <a:avLst/>
                    </a:prstGeom>
                  </pic:spPr>
                </pic:pic>
              </a:graphicData>
            </a:graphic>
            <wp14:sizeRelH relativeFrom="margin">
              <wp14:pctWidth>0</wp14:pctWidth>
            </wp14:sizeRelH>
            <wp14:sizeRelV relativeFrom="margin">
              <wp14:pctHeight>0</wp14:pctHeight>
            </wp14:sizeRelV>
          </wp:anchor>
        </w:drawing>
      </w:r>
      <w:r w:rsidR="00FA453C" w:rsidRPr="006456E8">
        <w:rPr>
          <w:b/>
        </w:rPr>
        <w:t xml:space="preserve">Figure 4. Examples of different trends in abundance with closely related OTUs. </w:t>
      </w:r>
      <w:r>
        <w:t xml:space="preserve">Panel 1 shows clades of </w:t>
      </w:r>
      <w:proofErr w:type="spellStart"/>
      <w:r>
        <w:t>Methylophilales</w:t>
      </w:r>
      <w:proofErr w:type="spellEnd"/>
      <w:r>
        <w:t xml:space="preserve"> in the Trout Bog </w:t>
      </w:r>
      <w:proofErr w:type="spellStart"/>
      <w:r>
        <w:t>Hypolimnion</w:t>
      </w:r>
      <w:proofErr w:type="spellEnd"/>
      <w:r>
        <w:t xml:space="preserve">. While 2005 and 2007 both show low abundance until a sharp increase in November,  2008 and 2009 show more linear abundance patterns, with a different clade dominant in each year. In Panel 2, two OTUs classified in the </w:t>
      </w:r>
      <w:proofErr w:type="spellStart"/>
      <w:r>
        <w:t>Rhodo</w:t>
      </w:r>
      <w:proofErr w:type="spellEnd"/>
      <w:r>
        <w:t xml:space="preserve"> clade are shown. The OTUs are positively correlated in 2007, negatively correlated in 2005, and have no strong correlation in either direction in 2008 and 2009. Examples of more clades and lakes can be found in the supplemental document.</w:t>
      </w:r>
    </w:p>
    <w:p w:rsidR="00F72F3F" w:rsidRDefault="00F72F3F" w:rsidP="000D4BB0">
      <w:pPr>
        <w:spacing w:line="480" w:lineRule="auto"/>
        <w:jc w:val="both"/>
      </w:pPr>
    </w:p>
    <w:p w:rsidR="00FA453C" w:rsidRPr="000D4BB0" w:rsidRDefault="00FA453C" w:rsidP="000D4BB0">
      <w:pPr>
        <w:spacing w:line="480" w:lineRule="auto"/>
        <w:jc w:val="both"/>
        <w:rPr>
          <w:b/>
        </w:rPr>
      </w:pPr>
      <w:r w:rsidRPr="000D4BB0">
        <w:rPr>
          <w:b/>
        </w:rPr>
        <w:t>Consistent traits of OTUs</w:t>
      </w:r>
    </w:p>
    <w:p w:rsidR="00B302D0" w:rsidRDefault="00B302D0" w:rsidP="000D4BB0">
      <w:pPr>
        <w:spacing w:line="480" w:lineRule="auto"/>
        <w:jc w:val="both"/>
      </w:pPr>
      <w:r>
        <w:tab/>
        <w:t xml:space="preserve">Even though OTUs do not show the same trends each year, they do have traits that are consistent between years and lakes. We quantified mean abundance when present, persistence, and the coefficient of variance for clades classified using the freshwater taxonomy. Using only these well-defined freshwater groups allowed better taxonomic resolution. This analysis showed that low persistence is associated with high variability, and that low variability is associated with high abundance.  </w:t>
      </w:r>
      <w:r w:rsidR="00082B1F">
        <w:t xml:space="preserve">We rarely observe “bloomers,” situations where a clade has both high abundance and low persistence. Most freshwater clades are highly persistent at low abundances with low </w:t>
      </w:r>
      <w:r w:rsidR="00082B1F">
        <w:lastRenderedPageBreak/>
        <w:t xml:space="preserve">variability. Clade </w:t>
      </w:r>
      <w:proofErr w:type="spellStart"/>
      <w:r w:rsidR="00082B1F">
        <w:t>gamIII</w:t>
      </w:r>
      <w:proofErr w:type="spellEnd"/>
      <w:r w:rsidR="00082B1F">
        <w:t xml:space="preserve"> of the </w:t>
      </w:r>
      <w:proofErr w:type="spellStart"/>
      <w:r w:rsidR="00082B1F">
        <w:t>Gammaproteobacteria</w:t>
      </w:r>
      <w:proofErr w:type="spellEnd"/>
      <w:r w:rsidR="00082B1F">
        <w:t xml:space="preserve"> is an exception, with low persistence, low abundance, and high variability. Clades </w:t>
      </w:r>
      <w:proofErr w:type="spellStart"/>
      <w:r w:rsidR="00082B1F">
        <w:t>gamI</w:t>
      </w:r>
      <w:proofErr w:type="spellEnd"/>
      <w:r w:rsidR="00082B1F">
        <w:t xml:space="preserve"> and </w:t>
      </w:r>
      <w:proofErr w:type="spellStart"/>
      <w:r w:rsidR="00082B1F">
        <w:t>verI</w:t>
      </w:r>
      <w:proofErr w:type="spellEnd"/>
      <w:r w:rsidR="00082B1F">
        <w:t>-</w:t>
      </w:r>
      <w:proofErr w:type="gramStart"/>
      <w:r w:rsidR="00082B1F">
        <w:t>A</w:t>
      </w:r>
      <w:proofErr w:type="gramEnd"/>
      <w:r w:rsidR="00082B1F">
        <w:t xml:space="preserve"> occasionally also exhibit this profile. Clades </w:t>
      </w:r>
      <w:proofErr w:type="spellStart"/>
      <w:r w:rsidR="00082B1F">
        <w:t>betII</w:t>
      </w:r>
      <w:proofErr w:type="spellEnd"/>
      <w:r w:rsidR="00082B1F">
        <w:t xml:space="preserve"> and </w:t>
      </w:r>
      <w:proofErr w:type="spellStart"/>
      <w:r w:rsidR="00082B1F">
        <w:t>acI</w:t>
      </w:r>
      <w:proofErr w:type="spellEnd"/>
      <w:r w:rsidR="00082B1F">
        <w:t xml:space="preserve"> are highly abundant and persistent with low variability, consistent with their profile as ubiquitous freshwater generalists. Knowledge of the general manner in which these clades behave can begin to shed light on their lifestyles and the reasons for their observed abundance trends.</w:t>
      </w:r>
    </w:p>
    <w:p w:rsidR="00082B1F" w:rsidRDefault="00082B1F" w:rsidP="000D4BB0">
      <w:pPr>
        <w:spacing w:line="480" w:lineRule="auto"/>
        <w:jc w:val="both"/>
      </w:pPr>
    </w:p>
    <w:p w:rsidR="00082B1F" w:rsidRDefault="00082B1F" w:rsidP="000D4BB0">
      <w:pPr>
        <w:spacing w:line="480" w:lineRule="auto"/>
        <w:jc w:val="both"/>
      </w:pPr>
    </w:p>
    <w:p w:rsidR="00082B1F" w:rsidRDefault="00082B1F" w:rsidP="000D4BB0">
      <w:pPr>
        <w:spacing w:line="480" w:lineRule="auto"/>
        <w:jc w:val="both"/>
      </w:pPr>
      <w:r>
        <w:rPr>
          <w:noProof/>
        </w:rPr>
        <w:lastRenderedPageBreak/>
        <w:drawing>
          <wp:anchor distT="0" distB="0" distL="114300" distR="114300" simplePos="0" relativeHeight="251668480" behindDoc="0" locked="0" layoutInCell="1" allowOverlap="1" wp14:anchorId="28FE3CE9" wp14:editId="3C737B5B">
            <wp:simplePos x="0" y="0"/>
            <wp:positionH relativeFrom="margin">
              <wp:align>left</wp:align>
            </wp:positionH>
            <wp:positionV relativeFrom="paragraph">
              <wp:posOffset>3400425</wp:posOffset>
            </wp:positionV>
            <wp:extent cx="4257675" cy="3160395"/>
            <wp:effectExtent l="0" t="0" r="952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57675" cy="3160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C907778" wp14:editId="1D43E5E0">
            <wp:simplePos x="0" y="0"/>
            <wp:positionH relativeFrom="margin">
              <wp:align>left</wp:align>
            </wp:positionH>
            <wp:positionV relativeFrom="paragraph">
              <wp:posOffset>0</wp:posOffset>
            </wp:positionV>
            <wp:extent cx="4351655" cy="3095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51655" cy="3095625"/>
                    </a:xfrm>
                    <a:prstGeom prst="rect">
                      <a:avLst/>
                    </a:prstGeom>
                  </pic:spPr>
                </pic:pic>
              </a:graphicData>
            </a:graphic>
            <wp14:sizeRelH relativeFrom="margin">
              <wp14:pctWidth>0</wp14:pctWidth>
            </wp14:sizeRelH>
            <wp14:sizeRelV relativeFrom="margin">
              <wp14:pctHeight>0</wp14:pctHeight>
            </wp14:sizeRelV>
          </wp:anchor>
        </w:drawing>
      </w:r>
    </w:p>
    <w:p w:rsidR="00082B1F" w:rsidRDefault="00082B1F" w:rsidP="000D4BB0">
      <w:pPr>
        <w:spacing w:line="480" w:lineRule="auto"/>
        <w:jc w:val="both"/>
      </w:pPr>
    </w:p>
    <w:p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These well-defined freshwater clades show similar persistence, variance, and abundance in each year and lake, despite different abundance patterns. This suggests that unknown functions or other metabolic characteristics are driving a stable lifestyle.</w:t>
      </w:r>
    </w:p>
    <w:p w:rsidR="00082B1F" w:rsidRDefault="00082B1F" w:rsidP="000D4BB0">
      <w:pPr>
        <w:spacing w:line="480" w:lineRule="auto"/>
        <w:jc w:val="both"/>
      </w:pPr>
    </w:p>
    <w:p w:rsidR="004E4294" w:rsidRDefault="004E4294" w:rsidP="000D4BB0">
      <w:pPr>
        <w:pStyle w:val="Heading2"/>
        <w:spacing w:before="0" w:line="480" w:lineRule="auto"/>
        <w:jc w:val="both"/>
      </w:pPr>
      <w:r>
        <w:lastRenderedPageBreak/>
        <w:t>Discussion</w:t>
      </w:r>
    </w:p>
    <w:p w:rsidR="003056F7" w:rsidRDefault="003056F7" w:rsidP="000D4BB0">
      <w:pPr>
        <w:spacing w:line="480" w:lineRule="auto"/>
        <w:jc w:val="both"/>
      </w:pPr>
      <w:r>
        <w:tab/>
        <w:t xml:space="preserve">After viewing the lack of repeatable annual trends in Figure 4, it is tempting to throw one’s hands in the air and declare any attempt to predict freshwater bacterial community composition a lost cause. We urge readers not to do so just yet. Despite high </w:t>
      </w:r>
      <w:proofErr w:type="spellStart"/>
      <w:r>
        <w:t>interannual</w:t>
      </w:r>
      <w:proofErr w:type="spellEnd"/>
      <w:r>
        <w:t xml:space="preserve"> variability, freshwater clades themselves have predictable traits. We see that persistence, abundance, and coefficient of variance of freshwater groups are relatively consistent between years and lakes. If this is the case, then why is there such strong differences between years?</w:t>
      </w:r>
    </w:p>
    <w:p w:rsidR="002B1DF8" w:rsidRDefault="003056F7" w:rsidP="000D4BB0">
      <w:pPr>
        <w:spacing w:line="480" w:lineRule="auto"/>
        <w:jc w:val="both"/>
      </w:pPr>
      <w:r>
        <w:tab/>
      </w:r>
      <w:r w:rsidR="00C77A11">
        <w:t xml:space="preserve">Based on the large differences in community composition between </w:t>
      </w:r>
      <w:proofErr w:type="spellStart"/>
      <w:r w:rsidR="00C77A11">
        <w:t>epilimnia</w:t>
      </w:r>
      <w:proofErr w:type="spellEnd"/>
      <w:r w:rsidR="00C77A11">
        <w:t xml:space="preserve"> and </w:t>
      </w:r>
      <w:proofErr w:type="spellStart"/>
      <w:r w:rsidR="00C77A11">
        <w:t>hypolimnia</w:t>
      </w:r>
      <w:proofErr w:type="spellEnd"/>
      <w:r w:rsidR="00C77A11">
        <w:t xml:space="preserve">, and between lakes, environmental filtering likely has a strong effect in bog lakes. </w:t>
      </w:r>
      <w:r w:rsidR="006456E8">
        <w:t xml:space="preserve">This is supported by increased phylogenetic clustering in all samples compared to what would be expected if phylogeny was random (supplemental). </w:t>
      </w:r>
      <w:r w:rsidR="002B1DF8">
        <w:t xml:space="preserve">This is supported by the identity of indicator taxa for mixing regimes. For example, </w:t>
      </w:r>
      <w:proofErr w:type="spellStart"/>
      <w:r w:rsidR="002B1DF8">
        <w:t>Desulfobulbaceae</w:t>
      </w:r>
      <w:proofErr w:type="spellEnd"/>
      <w:r w:rsidR="002B1DF8">
        <w:t xml:space="preserve"> and </w:t>
      </w:r>
      <w:proofErr w:type="spellStart"/>
      <w:r w:rsidR="002B1DF8">
        <w:t>Syntrophobacterales</w:t>
      </w:r>
      <w:proofErr w:type="spellEnd"/>
      <w:r w:rsidR="002B1DF8">
        <w:t xml:space="preserve"> are indicators for the anoxic, sulfur-rich samples from dimictic and meromictic </w:t>
      </w:r>
      <w:proofErr w:type="spellStart"/>
      <w:r w:rsidR="002B1DF8">
        <w:t>hypolimnia</w:t>
      </w:r>
      <w:proofErr w:type="spellEnd"/>
      <w:r w:rsidR="002B1DF8">
        <w:t xml:space="preserve">, consistent with their probable function of anaerobic sulfur reduction. In contrast, </w:t>
      </w:r>
      <w:proofErr w:type="spellStart"/>
      <w:r w:rsidR="002B1DF8">
        <w:t>Actinobacteria</w:t>
      </w:r>
      <w:proofErr w:type="spellEnd"/>
      <w:r w:rsidR="002B1DF8">
        <w:t xml:space="preserve"> and particularly its freshwater generalist </w:t>
      </w:r>
      <w:proofErr w:type="spellStart"/>
      <w:r w:rsidR="002B1DF8">
        <w:t>acI</w:t>
      </w:r>
      <w:proofErr w:type="spellEnd"/>
      <w:r w:rsidR="002B1DF8">
        <w:t xml:space="preserve"> are indicators exclusively for </w:t>
      </w:r>
      <w:proofErr w:type="spellStart"/>
      <w:r w:rsidR="002B1DF8">
        <w:t>epilimnia</w:t>
      </w:r>
      <w:proofErr w:type="spellEnd"/>
      <w:r w:rsidR="002B1DF8">
        <w:t xml:space="preserve"> and </w:t>
      </w:r>
      <w:proofErr w:type="spellStart"/>
      <w:r w:rsidR="002B1DF8">
        <w:t>polymictic</w:t>
      </w:r>
      <w:proofErr w:type="spellEnd"/>
      <w:r w:rsidR="002B1DF8">
        <w:t xml:space="preserve"> </w:t>
      </w:r>
      <w:proofErr w:type="spellStart"/>
      <w:r w:rsidR="002B1DF8">
        <w:t>hypolimnia</w:t>
      </w:r>
      <w:proofErr w:type="spellEnd"/>
      <w:r w:rsidR="002B1DF8">
        <w:t xml:space="preserve">, where they can likely take full advantage of sunlight to power </w:t>
      </w:r>
      <w:proofErr w:type="spellStart"/>
      <w:r w:rsidR="002B1DF8">
        <w:t>actinorhodopsins</w:t>
      </w:r>
      <w:proofErr w:type="spellEnd"/>
      <w:r w:rsidR="002B1DF8">
        <w:t>. But while the presence of taxa endemic to specific sites is consistent from year to year, their abundance trends are highly variable.</w:t>
      </w:r>
    </w:p>
    <w:p w:rsidR="003056F7" w:rsidRDefault="003056F7" w:rsidP="002B1DF8">
      <w:pPr>
        <w:spacing w:line="480" w:lineRule="auto"/>
        <w:ind w:firstLine="360"/>
        <w:jc w:val="both"/>
      </w:pPr>
      <w:r>
        <w:t xml:space="preserve">One possibility is that there are abiotic drivers not measured that vary strongly from year to year. </w:t>
      </w:r>
      <w:r w:rsidR="00C77A11">
        <w:t xml:space="preserve"> </w:t>
      </w:r>
      <w:r>
        <w:t>These bog lakes, being small compared to other studied freshwater systems such as Lake Mendota in Madison, WI, are more at the mercy of their surrounding landscape.  Changes in the terrestrial ecosystem surround the aquatic systems studied may have profound impacts on bacterial community composition.</w:t>
      </w:r>
      <w:r w:rsidR="00C77A11">
        <w:t xml:space="preserve"> </w:t>
      </w:r>
      <w:r>
        <w:t xml:space="preserve">Another potential driver of annual variation is biotic interactions. </w:t>
      </w:r>
      <w:r>
        <w:lastRenderedPageBreak/>
        <w:t xml:space="preserve">Bacterial communities have been shown to </w:t>
      </w:r>
      <w:r w:rsidR="005D0CDC">
        <w:t>take part in</w:t>
      </w:r>
      <w:r>
        <w:t xml:space="preserve"> complex networks, and forces such as competition and cooperation may be structuring c</w:t>
      </w:r>
      <w:r w:rsidR="00C77A11">
        <w:t xml:space="preserve">ommunity composition in addition to environmental filtering. Finally, stochastic community assembly may </w:t>
      </w:r>
      <w:r w:rsidR="005D0CDC">
        <w:t>occur after</w:t>
      </w:r>
      <w:r w:rsidR="00C77A11">
        <w:t xml:space="preserve"> the disturbances of mixing events, the winter ice-on period appears to be a bottleneck reducing the alpha diversity of the bacterial community. The eme</w:t>
      </w:r>
      <w:r w:rsidR="005D0CDC">
        <w:t xml:space="preserve">rgence of distinctive </w:t>
      </w:r>
      <w:proofErr w:type="spellStart"/>
      <w:r w:rsidR="005D0CDC">
        <w:t>epilimnia</w:t>
      </w:r>
      <w:proofErr w:type="spellEnd"/>
      <w:r w:rsidR="005D0CDC">
        <w:t xml:space="preserve"> and </w:t>
      </w:r>
      <w:proofErr w:type="spellStart"/>
      <w:r w:rsidR="005D0CDC">
        <w:t>hypolimnia</w:t>
      </w:r>
      <w:proofErr w:type="spellEnd"/>
      <w:r w:rsidR="00C77A11">
        <w:t xml:space="preserve"> communities after the spring thaw and mixing event may introduce an element of chance in community assembly, resulting in unique communities each year.</w:t>
      </w:r>
    </w:p>
    <w:p w:rsidR="00E30E92" w:rsidRDefault="00C77A11" w:rsidP="000D4BB0">
      <w:pPr>
        <w:spacing w:after="100" w:afterAutospacing="1" w:line="480" w:lineRule="auto"/>
        <w:ind w:firstLine="360"/>
        <w:jc w:val="both"/>
        <w:rPr>
          <w:rFonts w:eastAsia="Times New Roman"/>
        </w:rPr>
      </w:pPr>
      <w:r>
        <w:t xml:space="preserve">If </w:t>
      </w:r>
      <w:r w:rsidR="008023C5">
        <w:t xml:space="preserve">it is true that repeatable annual trends do not repeat in bog lakes, why has this not been seen in other aquatic ecosystems? </w:t>
      </w:r>
      <w:r w:rsidR="00E30E92" w:rsidRPr="008023C5">
        <w:rPr>
          <w:rFonts w:eastAsia="Times New Roman"/>
        </w:rPr>
        <w:t xml:space="preserve">Previous studies </w:t>
      </w:r>
      <w:r w:rsidR="00E30E92">
        <w:rPr>
          <w:rFonts w:eastAsia="Times New Roman"/>
        </w:rPr>
        <w:t xml:space="preserve">in these same lakes found seasonal trends, but were </w:t>
      </w:r>
      <w:r w:rsidR="00E30E92" w:rsidRPr="008023C5">
        <w:rPr>
          <w:rFonts w:eastAsia="Times New Roman"/>
        </w:rPr>
        <w:t>using higher level community traits such as richness or rate of change rather than direct community composition</w:t>
      </w:r>
      <w:r w:rsidR="00E30E92">
        <w:rPr>
          <w:rFonts w:eastAsia="Times New Roman"/>
        </w:rPr>
        <w:t xml:space="preserve">. </w:t>
      </w:r>
      <w:r w:rsidR="00E30E92">
        <w:t xml:space="preserve">There is a large body of work on </w:t>
      </w:r>
      <w:r w:rsidR="008023C5">
        <w:t xml:space="preserve">predictable seasonal trends in oceans, rivers, and freshwater lakes. </w:t>
      </w:r>
      <w:r w:rsidR="008023C5">
        <w:rPr>
          <w:rFonts w:eastAsia="Times New Roman"/>
        </w:rPr>
        <w:t xml:space="preserve">One major difference is that these other systems are larger and contain currents or other water movement, while bog lakes are more stagnant and are connected to other aquatic systems via only groundwater. Bacterial communities that are constantly moving through an ecosystem may experience stronger environmental filtering, reducing variability and the importance of biotic interactions in community assembly. Another difference is that </w:t>
      </w:r>
      <w:r w:rsidR="00E30E92">
        <w:rPr>
          <w:rFonts w:eastAsia="Times New Roman"/>
        </w:rPr>
        <w:t xml:space="preserve">many of the systems studied do not experience the temperature extremes that boreal bog lakes do. The impact of winter freezing and mixing events may prevent formation of a stable community each year. </w:t>
      </w:r>
      <w:r w:rsidR="00E30E92" w:rsidRPr="008023C5">
        <w:rPr>
          <w:rFonts w:eastAsia="Times New Roman"/>
        </w:rPr>
        <w:t xml:space="preserve">The study most similar to ours is </w:t>
      </w:r>
      <w:r w:rsidR="00E30E92">
        <w:rPr>
          <w:rFonts w:eastAsia="Times New Roman"/>
        </w:rPr>
        <w:t>a</w:t>
      </w:r>
      <w:r w:rsidR="00E30E92" w:rsidRPr="008023C5">
        <w:rPr>
          <w:rFonts w:eastAsia="Times New Roman"/>
        </w:rPr>
        <w:t xml:space="preserve"> seasonal analysis of Lake Mendota. Lake Mendota freezes annually</w:t>
      </w:r>
      <w:r w:rsidR="00E30E92">
        <w:rPr>
          <w:rFonts w:eastAsia="Times New Roman"/>
        </w:rPr>
        <w:t xml:space="preserve"> and is close to the observed study sites geographically</w:t>
      </w:r>
      <w:r w:rsidR="00E30E92" w:rsidRPr="008023C5">
        <w:rPr>
          <w:rFonts w:eastAsia="Times New Roman"/>
        </w:rPr>
        <w:t>, but is a lot bigger than the bogs, is part of a larger chain of lakes with</w:t>
      </w:r>
      <w:r w:rsidR="00E30E92">
        <w:rPr>
          <w:rFonts w:eastAsia="Times New Roman"/>
        </w:rPr>
        <w:t xml:space="preserve"> more</w:t>
      </w:r>
      <w:r w:rsidR="00E30E92" w:rsidRPr="008023C5">
        <w:rPr>
          <w:rFonts w:eastAsia="Times New Roman"/>
        </w:rPr>
        <w:t xml:space="preserve"> water exchange, and doesn’t stratify as quickly. Additionally, </w:t>
      </w:r>
      <w:r w:rsidR="00E30E92">
        <w:rPr>
          <w:rFonts w:eastAsia="Times New Roman"/>
        </w:rPr>
        <w:t>the Mendota study notes</w:t>
      </w:r>
      <w:r w:rsidR="00E30E92" w:rsidRPr="008023C5">
        <w:rPr>
          <w:rFonts w:eastAsia="Times New Roman"/>
        </w:rPr>
        <w:t xml:space="preserve"> that late summer samples are more</w:t>
      </w:r>
      <w:r w:rsidR="00E30E92">
        <w:rPr>
          <w:rFonts w:eastAsia="Times New Roman"/>
        </w:rPr>
        <w:t xml:space="preserve"> difficult to predict than fall, winter, or early spring samples. Since t</w:t>
      </w:r>
      <w:r w:rsidR="00E30E92" w:rsidRPr="008023C5">
        <w:rPr>
          <w:rFonts w:eastAsia="Times New Roman"/>
        </w:rPr>
        <w:t xml:space="preserve">he bog </w:t>
      </w:r>
      <w:r w:rsidR="00E30E92">
        <w:rPr>
          <w:rFonts w:eastAsia="Times New Roman"/>
        </w:rPr>
        <w:t xml:space="preserve">lake </w:t>
      </w:r>
      <w:r w:rsidR="00E30E92" w:rsidRPr="008023C5">
        <w:rPr>
          <w:rFonts w:eastAsia="Times New Roman"/>
        </w:rPr>
        <w:t>dataset is dominated by stratified summer samples</w:t>
      </w:r>
      <w:r w:rsidR="00E30E92">
        <w:rPr>
          <w:rFonts w:eastAsia="Times New Roman"/>
        </w:rPr>
        <w:t xml:space="preserve">, this </w:t>
      </w:r>
      <w:r w:rsidR="00E30E92">
        <w:rPr>
          <w:rFonts w:eastAsia="Times New Roman"/>
        </w:rPr>
        <w:lastRenderedPageBreak/>
        <w:t>would make annual prediction far more difficult</w:t>
      </w:r>
      <w:r w:rsidR="00E30E92" w:rsidRPr="008023C5">
        <w:rPr>
          <w:rFonts w:eastAsia="Times New Roman"/>
        </w:rPr>
        <w:t>.</w:t>
      </w:r>
      <w:r w:rsidR="005D0CDC">
        <w:rPr>
          <w:rFonts w:eastAsia="Times New Roman"/>
        </w:rPr>
        <w:t xml:space="preserve"> (Include Martin Hahn’s </w:t>
      </w:r>
      <w:proofErr w:type="spellStart"/>
      <w:r w:rsidR="005D0CDC">
        <w:rPr>
          <w:rFonts w:eastAsia="Times New Roman"/>
        </w:rPr>
        <w:t>polynucleobacter</w:t>
      </w:r>
      <w:proofErr w:type="spellEnd"/>
      <w:r w:rsidR="005D0CDC">
        <w:rPr>
          <w:rFonts w:eastAsia="Times New Roman"/>
        </w:rPr>
        <w:t xml:space="preserve"> study here)</w:t>
      </w:r>
    </w:p>
    <w:p w:rsidR="00E30E92" w:rsidRPr="008023C5"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single year would have produced drastically different conclusions about the seasonality of freshwater bacterial communities. </w:t>
      </w:r>
      <w:r w:rsidR="000A2B26">
        <w:rPr>
          <w:rFonts w:eastAsia="Times New Roman"/>
        </w:rPr>
        <w:t>Clearly, the factors driving community composition in bog lake ecosystems are more complex than we had originally thought. It’s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annual differences are driven by environmental factors that do not occur every year. To answer these questions, we are continuing to collect and sequence samples for the North Temperate Lakes – Microbial Observatory, and we are expanding our sequencing repertoire beyond 16S sequencing. All of the 16S data we have currently generated can be found in the R package “</w:t>
      </w:r>
      <w:proofErr w:type="spellStart"/>
      <w:r w:rsidR="00DF1E78">
        <w:rPr>
          <w:rFonts w:eastAsia="Times New Roman"/>
        </w:rPr>
        <w:t>OTUtable</w:t>
      </w:r>
      <w:proofErr w:type="spellEnd"/>
      <w:r w:rsidR="00DF1E78">
        <w:rPr>
          <w:rFonts w:eastAsia="Times New Roman"/>
        </w:rPr>
        <w:t xml:space="preserv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rsidR="00350E21" w:rsidRPr="00350E21" w:rsidRDefault="00350E21" w:rsidP="00350E21">
      <w:pPr>
        <w:spacing w:line="480" w:lineRule="auto"/>
        <w:jc w:val="both"/>
        <w:rPr>
          <w:b/>
        </w:rPr>
      </w:pPr>
      <w:r w:rsidRPr="00350E21">
        <w:rPr>
          <w:b/>
        </w:rPr>
        <w:t>Conclusion</w:t>
      </w:r>
    </w:p>
    <w:p w:rsidR="009D61B5" w:rsidRDefault="00350E21" w:rsidP="00350E21">
      <w:pPr>
        <w:spacing w:line="480" w:lineRule="auto"/>
        <w:ind w:firstLine="720"/>
        <w:jc w:val="both"/>
      </w:pPr>
      <w:r>
        <w:t xml:space="preserve">Using a multi-year, multi-lake time series, we find depth and mixing frequency to be major drivers of community composition, and identify specific bacterial taxa associated with each environmental condition. Seasonal trends that are consistent annually are observed in community metrics such as richness and evenness, and in community composition at the phylum level. However, repeatable trends in abundance over time are not identified at lower taxonomic levels. Each year in each lake harbors a unique bacterial community, within the confines of its environmental conditions.  While this initially appears to pose a challenge to the prediction of </w:t>
      </w:r>
      <w:r>
        <w:lastRenderedPageBreak/>
        <w:t xml:space="preserve">bacterial community composition, we also demonstrate that traits such as persistence, abundance, and variation are consistent in freshwater taxa despite large annual differences. </w:t>
      </w:r>
      <w:proofErr w:type="spellStart"/>
      <w:r>
        <w:t>Interannual</w:t>
      </w:r>
      <w:proofErr w:type="spellEnd"/>
      <w:r>
        <w:t xml:space="preserve"> variability could be due to either environmental factors that operate on long time scales, or due to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goal.</w:t>
      </w:r>
    </w:p>
    <w:p w:rsidR="00350E21" w:rsidRDefault="00350E21" w:rsidP="00350E21">
      <w:r>
        <w:t>To-Do</w:t>
      </w:r>
    </w:p>
    <w:p w:rsidR="00350E21" w:rsidRDefault="00350E21" w:rsidP="00350E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figures more professional</w:t>
      </w:r>
    </w:p>
    <w:p w:rsidR="00350E21" w:rsidRDefault="00350E21" w:rsidP="00350E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citations</w:t>
      </w:r>
    </w:p>
    <w:p w:rsidR="00350E21" w:rsidRDefault="00350E21" w:rsidP="00350E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Write an abstract</w:t>
      </w:r>
    </w:p>
    <w:p w:rsidR="00350E21" w:rsidRDefault="00350E21" w:rsidP="002B1DF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a supplemental document</w:t>
      </w:r>
    </w:p>
    <w:p w:rsidR="004A12DC" w:rsidRDefault="004A12DC" w:rsidP="004A12DC">
      <w:pPr>
        <w:pStyle w:val="Heading2"/>
      </w:pPr>
      <w:r>
        <w:t>References</w:t>
      </w:r>
    </w:p>
    <w:p w:rsidR="004A12DC" w:rsidRPr="004A12DC" w:rsidRDefault="004A12DC" w:rsidP="004A12DC">
      <w:bookmarkStart w:id="0" w:name="_GoBack"/>
      <w:bookmarkEnd w:id="0"/>
    </w:p>
    <w:p w:rsidR="004A12DC" w:rsidRPr="004A12DC" w:rsidRDefault="004A12DC" w:rsidP="004A12DC">
      <w:pPr>
        <w:widowControl w:val="0"/>
        <w:autoSpaceDE w:val="0"/>
        <w:autoSpaceDN w:val="0"/>
        <w:adjustRightInd w:val="0"/>
        <w:spacing w:line="240" w:lineRule="auto"/>
        <w:ind w:left="640" w:hanging="640"/>
        <w:rPr>
          <w:noProof/>
        </w:rPr>
      </w:pPr>
      <w:r>
        <w:fldChar w:fldCharType="begin" w:fldLock="1"/>
      </w:r>
      <w:r>
        <w:instrText xml:space="preserve">ADDIN Mendeley Bibliography CSL_BIBLIOGRAPHY </w:instrText>
      </w:r>
      <w:r>
        <w:fldChar w:fldCharType="separate"/>
      </w:r>
      <w:r w:rsidRPr="004A12DC">
        <w:rPr>
          <w:noProof/>
        </w:rPr>
        <w:t xml:space="preserve">1. </w:t>
      </w:r>
      <w:r w:rsidRPr="004A12DC">
        <w:rPr>
          <w:noProof/>
        </w:rPr>
        <w:tab/>
      </w:r>
      <w:r w:rsidRPr="004A12DC">
        <w:rPr>
          <w:b/>
          <w:bCs/>
          <w:noProof/>
        </w:rPr>
        <w:t>Cho I</w:t>
      </w:r>
      <w:r w:rsidRPr="004A12DC">
        <w:rPr>
          <w:noProof/>
        </w:rPr>
        <w:t xml:space="preserve">, </w:t>
      </w:r>
      <w:r w:rsidRPr="004A12DC">
        <w:rPr>
          <w:b/>
          <w:bCs/>
          <w:noProof/>
        </w:rPr>
        <w:t>Blaser MJ</w:t>
      </w:r>
      <w:r w:rsidRPr="004A12DC">
        <w:rPr>
          <w:noProof/>
        </w:rPr>
        <w:t xml:space="preserve">. 2012. The human microbiome : at the interface of health and disease </w:t>
      </w:r>
      <w:r w:rsidRPr="004A12DC">
        <w:rPr>
          <w:b/>
          <w:bCs/>
          <w:noProof/>
        </w:rPr>
        <w:t>13</w:t>
      </w:r>
      <w:r w:rsidRPr="004A12DC">
        <w:rPr>
          <w:noProof/>
        </w:rPr>
        <w:t>.</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2. </w:t>
      </w:r>
      <w:r w:rsidRPr="004A12DC">
        <w:rPr>
          <w:noProof/>
        </w:rPr>
        <w:tab/>
      </w:r>
      <w:r w:rsidRPr="004A12DC">
        <w:rPr>
          <w:b/>
          <w:bCs/>
          <w:noProof/>
        </w:rPr>
        <w:t>Rastogi RP</w:t>
      </w:r>
      <w:r w:rsidRPr="004A12DC">
        <w:rPr>
          <w:noProof/>
        </w:rPr>
        <w:t xml:space="preserve">, </w:t>
      </w:r>
      <w:r w:rsidRPr="004A12DC">
        <w:rPr>
          <w:b/>
          <w:bCs/>
          <w:noProof/>
        </w:rPr>
        <w:t>Madamwar D</w:t>
      </w:r>
      <w:r w:rsidRPr="004A12DC">
        <w:rPr>
          <w:noProof/>
        </w:rPr>
        <w:t xml:space="preserve">, </w:t>
      </w:r>
      <w:r w:rsidRPr="004A12DC">
        <w:rPr>
          <w:b/>
          <w:bCs/>
          <w:noProof/>
        </w:rPr>
        <w:t>Incharoensakdi A</w:t>
      </w:r>
      <w:r w:rsidRPr="004A12DC">
        <w:rPr>
          <w:noProof/>
        </w:rPr>
        <w:t xml:space="preserve">. 2015. Bloom Dynamics of Cyanobacteria and Their Toxins: Environmental Health Impacts and Mitigation Strategies. Front Microbiol </w:t>
      </w:r>
      <w:r w:rsidRPr="004A12DC">
        <w:rPr>
          <w:b/>
          <w:bCs/>
          <w:noProof/>
        </w:rPr>
        <w:t>6</w:t>
      </w:r>
      <w:r w:rsidRPr="004A12DC">
        <w:rPr>
          <w:noProof/>
        </w:rPr>
        <w:t>:1–22.</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3. </w:t>
      </w:r>
      <w:r w:rsidRPr="004A12DC">
        <w:rPr>
          <w:noProof/>
        </w:rPr>
        <w:tab/>
      </w:r>
      <w:r w:rsidRPr="004A12DC">
        <w:rPr>
          <w:b/>
          <w:bCs/>
          <w:noProof/>
        </w:rPr>
        <w:t>Logan BE</w:t>
      </w:r>
      <w:r w:rsidRPr="004A12DC">
        <w:rPr>
          <w:noProof/>
        </w:rPr>
        <w:t xml:space="preserve">, </w:t>
      </w:r>
      <w:r w:rsidRPr="004A12DC">
        <w:rPr>
          <w:b/>
          <w:bCs/>
          <w:noProof/>
        </w:rPr>
        <w:t>Rabaey K</w:t>
      </w:r>
      <w:r w:rsidRPr="004A12DC">
        <w:rPr>
          <w:noProof/>
        </w:rPr>
        <w:t xml:space="preserve">. 2012. No Title </w:t>
      </w:r>
      <w:r w:rsidRPr="004A12DC">
        <w:rPr>
          <w:b/>
          <w:bCs/>
          <w:noProof/>
        </w:rPr>
        <w:t>686</w:t>
      </w:r>
      <w:r w:rsidRPr="004A12DC">
        <w:rPr>
          <w:noProof/>
        </w:rPr>
        <w:t>.</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4. </w:t>
      </w:r>
      <w:r w:rsidRPr="004A12DC">
        <w:rPr>
          <w:noProof/>
        </w:rPr>
        <w:tab/>
      </w:r>
      <w:r w:rsidRPr="004A12DC">
        <w:rPr>
          <w:b/>
          <w:bCs/>
          <w:noProof/>
        </w:rPr>
        <w:t>Lopes T</w:t>
      </w:r>
      <w:r w:rsidRPr="004A12DC">
        <w:rPr>
          <w:noProof/>
        </w:rPr>
        <w:t xml:space="preserve">, </w:t>
      </w:r>
      <w:r w:rsidRPr="004A12DC">
        <w:rPr>
          <w:b/>
          <w:bCs/>
          <w:noProof/>
        </w:rPr>
        <w:t>Gouveia L</w:t>
      </w:r>
      <w:r w:rsidRPr="004A12DC">
        <w:rPr>
          <w:noProof/>
        </w:rPr>
        <w:t xml:space="preserve">, </w:t>
      </w:r>
      <w:r w:rsidRPr="004A12DC">
        <w:rPr>
          <w:b/>
          <w:bCs/>
          <w:noProof/>
        </w:rPr>
        <w:t>Reis A</w:t>
      </w:r>
      <w:r w:rsidRPr="004A12DC">
        <w:rPr>
          <w:noProof/>
        </w:rPr>
        <w:t>. 2013. Integrated microbial processes for biofuels and high value-added products : the way to improve the cost effectiveness of biofuel production.</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5. </w:t>
      </w:r>
      <w:r w:rsidRPr="004A12DC">
        <w:rPr>
          <w:noProof/>
        </w:rPr>
        <w:tab/>
      </w:r>
      <w:r w:rsidRPr="004A12DC">
        <w:rPr>
          <w:b/>
          <w:bCs/>
          <w:noProof/>
        </w:rPr>
        <w:t>Ferrera I</w:t>
      </w:r>
      <w:r w:rsidRPr="004A12DC">
        <w:rPr>
          <w:noProof/>
        </w:rPr>
        <w:t xml:space="preserve">, </w:t>
      </w:r>
      <w:r w:rsidRPr="004A12DC">
        <w:rPr>
          <w:b/>
          <w:bCs/>
          <w:noProof/>
        </w:rPr>
        <w:t>Sánchez O</w:t>
      </w:r>
      <w:r w:rsidRPr="004A12DC">
        <w:rPr>
          <w:noProof/>
        </w:rPr>
        <w:t>. 2016. Insights into microbial diversity in wastewater treatment systems: How far have we come? Biotechnol Adv in press.</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6. </w:t>
      </w:r>
      <w:r w:rsidRPr="004A12DC">
        <w:rPr>
          <w:noProof/>
        </w:rPr>
        <w:tab/>
      </w:r>
      <w:r w:rsidRPr="004A12DC">
        <w:rPr>
          <w:b/>
          <w:bCs/>
          <w:noProof/>
        </w:rPr>
        <w:t>Bourdichon F</w:t>
      </w:r>
      <w:r w:rsidRPr="004A12DC">
        <w:rPr>
          <w:noProof/>
        </w:rPr>
        <w:t xml:space="preserve">, </w:t>
      </w:r>
      <w:r w:rsidRPr="004A12DC">
        <w:rPr>
          <w:b/>
          <w:bCs/>
          <w:noProof/>
        </w:rPr>
        <w:t>Casaregola S</w:t>
      </w:r>
      <w:r w:rsidRPr="004A12DC">
        <w:rPr>
          <w:noProof/>
        </w:rPr>
        <w:t xml:space="preserve">, </w:t>
      </w:r>
      <w:r w:rsidRPr="004A12DC">
        <w:rPr>
          <w:b/>
          <w:bCs/>
          <w:noProof/>
        </w:rPr>
        <w:t>Farrokh C</w:t>
      </w:r>
      <w:r w:rsidRPr="004A12DC">
        <w:rPr>
          <w:noProof/>
        </w:rPr>
        <w:t xml:space="preserve">, </w:t>
      </w:r>
      <w:r w:rsidRPr="004A12DC">
        <w:rPr>
          <w:b/>
          <w:bCs/>
          <w:noProof/>
        </w:rPr>
        <w:t>Frisvad JC</w:t>
      </w:r>
      <w:r w:rsidRPr="004A12DC">
        <w:rPr>
          <w:noProof/>
        </w:rPr>
        <w:t xml:space="preserve">, </w:t>
      </w:r>
      <w:r w:rsidRPr="004A12DC">
        <w:rPr>
          <w:b/>
          <w:bCs/>
          <w:noProof/>
        </w:rPr>
        <w:t>Gerds ML</w:t>
      </w:r>
      <w:r w:rsidRPr="004A12DC">
        <w:rPr>
          <w:noProof/>
        </w:rPr>
        <w:t xml:space="preserve">, </w:t>
      </w:r>
      <w:r w:rsidRPr="004A12DC">
        <w:rPr>
          <w:b/>
          <w:bCs/>
          <w:noProof/>
        </w:rPr>
        <w:t>Hammes WP</w:t>
      </w:r>
      <w:r w:rsidRPr="004A12DC">
        <w:rPr>
          <w:noProof/>
        </w:rPr>
        <w:t xml:space="preserve">, </w:t>
      </w:r>
      <w:r w:rsidRPr="004A12DC">
        <w:rPr>
          <w:b/>
          <w:bCs/>
          <w:noProof/>
        </w:rPr>
        <w:t>Harnett J</w:t>
      </w:r>
      <w:r w:rsidRPr="004A12DC">
        <w:rPr>
          <w:noProof/>
        </w:rPr>
        <w:t xml:space="preserve">, </w:t>
      </w:r>
      <w:r w:rsidRPr="004A12DC">
        <w:rPr>
          <w:b/>
          <w:bCs/>
          <w:noProof/>
        </w:rPr>
        <w:t>Huys G</w:t>
      </w:r>
      <w:r w:rsidRPr="004A12DC">
        <w:rPr>
          <w:noProof/>
        </w:rPr>
        <w:t xml:space="preserve">, </w:t>
      </w:r>
      <w:r w:rsidRPr="004A12DC">
        <w:rPr>
          <w:b/>
          <w:bCs/>
          <w:noProof/>
        </w:rPr>
        <w:t>Laulund S</w:t>
      </w:r>
      <w:r w:rsidRPr="004A12DC">
        <w:rPr>
          <w:noProof/>
        </w:rPr>
        <w:t xml:space="preserve">, </w:t>
      </w:r>
      <w:r w:rsidRPr="004A12DC">
        <w:rPr>
          <w:b/>
          <w:bCs/>
          <w:noProof/>
        </w:rPr>
        <w:t>Ouwehand A</w:t>
      </w:r>
      <w:r w:rsidRPr="004A12DC">
        <w:rPr>
          <w:noProof/>
        </w:rPr>
        <w:t xml:space="preserve">, </w:t>
      </w:r>
      <w:r w:rsidRPr="004A12DC">
        <w:rPr>
          <w:b/>
          <w:bCs/>
          <w:noProof/>
        </w:rPr>
        <w:t>Powell IB</w:t>
      </w:r>
      <w:r w:rsidRPr="004A12DC">
        <w:rPr>
          <w:noProof/>
        </w:rPr>
        <w:t xml:space="preserve">, </w:t>
      </w:r>
      <w:r w:rsidRPr="004A12DC">
        <w:rPr>
          <w:b/>
          <w:bCs/>
          <w:noProof/>
        </w:rPr>
        <w:t>Prajapati JB</w:t>
      </w:r>
      <w:r w:rsidRPr="004A12DC">
        <w:rPr>
          <w:noProof/>
        </w:rPr>
        <w:t xml:space="preserve">, </w:t>
      </w:r>
      <w:r w:rsidRPr="004A12DC">
        <w:rPr>
          <w:b/>
          <w:bCs/>
          <w:noProof/>
        </w:rPr>
        <w:t>Seto Y</w:t>
      </w:r>
      <w:r w:rsidRPr="004A12DC">
        <w:rPr>
          <w:noProof/>
        </w:rPr>
        <w:t xml:space="preserve">, </w:t>
      </w:r>
      <w:r w:rsidRPr="004A12DC">
        <w:rPr>
          <w:b/>
          <w:bCs/>
          <w:noProof/>
        </w:rPr>
        <w:t>Ter E</w:t>
      </w:r>
      <w:r w:rsidRPr="004A12DC">
        <w:rPr>
          <w:noProof/>
        </w:rPr>
        <w:t xml:space="preserve">, </w:t>
      </w:r>
      <w:r w:rsidRPr="004A12DC">
        <w:rPr>
          <w:b/>
          <w:bCs/>
          <w:noProof/>
        </w:rPr>
        <w:t>Boven A Van</w:t>
      </w:r>
      <w:r w:rsidRPr="004A12DC">
        <w:rPr>
          <w:noProof/>
        </w:rPr>
        <w:t xml:space="preserve">, </w:t>
      </w:r>
      <w:r w:rsidRPr="004A12DC">
        <w:rPr>
          <w:b/>
          <w:bCs/>
          <w:noProof/>
        </w:rPr>
        <w:t>Vankerckhoven V</w:t>
      </w:r>
      <w:r w:rsidRPr="004A12DC">
        <w:rPr>
          <w:noProof/>
        </w:rPr>
        <w:t xml:space="preserve">, </w:t>
      </w:r>
      <w:r w:rsidRPr="004A12DC">
        <w:rPr>
          <w:b/>
          <w:bCs/>
          <w:noProof/>
        </w:rPr>
        <w:t>Zgoda A</w:t>
      </w:r>
      <w:r w:rsidRPr="004A12DC">
        <w:rPr>
          <w:noProof/>
        </w:rPr>
        <w:t xml:space="preserve">, </w:t>
      </w:r>
      <w:r w:rsidRPr="004A12DC">
        <w:rPr>
          <w:b/>
          <w:bCs/>
          <w:noProof/>
        </w:rPr>
        <w:t>Tuijtelaars S</w:t>
      </w:r>
      <w:r w:rsidRPr="004A12DC">
        <w:rPr>
          <w:noProof/>
        </w:rPr>
        <w:t xml:space="preserve">, </w:t>
      </w:r>
      <w:r w:rsidRPr="004A12DC">
        <w:rPr>
          <w:b/>
          <w:bCs/>
          <w:noProof/>
        </w:rPr>
        <w:t>Bech E</w:t>
      </w:r>
      <w:r w:rsidRPr="004A12DC">
        <w:rPr>
          <w:noProof/>
        </w:rPr>
        <w:t xml:space="preserve">. 2012. International Journal of Food Microbiology Food fermentations : Microorganisms with technological bene fi cial use. Int J Food Microbiol </w:t>
      </w:r>
      <w:r w:rsidRPr="004A12DC">
        <w:rPr>
          <w:b/>
          <w:bCs/>
          <w:noProof/>
        </w:rPr>
        <w:t>154</w:t>
      </w:r>
      <w:r w:rsidRPr="004A12DC">
        <w:rPr>
          <w:noProof/>
        </w:rPr>
        <w:t>:87–97.</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7. </w:t>
      </w:r>
      <w:r w:rsidRPr="004A12DC">
        <w:rPr>
          <w:noProof/>
        </w:rPr>
        <w:tab/>
      </w:r>
      <w:r w:rsidRPr="004A12DC">
        <w:rPr>
          <w:b/>
          <w:bCs/>
          <w:noProof/>
        </w:rPr>
        <w:t>Hewson I</w:t>
      </w:r>
      <w:r w:rsidRPr="004A12DC">
        <w:rPr>
          <w:noProof/>
        </w:rPr>
        <w:t xml:space="preserve">, </w:t>
      </w:r>
      <w:r w:rsidRPr="004A12DC">
        <w:rPr>
          <w:b/>
          <w:bCs/>
          <w:noProof/>
        </w:rPr>
        <w:t>Steele JA</w:t>
      </w:r>
      <w:r w:rsidRPr="004A12DC">
        <w:rPr>
          <w:noProof/>
        </w:rPr>
        <w:t xml:space="preserve">, </w:t>
      </w:r>
      <w:r w:rsidRPr="004A12DC">
        <w:rPr>
          <w:b/>
          <w:bCs/>
          <w:noProof/>
        </w:rPr>
        <w:t>Capone DG</w:t>
      </w:r>
      <w:r w:rsidRPr="004A12DC">
        <w:rPr>
          <w:noProof/>
        </w:rPr>
        <w:t xml:space="preserve">, </w:t>
      </w:r>
      <w:r w:rsidRPr="004A12DC">
        <w:rPr>
          <w:b/>
          <w:bCs/>
          <w:noProof/>
        </w:rPr>
        <w:t>Fuhrman JA</w:t>
      </w:r>
      <w:r w:rsidRPr="004A12DC">
        <w:rPr>
          <w:noProof/>
        </w:rPr>
        <w:t xml:space="preserve">. 2006. Remarkable heterogeneity in meso- and bathypelagic bacterioplankton assemblage composition </w:t>
      </w:r>
      <w:r w:rsidRPr="004A12DC">
        <w:rPr>
          <w:b/>
          <w:bCs/>
          <w:noProof/>
        </w:rPr>
        <w:t>51</w:t>
      </w:r>
      <w:r w:rsidRPr="004A12DC">
        <w:rPr>
          <w:noProof/>
        </w:rPr>
        <w:t>:1274–1283.</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lastRenderedPageBreak/>
        <w:t xml:space="preserve">8. </w:t>
      </w:r>
      <w:r w:rsidRPr="004A12DC">
        <w:rPr>
          <w:noProof/>
        </w:rPr>
        <w:tab/>
      </w:r>
      <w:r w:rsidRPr="004A12DC">
        <w:rPr>
          <w:b/>
          <w:bCs/>
          <w:noProof/>
        </w:rPr>
        <w:t>Sheldon WM</w:t>
      </w:r>
      <w:r w:rsidRPr="004A12DC">
        <w:rPr>
          <w:noProof/>
        </w:rPr>
        <w:t xml:space="preserve">, </w:t>
      </w:r>
      <w:r w:rsidRPr="004A12DC">
        <w:rPr>
          <w:b/>
          <w:bCs/>
          <w:noProof/>
        </w:rPr>
        <w:t>Moran MA</w:t>
      </w:r>
      <w:r w:rsidRPr="004A12DC">
        <w:rPr>
          <w:noProof/>
        </w:rPr>
        <w:t xml:space="preserve">, </w:t>
      </w:r>
      <w:r w:rsidRPr="004A12DC">
        <w:rPr>
          <w:b/>
          <w:bCs/>
          <w:noProof/>
        </w:rPr>
        <w:t>Hollibaugh JT</w:t>
      </w:r>
      <w:r w:rsidRPr="004A12DC">
        <w:rPr>
          <w:noProof/>
        </w:rPr>
        <w:t>. 2000. Efforts to Link Ecological Metadata with Bacterial Gene Sequences at the Sapelo Island Microbial Observatory.</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9. </w:t>
      </w:r>
      <w:r w:rsidRPr="004A12DC">
        <w:rPr>
          <w:noProof/>
        </w:rPr>
        <w:tab/>
      </w:r>
      <w:r w:rsidRPr="004A12DC">
        <w:rPr>
          <w:b/>
          <w:bCs/>
          <w:noProof/>
        </w:rPr>
        <w:t>Hollibaugh JT</w:t>
      </w:r>
      <w:r w:rsidRPr="004A12DC">
        <w:rPr>
          <w:noProof/>
        </w:rPr>
        <w:t xml:space="preserve">, </w:t>
      </w:r>
      <w:r w:rsidRPr="004A12DC">
        <w:rPr>
          <w:b/>
          <w:bCs/>
          <w:noProof/>
        </w:rPr>
        <w:t>Gifford SM</w:t>
      </w:r>
      <w:r w:rsidRPr="004A12DC">
        <w:rPr>
          <w:noProof/>
        </w:rPr>
        <w:t xml:space="preserve">, </w:t>
      </w:r>
      <w:r w:rsidRPr="004A12DC">
        <w:rPr>
          <w:b/>
          <w:bCs/>
          <w:noProof/>
        </w:rPr>
        <w:t>Moran MA</w:t>
      </w:r>
      <w:r w:rsidRPr="004A12DC">
        <w:rPr>
          <w:noProof/>
        </w:rPr>
        <w:t xml:space="preserve">, </w:t>
      </w:r>
      <w:r w:rsidRPr="004A12DC">
        <w:rPr>
          <w:b/>
          <w:bCs/>
          <w:noProof/>
        </w:rPr>
        <w:t>Ross MJ</w:t>
      </w:r>
      <w:r w:rsidRPr="004A12DC">
        <w:rPr>
          <w:noProof/>
        </w:rPr>
        <w:t xml:space="preserve">, </w:t>
      </w:r>
      <w:r w:rsidRPr="004A12DC">
        <w:rPr>
          <w:b/>
          <w:bCs/>
          <w:noProof/>
        </w:rPr>
        <w:t>Sharma S</w:t>
      </w:r>
      <w:r w:rsidRPr="004A12DC">
        <w:rPr>
          <w:noProof/>
        </w:rPr>
        <w:t xml:space="preserve">, </w:t>
      </w:r>
      <w:r w:rsidRPr="004A12DC">
        <w:rPr>
          <w:b/>
          <w:bCs/>
          <w:noProof/>
        </w:rPr>
        <w:t>Tolar BB</w:t>
      </w:r>
      <w:r w:rsidRPr="004A12DC">
        <w:rPr>
          <w:noProof/>
        </w:rPr>
        <w:t xml:space="preserve">. 2014. Seasonal variation in the metatranscriptomes of a Thaumarchaeota population from SE USA coastal waters. ISME J </w:t>
      </w:r>
      <w:r w:rsidRPr="004A12DC">
        <w:rPr>
          <w:b/>
          <w:bCs/>
          <w:noProof/>
        </w:rPr>
        <w:t>8</w:t>
      </w:r>
      <w:r w:rsidRPr="004A12DC">
        <w:rPr>
          <w:noProof/>
        </w:rPr>
        <w:t>:685–98.</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10. </w:t>
      </w:r>
      <w:r w:rsidRPr="004A12DC">
        <w:rPr>
          <w:noProof/>
        </w:rPr>
        <w:tab/>
      </w:r>
      <w:r w:rsidRPr="004A12DC">
        <w:rPr>
          <w:b/>
          <w:bCs/>
          <w:noProof/>
        </w:rPr>
        <w:t>Bendall ML</w:t>
      </w:r>
      <w:r w:rsidRPr="004A12DC">
        <w:rPr>
          <w:noProof/>
        </w:rPr>
        <w:t xml:space="preserve">, </w:t>
      </w:r>
      <w:r w:rsidRPr="004A12DC">
        <w:rPr>
          <w:b/>
          <w:bCs/>
          <w:noProof/>
        </w:rPr>
        <w:t>Stevens SLR</w:t>
      </w:r>
      <w:r w:rsidRPr="004A12DC">
        <w:rPr>
          <w:noProof/>
        </w:rPr>
        <w:t xml:space="preserve">, </w:t>
      </w:r>
      <w:r w:rsidRPr="004A12DC">
        <w:rPr>
          <w:b/>
          <w:bCs/>
          <w:noProof/>
        </w:rPr>
        <w:t>Chan L</w:t>
      </w:r>
      <w:r w:rsidRPr="004A12DC">
        <w:rPr>
          <w:noProof/>
        </w:rPr>
        <w:t xml:space="preserve">, </w:t>
      </w:r>
      <w:r w:rsidRPr="004A12DC">
        <w:rPr>
          <w:b/>
          <w:bCs/>
          <w:noProof/>
        </w:rPr>
        <w:t>Malfatti S</w:t>
      </w:r>
      <w:r w:rsidRPr="004A12DC">
        <w:rPr>
          <w:noProof/>
        </w:rPr>
        <w:t xml:space="preserve">, </w:t>
      </w:r>
      <w:r w:rsidRPr="004A12DC">
        <w:rPr>
          <w:b/>
          <w:bCs/>
          <w:noProof/>
        </w:rPr>
        <w:t>Schwientek P</w:t>
      </w:r>
      <w:r w:rsidRPr="004A12DC">
        <w:rPr>
          <w:noProof/>
        </w:rPr>
        <w:t xml:space="preserve">, </w:t>
      </w:r>
      <w:r w:rsidRPr="004A12DC">
        <w:rPr>
          <w:b/>
          <w:bCs/>
          <w:noProof/>
        </w:rPr>
        <w:t>Tremblay J</w:t>
      </w:r>
      <w:r w:rsidRPr="004A12DC">
        <w:rPr>
          <w:noProof/>
        </w:rPr>
        <w:t xml:space="preserve">, </w:t>
      </w:r>
      <w:r w:rsidRPr="004A12DC">
        <w:rPr>
          <w:b/>
          <w:bCs/>
          <w:noProof/>
        </w:rPr>
        <w:t>Schackwitz W</w:t>
      </w:r>
      <w:r w:rsidRPr="004A12DC">
        <w:rPr>
          <w:noProof/>
        </w:rPr>
        <w:t xml:space="preserve">, </w:t>
      </w:r>
      <w:r w:rsidRPr="004A12DC">
        <w:rPr>
          <w:b/>
          <w:bCs/>
          <w:noProof/>
        </w:rPr>
        <w:t>Martin J</w:t>
      </w:r>
      <w:r w:rsidRPr="004A12DC">
        <w:rPr>
          <w:noProof/>
        </w:rPr>
        <w:t xml:space="preserve">, </w:t>
      </w:r>
      <w:r w:rsidRPr="004A12DC">
        <w:rPr>
          <w:b/>
          <w:bCs/>
          <w:noProof/>
        </w:rPr>
        <w:t>Pati A</w:t>
      </w:r>
      <w:r w:rsidRPr="004A12DC">
        <w:rPr>
          <w:noProof/>
        </w:rPr>
        <w:t xml:space="preserve">, </w:t>
      </w:r>
      <w:r w:rsidRPr="004A12DC">
        <w:rPr>
          <w:b/>
          <w:bCs/>
          <w:noProof/>
        </w:rPr>
        <w:t>Bushnell B</w:t>
      </w:r>
      <w:r w:rsidRPr="004A12DC">
        <w:rPr>
          <w:noProof/>
        </w:rPr>
        <w:t xml:space="preserve">, </w:t>
      </w:r>
      <w:r w:rsidRPr="004A12DC">
        <w:rPr>
          <w:b/>
          <w:bCs/>
          <w:noProof/>
        </w:rPr>
        <w:t>Froula J</w:t>
      </w:r>
      <w:r w:rsidRPr="004A12DC">
        <w:rPr>
          <w:noProof/>
        </w:rPr>
        <w:t xml:space="preserve">, </w:t>
      </w:r>
      <w:r w:rsidRPr="004A12DC">
        <w:rPr>
          <w:b/>
          <w:bCs/>
          <w:noProof/>
        </w:rPr>
        <w:t>Kang D</w:t>
      </w:r>
      <w:r w:rsidRPr="004A12DC">
        <w:rPr>
          <w:noProof/>
        </w:rPr>
        <w:t xml:space="preserve">, </w:t>
      </w:r>
      <w:r w:rsidRPr="004A12DC">
        <w:rPr>
          <w:b/>
          <w:bCs/>
          <w:noProof/>
        </w:rPr>
        <w:t>Tringe SG</w:t>
      </w:r>
      <w:r w:rsidRPr="004A12DC">
        <w:rPr>
          <w:noProof/>
        </w:rPr>
        <w:t xml:space="preserve">, </w:t>
      </w:r>
      <w:r w:rsidRPr="004A12DC">
        <w:rPr>
          <w:b/>
          <w:bCs/>
          <w:noProof/>
        </w:rPr>
        <w:t>Bertilsson S</w:t>
      </w:r>
      <w:r w:rsidRPr="004A12DC">
        <w:rPr>
          <w:noProof/>
        </w:rPr>
        <w:t xml:space="preserve">, </w:t>
      </w:r>
      <w:r w:rsidRPr="004A12DC">
        <w:rPr>
          <w:b/>
          <w:bCs/>
          <w:noProof/>
        </w:rPr>
        <w:t>Moran MA</w:t>
      </w:r>
      <w:r w:rsidRPr="004A12DC">
        <w:rPr>
          <w:noProof/>
        </w:rPr>
        <w:t xml:space="preserve">, </w:t>
      </w:r>
      <w:r w:rsidRPr="004A12DC">
        <w:rPr>
          <w:b/>
          <w:bCs/>
          <w:noProof/>
        </w:rPr>
        <w:t>Shade A</w:t>
      </w:r>
      <w:r w:rsidRPr="004A12DC">
        <w:rPr>
          <w:noProof/>
        </w:rPr>
        <w:t xml:space="preserve">, </w:t>
      </w:r>
      <w:r w:rsidRPr="004A12DC">
        <w:rPr>
          <w:b/>
          <w:bCs/>
          <w:noProof/>
        </w:rPr>
        <w:t>Newton RJ</w:t>
      </w:r>
      <w:r w:rsidRPr="004A12DC">
        <w:rPr>
          <w:noProof/>
        </w:rPr>
        <w:t xml:space="preserve">, </w:t>
      </w:r>
      <w:r w:rsidRPr="004A12DC">
        <w:rPr>
          <w:b/>
          <w:bCs/>
          <w:noProof/>
        </w:rPr>
        <w:t>Mcmahon KD</w:t>
      </w:r>
      <w:r w:rsidRPr="004A12DC">
        <w:rPr>
          <w:noProof/>
        </w:rPr>
        <w:t xml:space="preserve">, </w:t>
      </w:r>
      <w:r w:rsidRPr="004A12DC">
        <w:rPr>
          <w:b/>
          <w:bCs/>
          <w:noProof/>
        </w:rPr>
        <w:t>Malmstrom RR</w:t>
      </w:r>
      <w:r w:rsidRPr="004A12DC">
        <w:rPr>
          <w:noProof/>
        </w:rPr>
        <w:t>. 2016. Genome-wide selective sweeps and gene-specific sweeps in natural bacterial populations 1–13.</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11. </w:t>
      </w:r>
      <w:r w:rsidRPr="004A12DC">
        <w:rPr>
          <w:noProof/>
        </w:rPr>
        <w:tab/>
      </w:r>
      <w:r w:rsidRPr="004A12DC">
        <w:rPr>
          <w:b/>
          <w:bCs/>
          <w:noProof/>
        </w:rPr>
        <w:t>Shade A</w:t>
      </w:r>
      <w:r w:rsidRPr="004A12DC">
        <w:rPr>
          <w:noProof/>
        </w:rPr>
        <w:t xml:space="preserve">, </w:t>
      </w:r>
      <w:r w:rsidRPr="004A12DC">
        <w:rPr>
          <w:b/>
          <w:bCs/>
          <w:noProof/>
        </w:rPr>
        <w:t>Jones SE</w:t>
      </w:r>
      <w:r w:rsidRPr="004A12DC">
        <w:rPr>
          <w:noProof/>
        </w:rPr>
        <w:t xml:space="preserve">, </w:t>
      </w:r>
      <w:r w:rsidRPr="004A12DC">
        <w:rPr>
          <w:b/>
          <w:bCs/>
          <w:noProof/>
        </w:rPr>
        <w:t>McMahon KD</w:t>
      </w:r>
      <w:r w:rsidRPr="004A12DC">
        <w:rPr>
          <w:noProof/>
        </w:rPr>
        <w:t xml:space="preserve">. 2008. The influence of habitat heterogeneity on freshwater bacterial community composition and dynamics. Environ Microbiol </w:t>
      </w:r>
      <w:r w:rsidRPr="004A12DC">
        <w:rPr>
          <w:b/>
          <w:bCs/>
          <w:noProof/>
        </w:rPr>
        <w:t>10</w:t>
      </w:r>
      <w:r w:rsidRPr="004A12DC">
        <w:rPr>
          <w:noProof/>
        </w:rPr>
        <w:t>:1057–1067.</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12. </w:t>
      </w:r>
      <w:r w:rsidRPr="004A12DC">
        <w:rPr>
          <w:noProof/>
        </w:rPr>
        <w:tab/>
      </w:r>
      <w:r w:rsidRPr="004A12DC">
        <w:rPr>
          <w:b/>
          <w:bCs/>
          <w:noProof/>
        </w:rPr>
        <w:t>Shade A</w:t>
      </w:r>
      <w:r w:rsidRPr="004A12DC">
        <w:rPr>
          <w:noProof/>
        </w:rPr>
        <w:t xml:space="preserve">, </w:t>
      </w:r>
      <w:r w:rsidRPr="004A12DC">
        <w:rPr>
          <w:b/>
          <w:bCs/>
          <w:noProof/>
        </w:rPr>
        <w:t>Kent AD</w:t>
      </w:r>
      <w:r w:rsidRPr="004A12DC">
        <w:rPr>
          <w:noProof/>
        </w:rPr>
        <w:t xml:space="preserve">, </w:t>
      </w:r>
      <w:r w:rsidRPr="004A12DC">
        <w:rPr>
          <w:b/>
          <w:bCs/>
          <w:noProof/>
        </w:rPr>
        <w:t>Jones SE</w:t>
      </w:r>
      <w:r w:rsidRPr="004A12DC">
        <w:rPr>
          <w:noProof/>
        </w:rPr>
        <w:t xml:space="preserve">, </w:t>
      </w:r>
      <w:r w:rsidRPr="004A12DC">
        <w:rPr>
          <w:b/>
          <w:bCs/>
          <w:noProof/>
        </w:rPr>
        <w:t>Newton RJ</w:t>
      </w:r>
      <w:r w:rsidRPr="004A12DC">
        <w:rPr>
          <w:noProof/>
        </w:rPr>
        <w:t xml:space="preserve">, </w:t>
      </w:r>
      <w:r w:rsidRPr="004A12DC">
        <w:rPr>
          <w:b/>
          <w:bCs/>
          <w:noProof/>
        </w:rPr>
        <w:t>Triplett EW</w:t>
      </w:r>
      <w:r w:rsidRPr="004A12DC">
        <w:rPr>
          <w:noProof/>
        </w:rPr>
        <w:t xml:space="preserve">, </w:t>
      </w:r>
      <w:r w:rsidRPr="004A12DC">
        <w:rPr>
          <w:b/>
          <w:bCs/>
          <w:noProof/>
        </w:rPr>
        <w:t>McMahon KD</w:t>
      </w:r>
      <w:r w:rsidRPr="004A12DC">
        <w:rPr>
          <w:noProof/>
        </w:rPr>
        <w:t xml:space="preserve">. 2007. Interannual dynamics and phenology of bacterial communities in a eutrophic lake. Limnol Oceanogr </w:t>
      </w:r>
      <w:r w:rsidRPr="004A12DC">
        <w:rPr>
          <w:b/>
          <w:bCs/>
          <w:noProof/>
        </w:rPr>
        <w:t>52</w:t>
      </w:r>
      <w:r w:rsidRPr="004A12DC">
        <w:rPr>
          <w:noProof/>
        </w:rPr>
        <w:t>:487–494.</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13. </w:t>
      </w:r>
      <w:r w:rsidRPr="004A12DC">
        <w:rPr>
          <w:noProof/>
        </w:rPr>
        <w:tab/>
      </w:r>
      <w:r w:rsidRPr="004A12DC">
        <w:rPr>
          <w:b/>
          <w:bCs/>
          <w:noProof/>
        </w:rPr>
        <w:t>Caporaso JG</w:t>
      </w:r>
      <w:r w:rsidRPr="004A12DC">
        <w:rPr>
          <w:noProof/>
        </w:rPr>
        <w:t xml:space="preserve">, </w:t>
      </w:r>
      <w:r w:rsidRPr="004A12DC">
        <w:rPr>
          <w:b/>
          <w:bCs/>
          <w:noProof/>
        </w:rPr>
        <w:t>Lauber CL</w:t>
      </w:r>
      <w:r w:rsidRPr="004A12DC">
        <w:rPr>
          <w:noProof/>
        </w:rPr>
        <w:t xml:space="preserve">, </w:t>
      </w:r>
      <w:r w:rsidRPr="004A12DC">
        <w:rPr>
          <w:b/>
          <w:bCs/>
          <w:noProof/>
        </w:rPr>
        <w:t>Walters WA</w:t>
      </w:r>
      <w:r w:rsidRPr="004A12DC">
        <w:rPr>
          <w:noProof/>
        </w:rPr>
        <w:t xml:space="preserve">, </w:t>
      </w:r>
      <w:r w:rsidRPr="004A12DC">
        <w:rPr>
          <w:b/>
          <w:bCs/>
          <w:noProof/>
        </w:rPr>
        <w:t>Berg-Lyons D</w:t>
      </w:r>
      <w:r w:rsidRPr="004A12DC">
        <w:rPr>
          <w:noProof/>
        </w:rPr>
        <w:t xml:space="preserve">, </w:t>
      </w:r>
      <w:r w:rsidRPr="004A12DC">
        <w:rPr>
          <w:b/>
          <w:bCs/>
          <w:noProof/>
        </w:rPr>
        <w:t>Huntley J</w:t>
      </w:r>
      <w:r w:rsidRPr="004A12DC">
        <w:rPr>
          <w:noProof/>
        </w:rPr>
        <w:t xml:space="preserve">, </w:t>
      </w:r>
      <w:r w:rsidRPr="004A12DC">
        <w:rPr>
          <w:b/>
          <w:bCs/>
          <w:noProof/>
        </w:rPr>
        <w:t>Fierer N</w:t>
      </w:r>
      <w:r w:rsidRPr="004A12DC">
        <w:rPr>
          <w:noProof/>
        </w:rPr>
        <w:t xml:space="preserve">, </w:t>
      </w:r>
      <w:r w:rsidRPr="004A12DC">
        <w:rPr>
          <w:b/>
          <w:bCs/>
          <w:noProof/>
        </w:rPr>
        <w:t>Owens SM</w:t>
      </w:r>
      <w:r w:rsidRPr="004A12DC">
        <w:rPr>
          <w:noProof/>
        </w:rPr>
        <w:t xml:space="preserve">, </w:t>
      </w:r>
      <w:r w:rsidRPr="004A12DC">
        <w:rPr>
          <w:b/>
          <w:bCs/>
          <w:noProof/>
        </w:rPr>
        <w:t>Betley J</w:t>
      </w:r>
      <w:r w:rsidRPr="004A12DC">
        <w:rPr>
          <w:noProof/>
        </w:rPr>
        <w:t xml:space="preserve">, </w:t>
      </w:r>
      <w:r w:rsidRPr="004A12DC">
        <w:rPr>
          <w:b/>
          <w:bCs/>
          <w:noProof/>
        </w:rPr>
        <w:t>Fraser L</w:t>
      </w:r>
      <w:r w:rsidRPr="004A12DC">
        <w:rPr>
          <w:noProof/>
        </w:rPr>
        <w:t xml:space="preserve">, </w:t>
      </w:r>
      <w:r w:rsidRPr="004A12DC">
        <w:rPr>
          <w:b/>
          <w:bCs/>
          <w:noProof/>
        </w:rPr>
        <w:t>Bauer M</w:t>
      </w:r>
      <w:r w:rsidRPr="004A12DC">
        <w:rPr>
          <w:noProof/>
        </w:rPr>
        <w:t xml:space="preserve">, </w:t>
      </w:r>
      <w:r w:rsidRPr="004A12DC">
        <w:rPr>
          <w:b/>
          <w:bCs/>
          <w:noProof/>
        </w:rPr>
        <w:t>Gormley N</w:t>
      </w:r>
      <w:r w:rsidRPr="004A12DC">
        <w:rPr>
          <w:noProof/>
        </w:rPr>
        <w:t xml:space="preserve">, </w:t>
      </w:r>
      <w:r w:rsidRPr="004A12DC">
        <w:rPr>
          <w:b/>
          <w:bCs/>
          <w:noProof/>
        </w:rPr>
        <w:t>Gilbert JA</w:t>
      </w:r>
      <w:r w:rsidRPr="004A12DC">
        <w:rPr>
          <w:noProof/>
        </w:rPr>
        <w:t xml:space="preserve">, </w:t>
      </w:r>
      <w:r w:rsidRPr="004A12DC">
        <w:rPr>
          <w:b/>
          <w:bCs/>
          <w:noProof/>
        </w:rPr>
        <w:t>Smith G</w:t>
      </w:r>
      <w:r w:rsidRPr="004A12DC">
        <w:rPr>
          <w:noProof/>
        </w:rPr>
        <w:t xml:space="preserve">, </w:t>
      </w:r>
      <w:r w:rsidRPr="004A12DC">
        <w:rPr>
          <w:b/>
          <w:bCs/>
          <w:noProof/>
        </w:rPr>
        <w:t>Knight R</w:t>
      </w:r>
      <w:r w:rsidRPr="004A12DC">
        <w:rPr>
          <w:noProof/>
        </w:rPr>
        <w:t xml:space="preserve">. 2012. Ultra-high-throughput microbial community analysis on the Illumina HiSeq and MiSeq platforms. ISME J </w:t>
      </w:r>
      <w:r w:rsidRPr="004A12DC">
        <w:rPr>
          <w:b/>
          <w:bCs/>
          <w:noProof/>
        </w:rPr>
        <w:t>6</w:t>
      </w:r>
      <w:r w:rsidRPr="004A12DC">
        <w:rPr>
          <w:noProof/>
        </w:rPr>
        <w:t>:1621–1624.</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14. </w:t>
      </w:r>
      <w:r w:rsidRPr="004A12DC">
        <w:rPr>
          <w:noProof/>
        </w:rPr>
        <w:tab/>
      </w:r>
      <w:r w:rsidRPr="004A12DC">
        <w:rPr>
          <w:b/>
          <w:bCs/>
          <w:noProof/>
        </w:rPr>
        <w:t>Schloss PD</w:t>
      </w:r>
      <w:r w:rsidRPr="004A12DC">
        <w:rPr>
          <w:noProof/>
        </w:rPr>
        <w:t xml:space="preserve">, </w:t>
      </w:r>
      <w:r w:rsidRPr="004A12DC">
        <w:rPr>
          <w:b/>
          <w:bCs/>
          <w:noProof/>
        </w:rPr>
        <w:t>Westcott SL</w:t>
      </w:r>
      <w:r w:rsidRPr="004A12DC">
        <w:rPr>
          <w:noProof/>
        </w:rPr>
        <w:t xml:space="preserve">, </w:t>
      </w:r>
      <w:r w:rsidRPr="004A12DC">
        <w:rPr>
          <w:b/>
          <w:bCs/>
          <w:noProof/>
        </w:rPr>
        <w:t>Ryabin T</w:t>
      </w:r>
      <w:r w:rsidRPr="004A12DC">
        <w:rPr>
          <w:noProof/>
        </w:rPr>
        <w:t xml:space="preserve">, </w:t>
      </w:r>
      <w:r w:rsidRPr="004A12DC">
        <w:rPr>
          <w:b/>
          <w:bCs/>
          <w:noProof/>
        </w:rPr>
        <w:t>Hall JR</w:t>
      </w:r>
      <w:r w:rsidRPr="004A12DC">
        <w:rPr>
          <w:noProof/>
        </w:rPr>
        <w:t xml:space="preserve">, </w:t>
      </w:r>
      <w:r w:rsidRPr="004A12DC">
        <w:rPr>
          <w:b/>
          <w:bCs/>
          <w:noProof/>
        </w:rPr>
        <w:t>Hartmann M</w:t>
      </w:r>
      <w:r w:rsidRPr="004A12DC">
        <w:rPr>
          <w:noProof/>
        </w:rPr>
        <w:t xml:space="preserve">, </w:t>
      </w:r>
      <w:r w:rsidRPr="004A12DC">
        <w:rPr>
          <w:b/>
          <w:bCs/>
          <w:noProof/>
        </w:rPr>
        <w:t>Hollister EB</w:t>
      </w:r>
      <w:r w:rsidRPr="004A12DC">
        <w:rPr>
          <w:noProof/>
        </w:rPr>
        <w:t xml:space="preserve">, </w:t>
      </w:r>
      <w:r w:rsidRPr="004A12DC">
        <w:rPr>
          <w:b/>
          <w:bCs/>
          <w:noProof/>
        </w:rPr>
        <w:t>Lesniewski RA</w:t>
      </w:r>
      <w:r w:rsidRPr="004A12DC">
        <w:rPr>
          <w:noProof/>
        </w:rPr>
        <w:t xml:space="preserve">, </w:t>
      </w:r>
      <w:r w:rsidRPr="004A12DC">
        <w:rPr>
          <w:b/>
          <w:bCs/>
          <w:noProof/>
        </w:rPr>
        <w:t>Oakley BB</w:t>
      </w:r>
      <w:r w:rsidRPr="004A12DC">
        <w:rPr>
          <w:noProof/>
        </w:rPr>
        <w:t xml:space="preserve">, </w:t>
      </w:r>
      <w:r w:rsidRPr="004A12DC">
        <w:rPr>
          <w:b/>
          <w:bCs/>
          <w:noProof/>
        </w:rPr>
        <w:t>Parks DH</w:t>
      </w:r>
      <w:r w:rsidRPr="004A12DC">
        <w:rPr>
          <w:noProof/>
        </w:rPr>
        <w:t xml:space="preserve">, </w:t>
      </w:r>
      <w:r w:rsidRPr="004A12DC">
        <w:rPr>
          <w:b/>
          <w:bCs/>
          <w:noProof/>
        </w:rPr>
        <w:t>Robinson CJ</w:t>
      </w:r>
      <w:r w:rsidRPr="004A12DC">
        <w:rPr>
          <w:noProof/>
        </w:rPr>
        <w:t xml:space="preserve">, </w:t>
      </w:r>
      <w:r w:rsidRPr="004A12DC">
        <w:rPr>
          <w:b/>
          <w:bCs/>
          <w:noProof/>
        </w:rPr>
        <w:t>Sahl JW</w:t>
      </w:r>
      <w:r w:rsidRPr="004A12DC">
        <w:rPr>
          <w:noProof/>
        </w:rPr>
        <w:t xml:space="preserve">, </w:t>
      </w:r>
      <w:r w:rsidRPr="004A12DC">
        <w:rPr>
          <w:b/>
          <w:bCs/>
          <w:noProof/>
        </w:rPr>
        <w:t>Stres B</w:t>
      </w:r>
      <w:r w:rsidRPr="004A12DC">
        <w:rPr>
          <w:noProof/>
        </w:rPr>
        <w:t xml:space="preserve">, </w:t>
      </w:r>
      <w:r w:rsidRPr="004A12DC">
        <w:rPr>
          <w:b/>
          <w:bCs/>
          <w:noProof/>
        </w:rPr>
        <w:t>Thallinger GG</w:t>
      </w:r>
      <w:r w:rsidRPr="004A12DC">
        <w:rPr>
          <w:noProof/>
        </w:rPr>
        <w:t xml:space="preserve">, </w:t>
      </w:r>
      <w:r w:rsidRPr="004A12DC">
        <w:rPr>
          <w:b/>
          <w:bCs/>
          <w:noProof/>
        </w:rPr>
        <w:t>Van Horn DJ</w:t>
      </w:r>
      <w:r w:rsidRPr="004A12DC">
        <w:rPr>
          <w:noProof/>
        </w:rPr>
        <w:t xml:space="preserve">, </w:t>
      </w:r>
      <w:r w:rsidRPr="004A12DC">
        <w:rPr>
          <w:b/>
          <w:bCs/>
          <w:noProof/>
        </w:rPr>
        <w:t>Weber CF</w:t>
      </w:r>
      <w:r w:rsidRPr="004A12DC">
        <w:rPr>
          <w:noProof/>
        </w:rPr>
        <w:t xml:space="preserve">. 2009. Introducing mothur: Open-source, platform-independent, community-supported software for describing and comparing microbial communities. Appl Environ Microbiol </w:t>
      </w:r>
      <w:r w:rsidRPr="004A12DC">
        <w:rPr>
          <w:b/>
          <w:bCs/>
          <w:noProof/>
        </w:rPr>
        <w:t>75</w:t>
      </w:r>
      <w:r w:rsidRPr="004A12DC">
        <w:rPr>
          <w:noProof/>
        </w:rPr>
        <w:t>:7537–7541.</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15. </w:t>
      </w:r>
      <w:r w:rsidRPr="004A12DC">
        <w:rPr>
          <w:noProof/>
        </w:rPr>
        <w:tab/>
      </w:r>
      <w:r w:rsidRPr="004A12DC">
        <w:rPr>
          <w:b/>
          <w:bCs/>
          <w:noProof/>
        </w:rPr>
        <w:t>DeSantis TZ</w:t>
      </w:r>
      <w:r w:rsidRPr="004A12DC">
        <w:rPr>
          <w:noProof/>
        </w:rPr>
        <w:t xml:space="preserve">, </w:t>
      </w:r>
      <w:r w:rsidRPr="004A12DC">
        <w:rPr>
          <w:b/>
          <w:bCs/>
          <w:noProof/>
        </w:rPr>
        <w:t>Hugenholtz P</w:t>
      </w:r>
      <w:r w:rsidRPr="004A12DC">
        <w:rPr>
          <w:noProof/>
        </w:rPr>
        <w:t xml:space="preserve">, </w:t>
      </w:r>
      <w:r w:rsidRPr="004A12DC">
        <w:rPr>
          <w:b/>
          <w:bCs/>
          <w:noProof/>
        </w:rPr>
        <w:t>Larsen N</w:t>
      </w:r>
      <w:r w:rsidRPr="004A12DC">
        <w:rPr>
          <w:noProof/>
        </w:rPr>
        <w:t xml:space="preserve">, </w:t>
      </w:r>
      <w:r w:rsidRPr="004A12DC">
        <w:rPr>
          <w:b/>
          <w:bCs/>
          <w:noProof/>
        </w:rPr>
        <w:t>Rojas M</w:t>
      </w:r>
      <w:r w:rsidRPr="004A12DC">
        <w:rPr>
          <w:noProof/>
        </w:rPr>
        <w:t xml:space="preserve">, </w:t>
      </w:r>
      <w:r w:rsidRPr="004A12DC">
        <w:rPr>
          <w:b/>
          <w:bCs/>
          <w:noProof/>
        </w:rPr>
        <w:t>Brodie EL</w:t>
      </w:r>
      <w:r w:rsidRPr="004A12DC">
        <w:rPr>
          <w:noProof/>
        </w:rPr>
        <w:t xml:space="preserve">, </w:t>
      </w:r>
      <w:r w:rsidRPr="004A12DC">
        <w:rPr>
          <w:b/>
          <w:bCs/>
          <w:noProof/>
        </w:rPr>
        <w:t>Keller K</w:t>
      </w:r>
      <w:r w:rsidRPr="004A12DC">
        <w:rPr>
          <w:noProof/>
        </w:rPr>
        <w:t xml:space="preserve">, </w:t>
      </w:r>
      <w:r w:rsidRPr="004A12DC">
        <w:rPr>
          <w:b/>
          <w:bCs/>
          <w:noProof/>
        </w:rPr>
        <w:t>Huber T</w:t>
      </w:r>
      <w:r w:rsidRPr="004A12DC">
        <w:rPr>
          <w:noProof/>
        </w:rPr>
        <w:t xml:space="preserve">, </w:t>
      </w:r>
      <w:r w:rsidRPr="004A12DC">
        <w:rPr>
          <w:b/>
          <w:bCs/>
          <w:noProof/>
        </w:rPr>
        <w:t>Dalevi D</w:t>
      </w:r>
      <w:r w:rsidRPr="004A12DC">
        <w:rPr>
          <w:noProof/>
        </w:rPr>
        <w:t xml:space="preserve">, </w:t>
      </w:r>
      <w:r w:rsidRPr="004A12DC">
        <w:rPr>
          <w:b/>
          <w:bCs/>
          <w:noProof/>
        </w:rPr>
        <w:t>Hu P</w:t>
      </w:r>
      <w:r w:rsidRPr="004A12DC">
        <w:rPr>
          <w:noProof/>
        </w:rPr>
        <w:t xml:space="preserve">, </w:t>
      </w:r>
      <w:r w:rsidRPr="004A12DC">
        <w:rPr>
          <w:b/>
          <w:bCs/>
          <w:noProof/>
        </w:rPr>
        <w:t>Andersen GL</w:t>
      </w:r>
      <w:r w:rsidRPr="004A12DC">
        <w:rPr>
          <w:noProof/>
        </w:rPr>
        <w:t xml:space="preserve">. 2006. Greengenes, a chimera-checked 16S rRNA gene database and workbench compatible with ARB. Appl Environ Microbiol </w:t>
      </w:r>
      <w:r w:rsidRPr="004A12DC">
        <w:rPr>
          <w:b/>
          <w:bCs/>
          <w:noProof/>
        </w:rPr>
        <w:t>72</w:t>
      </w:r>
      <w:r w:rsidRPr="004A12DC">
        <w:rPr>
          <w:noProof/>
        </w:rPr>
        <w:t>:5069–5072.</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16. </w:t>
      </w:r>
      <w:r w:rsidRPr="004A12DC">
        <w:rPr>
          <w:noProof/>
        </w:rPr>
        <w:tab/>
      </w:r>
      <w:r w:rsidRPr="004A12DC">
        <w:rPr>
          <w:b/>
          <w:bCs/>
          <w:noProof/>
        </w:rPr>
        <w:t>Newton RJ</w:t>
      </w:r>
      <w:r w:rsidRPr="004A12DC">
        <w:rPr>
          <w:noProof/>
        </w:rPr>
        <w:t xml:space="preserve">, </w:t>
      </w:r>
      <w:r w:rsidRPr="004A12DC">
        <w:rPr>
          <w:b/>
          <w:bCs/>
          <w:noProof/>
        </w:rPr>
        <w:t>Jones SE</w:t>
      </w:r>
      <w:r w:rsidRPr="004A12DC">
        <w:rPr>
          <w:noProof/>
        </w:rPr>
        <w:t xml:space="preserve">, </w:t>
      </w:r>
      <w:r w:rsidRPr="004A12DC">
        <w:rPr>
          <w:b/>
          <w:bCs/>
          <w:noProof/>
        </w:rPr>
        <w:t>Eiler A</w:t>
      </w:r>
      <w:r w:rsidRPr="004A12DC">
        <w:rPr>
          <w:noProof/>
        </w:rPr>
        <w:t xml:space="preserve">, </w:t>
      </w:r>
      <w:r w:rsidRPr="004A12DC">
        <w:rPr>
          <w:b/>
          <w:bCs/>
          <w:noProof/>
        </w:rPr>
        <w:t>McMahon KD</w:t>
      </w:r>
      <w:r w:rsidRPr="004A12DC">
        <w:rPr>
          <w:noProof/>
        </w:rPr>
        <w:t xml:space="preserve">, </w:t>
      </w:r>
      <w:r w:rsidRPr="004A12DC">
        <w:rPr>
          <w:b/>
          <w:bCs/>
          <w:noProof/>
        </w:rPr>
        <w:t>Bertilsson S</w:t>
      </w:r>
      <w:r w:rsidRPr="004A12DC">
        <w:rPr>
          <w:noProof/>
        </w:rPr>
        <w:t xml:space="preserve">. 2011. A guide to the natural history of freshwater lake bacteria. Microbiol Mol Biol Rev </w:t>
      </w:r>
      <w:r w:rsidRPr="004A12DC">
        <w:rPr>
          <w:b/>
          <w:bCs/>
          <w:noProof/>
        </w:rPr>
        <w:t>75</w:t>
      </w:r>
      <w:r w:rsidRPr="004A12DC">
        <w:rPr>
          <w:noProof/>
        </w:rPr>
        <w:t>:14–49.</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17. </w:t>
      </w:r>
      <w:r w:rsidRPr="004A12DC">
        <w:rPr>
          <w:noProof/>
        </w:rPr>
        <w:tab/>
      </w:r>
      <w:r w:rsidRPr="004A12DC">
        <w:rPr>
          <w:b/>
          <w:bCs/>
          <w:noProof/>
        </w:rPr>
        <w:t>Camacho C</w:t>
      </w:r>
      <w:r w:rsidRPr="004A12DC">
        <w:rPr>
          <w:noProof/>
        </w:rPr>
        <w:t xml:space="preserve">, </w:t>
      </w:r>
      <w:r w:rsidRPr="004A12DC">
        <w:rPr>
          <w:b/>
          <w:bCs/>
          <w:noProof/>
        </w:rPr>
        <w:t>Coulouris G</w:t>
      </w:r>
      <w:r w:rsidRPr="004A12DC">
        <w:rPr>
          <w:noProof/>
        </w:rPr>
        <w:t xml:space="preserve">, </w:t>
      </w:r>
      <w:r w:rsidRPr="004A12DC">
        <w:rPr>
          <w:b/>
          <w:bCs/>
          <w:noProof/>
        </w:rPr>
        <w:t>Avagyan V</w:t>
      </w:r>
      <w:r w:rsidRPr="004A12DC">
        <w:rPr>
          <w:noProof/>
        </w:rPr>
        <w:t xml:space="preserve">, </w:t>
      </w:r>
      <w:r w:rsidRPr="004A12DC">
        <w:rPr>
          <w:b/>
          <w:bCs/>
          <w:noProof/>
        </w:rPr>
        <w:t>Ma N</w:t>
      </w:r>
      <w:r w:rsidRPr="004A12DC">
        <w:rPr>
          <w:noProof/>
        </w:rPr>
        <w:t xml:space="preserve">, </w:t>
      </w:r>
      <w:r w:rsidRPr="004A12DC">
        <w:rPr>
          <w:b/>
          <w:bCs/>
          <w:noProof/>
        </w:rPr>
        <w:t>Papadopoulos J</w:t>
      </w:r>
      <w:r w:rsidRPr="004A12DC">
        <w:rPr>
          <w:noProof/>
        </w:rPr>
        <w:t xml:space="preserve">, </w:t>
      </w:r>
      <w:r w:rsidRPr="004A12DC">
        <w:rPr>
          <w:b/>
          <w:bCs/>
          <w:noProof/>
        </w:rPr>
        <w:t>Bealer K</w:t>
      </w:r>
      <w:r w:rsidRPr="004A12DC">
        <w:rPr>
          <w:noProof/>
        </w:rPr>
        <w:t xml:space="preserve">, </w:t>
      </w:r>
      <w:r w:rsidRPr="004A12DC">
        <w:rPr>
          <w:b/>
          <w:bCs/>
          <w:noProof/>
        </w:rPr>
        <w:t>Madden TL</w:t>
      </w:r>
      <w:r w:rsidRPr="004A12DC">
        <w:rPr>
          <w:noProof/>
        </w:rPr>
        <w:t xml:space="preserve">. 2009. BLAST plus : architecture and applications. BMC Bioinformatics </w:t>
      </w:r>
      <w:r w:rsidRPr="004A12DC">
        <w:rPr>
          <w:b/>
          <w:bCs/>
          <w:noProof/>
        </w:rPr>
        <w:t>10</w:t>
      </w:r>
      <w:r w:rsidRPr="004A12DC">
        <w:rPr>
          <w:noProof/>
        </w:rPr>
        <w:t>:-.</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18. </w:t>
      </w:r>
      <w:r w:rsidRPr="004A12DC">
        <w:rPr>
          <w:noProof/>
        </w:rPr>
        <w:tab/>
      </w:r>
      <w:r w:rsidRPr="004A12DC">
        <w:rPr>
          <w:b/>
          <w:bCs/>
          <w:noProof/>
        </w:rPr>
        <w:t>Wang Q</w:t>
      </w:r>
      <w:r w:rsidRPr="004A12DC">
        <w:rPr>
          <w:noProof/>
        </w:rPr>
        <w:t xml:space="preserve">, </w:t>
      </w:r>
      <w:r w:rsidRPr="004A12DC">
        <w:rPr>
          <w:b/>
          <w:bCs/>
          <w:noProof/>
        </w:rPr>
        <w:t>Garrity GM</w:t>
      </w:r>
      <w:r w:rsidRPr="004A12DC">
        <w:rPr>
          <w:noProof/>
        </w:rPr>
        <w:t xml:space="preserve">, </w:t>
      </w:r>
      <w:r w:rsidRPr="004A12DC">
        <w:rPr>
          <w:b/>
          <w:bCs/>
          <w:noProof/>
        </w:rPr>
        <w:t>Tiedje JM</w:t>
      </w:r>
      <w:r w:rsidRPr="004A12DC">
        <w:rPr>
          <w:noProof/>
        </w:rPr>
        <w:t xml:space="preserve">, </w:t>
      </w:r>
      <w:r w:rsidRPr="004A12DC">
        <w:rPr>
          <w:b/>
          <w:bCs/>
          <w:noProof/>
        </w:rPr>
        <w:t>Cole JR</w:t>
      </w:r>
      <w:r w:rsidRPr="004A12DC">
        <w:rPr>
          <w:noProof/>
        </w:rPr>
        <w:t xml:space="preserve">. 2007. Naive Bayesian Classifier for Rapid Assignment of rRNA Sequences into the New Bacterial Taxonomy. Appl Environ Microbiol </w:t>
      </w:r>
      <w:r w:rsidRPr="004A12DC">
        <w:rPr>
          <w:b/>
          <w:bCs/>
          <w:noProof/>
        </w:rPr>
        <w:t>73</w:t>
      </w:r>
      <w:r w:rsidRPr="004A12DC">
        <w:rPr>
          <w:noProof/>
        </w:rPr>
        <w:t>:5261–5267.</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19. </w:t>
      </w:r>
      <w:r w:rsidRPr="004A12DC">
        <w:rPr>
          <w:noProof/>
        </w:rPr>
        <w:tab/>
      </w:r>
      <w:r w:rsidRPr="004A12DC">
        <w:rPr>
          <w:b/>
          <w:bCs/>
          <w:noProof/>
        </w:rPr>
        <w:t>Lozupone C</w:t>
      </w:r>
      <w:r w:rsidRPr="004A12DC">
        <w:rPr>
          <w:noProof/>
        </w:rPr>
        <w:t xml:space="preserve">, </w:t>
      </w:r>
      <w:r w:rsidRPr="004A12DC">
        <w:rPr>
          <w:b/>
          <w:bCs/>
          <w:noProof/>
        </w:rPr>
        <w:t>Knight R</w:t>
      </w:r>
      <w:r w:rsidRPr="004A12DC">
        <w:rPr>
          <w:noProof/>
        </w:rPr>
        <w:t xml:space="preserve">. 2005. UniFrac : a New Phylogenetic Method for Comparing Microbial Communities UniFrac : a New Phylogenetic Method for Comparing Microbial Communities. Appl Environ Microbiol </w:t>
      </w:r>
      <w:r w:rsidRPr="004A12DC">
        <w:rPr>
          <w:b/>
          <w:bCs/>
          <w:noProof/>
        </w:rPr>
        <w:t>71</w:t>
      </w:r>
      <w:r w:rsidRPr="004A12DC">
        <w:rPr>
          <w:noProof/>
        </w:rPr>
        <w:t>:8228–8235.</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20. </w:t>
      </w:r>
      <w:r w:rsidRPr="004A12DC">
        <w:rPr>
          <w:noProof/>
        </w:rPr>
        <w:tab/>
      </w:r>
      <w:r w:rsidRPr="004A12DC">
        <w:rPr>
          <w:b/>
          <w:bCs/>
          <w:noProof/>
        </w:rPr>
        <w:t>De Cáceres M</w:t>
      </w:r>
      <w:r w:rsidRPr="004A12DC">
        <w:rPr>
          <w:noProof/>
        </w:rPr>
        <w:t xml:space="preserve">, </w:t>
      </w:r>
      <w:r w:rsidRPr="004A12DC">
        <w:rPr>
          <w:b/>
          <w:bCs/>
          <w:noProof/>
        </w:rPr>
        <w:t>Legendre P</w:t>
      </w:r>
      <w:r w:rsidRPr="004A12DC">
        <w:rPr>
          <w:noProof/>
        </w:rPr>
        <w:t xml:space="preserve">. 2009. Associations between species and groups of sites: indices and statistical inference. Ecology </w:t>
      </w:r>
      <w:r w:rsidRPr="004A12DC">
        <w:rPr>
          <w:b/>
          <w:bCs/>
          <w:noProof/>
        </w:rPr>
        <w:t>90</w:t>
      </w:r>
      <w:r w:rsidRPr="004A12DC">
        <w:rPr>
          <w:noProof/>
        </w:rPr>
        <w:t>:3566–3574.</w:t>
      </w:r>
    </w:p>
    <w:p w:rsidR="004A12DC" w:rsidRPr="004A12DC" w:rsidRDefault="004A12DC" w:rsidP="004A12DC">
      <w:r>
        <w:lastRenderedPageBreak/>
        <w:fldChar w:fldCharType="end"/>
      </w:r>
    </w:p>
    <w:sectPr w:rsidR="004A12DC" w:rsidRPr="004A12DC" w:rsidSect="000D4BB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82B1F"/>
    <w:rsid w:val="000A2B26"/>
    <w:rsid w:val="000D4BB0"/>
    <w:rsid w:val="00103B13"/>
    <w:rsid w:val="002B1DF8"/>
    <w:rsid w:val="002B357B"/>
    <w:rsid w:val="002E00D6"/>
    <w:rsid w:val="003056F7"/>
    <w:rsid w:val="00350E21"/>
    <w:rsid w:val="00353516"/>
    <w:rsid w:val="003B2440"/>
    <w:rsid w:val="004A12DC"/>
    <w:rsid w:val="004E4294"/>
    <w:rsid w:val="004E63A7"/>
    <w:rsid w:val="005B4D51"/>
    <w:rsid w:val="005D0CDC"/>
    <w:rsid w:val="005E5305"/>
    <w:rsid w:val="006456E8"/>
    <w:rsid w:val="007D3071"/>
    <w:rsid w:val="007F5BF0"/>
    <w:rsid w:val="008023C5"/>
    <w:rsid w:val="008C78A4"/>
    <w:rsid w:val="008D1C6C"/>
    <w:rsid w:val="009760A9"/>
    <w:rsid w:val="00981527"/>
    <w:rsid w:val="009C3131"/>
    <w:rsid w:val="009D61B5"/>
    <w:rsid w:val="009F0972"/>
    <w:rsid w:val="00A304E5"/>
    <w:rsid w:val="00AA2B68"/>
    <w:rsid w:val="00AA6F0D"/>
    <w:rsid w:val="00AC68E3"/>
    <w:rsid w:val="00AE2E3F"/>
    <w:rsid w:val="00B302D0"/>
    <w:rsid w:val="00BE72D5"/>
    <w:rsid w:val="00C229E2"/>
    <w:rsid w:val="00C51B82"/>
    <w:rsid w:val="00C77A11"/>
    <w:rsid w:val="00C86B55"/>
    <w:rsid w:val="00DF1E78"/>
    <w:rsid w:val="00E30E92"/>
    <w:rsid w:val="00EC1276"/>
    <w:rsid w:val="00F72F3F"/>
    <w:rsid w:val="00F87E83"/>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294"/>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github.com/McMahonLab/16STaxAs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ocore/deblur"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CB97A-579E-45FA-9188-45D4CBBF4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25</Pages>
  <Words>12959</Words>
  <Characters>73872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cp:revision>
  <dcterms:created xsi:type="dcterms:W3CDTF">2016-10-10T18:28:00Z</dcterms:created>
  <dcterms:modified xsi:type="dcterms:W3CDTF">2016-10-13T18:38:00Z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