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39FD" w:rsidRDefault="006139FD" w:rsidP="006139FD">
      <w:pPr>
        <w:pStyle w:val="Title"/>
        <w:rPr>
          <w:rFonts w:ascii="Times New Roman" w:hAnsi="Times New Roman" w:cs="Times New Roman"/>
          <w:sz w:val="36"/>
          <w:szCs w:val="36"/>
        </w:rPr>
      </w:pPr>
      <w:r w:rsidRPr="006139FD">
        <w:rPr>
          <w:rFonts w:ascii="Times New Roman" w:hAnsi="Times New Roman" w:cs="Times New Roman"/>
          <w:sz w:val="36"/>
          <w:szCs w:val="36"/>
        </w:rPr>
        <w:t>Freshwater lineages show consistent traits, but variable abundance patterns</w:t>
      </w:r>
    </w:p>
    <w:p w:rsidR="006139FD" w:rsidRDefault="006139FD" w:rsidP="006139FD"/>
    <w:p w:rsidR="006139FD" w:rsidRDefault="006139FD" w:rsidP="006139FD">
      <w:pPr>
        <w:spacing w:line="480" w:lineRule="auto"/>
      </w:pPr>
      <w:r w:rsidRPr="007335ED">
        <w:t>Alex</w:t>
      </w:r>
      <w:r>
        <w:t>andra M.</w:t>
      </w:r>
      <w:r w:rsidRPr="007335ED">
        <w:t xml:space="preserve"> Linz, Benjamin </w:t>
      </w:r>
      <w:proofErr w:type="spellStart"/>
      <w:r w:rsidRPr="007335ED">
        <w:t>Crary</w:t>
      </w:r>
      <w:proofErr w:type="spellEnd"/>
      <w:r w:rsidRPr="007335ED">
        <w:t xml:space="preserve">, Ashley Shade, </w:t>
      </w:r>
      <w:r>
        <w:t xml:space="preserve">Sarah Owens, </w:t>
      </w:r>
      <w:r w:rsidRPr="007335ED">
        <w:t xml:space="preserve">Jack </w:t>
      </w:r>
      <w:r>
        <w:t xml:space="preserve">A. </w:t>
      </w:r>
      <w:r w:rsidRPr="007335ED">
        <w:t>Gilbert, Rob Knight, and Katherine D. McMahon</w:t>
      </w:r>
      <w:r>
        <w:t>*</w:t>
      </w:r>
    </w:p>
    <w:p w:rsidR="006139FD" w:rsidRDefault="006139FD" w:rsidP="006139FD">
      <w:pPr>
        <w:spacing w:line="480" w:lineRule="auto"/>
      </w:pPr>
    </w:p>
    <w:p w:rsidR="006139FD" w:rsidRDefault="006139FD" w:rsidP="006139FD"/>
    <w:p w:rsidR="006139FD" w:rsidRDefault="006139FD" w:rsidP="006139FD"/>
    <w:p w:rsidR="006139FD" w:rsidRDefault="006139FD" w:rsidP="006139FD"/>
    <w:p w:rsidR="006139FD" w:rsidRPr="00A16AAA" w:rsidRDefault="006139FD" w:rsidP="006139FD"/>
    <w:p w:rsidR="006139FD" w:rsidRPr="00A16AAA" w:rsidRDefault="006139FD" w:rsidP="006139FD">
      <w:pPr>
        <w:spacing w:line="480" w:lineRule="auto"/>
      </w:pPr>
      <w:r w:rsidRPr="00A16AAA">
        <w:t xml:space="preserve">* </w:t>
      </w:r>
      <w:r>
        <w:t>corresponding author</w:t>
      </w:r>
      <w:r w:rsidRPr="00A16AAA">
        <w:t>: Katherine McMahon, Departments of Civil and Environmental Engineering, and Bacteriology, University of Wisconsin 1550 Linden Drive Room 5552 Madison, WI 53706, Email: trina.mcmahon@wisc.edu</w:t>
      </w:r>
    </w:p>
    <w:p w:rsidR="006139FD" w:rsidRPr="00A16AAA" w:rsidRDefault="006139FD" w:rsidP="006139FD"/>
    <w:p w:rsidR="006139FD" w:rsidRPr="00A16AAA" w:rsidRDefault="006139FD" w:rsidP="006139FD">
      <w:pPr>
        <w:pStyle w:val="ManuscriptText"/>
        <w:ind w:firstLine="0"/>
      </w:pPr>
      <w:r w:rsidRPr="00A16AAA">
        <w:t>Running title:</w:t>
      </w:r>
      <w:r>
        <w:t xml:space="preserve"> </w:t>
      </w:r>
      <w:r>
        <w:t>Freshwater lineages show consistent traits</w:t>
      </w:r>
    </w:p>
    <w:p w:rsidR="006139FD" w:rsidRDefault="006139FD" w:rsidP="006139FD">
      <w:pPr>
        <w:pStyle w:val="ManuscriptText"/>
        <w:ind w:firstLine="0"/>
      </w:pPr>
      <w:r>
        <w:t>Keywords:</w:t>
      </w:r>
    </w:p>
    <w:p w:rsidR="006139FD" w:rsidRDefault="00E01775" w:rsidP="006139FD">
      <w:r>
        <w:t>Abstract word count: 199</w:t>
      </w:r>
    </w:p>
    <w:p w:rsidR="006139FD" w:rsidRDefault="00345273" w:rsidP="006139FD">
      <w:r>
        <w:t>Importance word count: 116</w:t>
      </w:r>
    </w:p>
    <w:p w:rsidR="006139FD" w:rsidRDefault="006139FD" w:rsidP="006139FD">
      <w:r>
        <w:t>Article word count: 5338</w:t>
      </w:r>
    </w:p>
    <w:p w:rsidR="006139FD" w:rsidRDefault="006139FD" w:rsidP="006139FD"/>
    <w:p w:rsidR="006139FD" w:rsidRDefault="006139FD" w:rsidP="006139FD"/>
    <w:p w:rsidR="006139FD" w:rsidRDefault="006139FD" w:rsidP="006139FD"/>
    <w:p w:rsidR="006139FD" w:rsidRDefault="006139FD" w:rsidP="006139FD"/>
    <w:p w:rsidR="006139FD" w:rsidRDefault="006139FD" w:rsidP="006139FD"/>
    <w:p w:rsidR="006139FD" w:rsidRDefault="006139FD" w:rsidP="006139FD"/>
    <w:p w:rsidR="006139FD" w:rsidRDefault="006139FD" w:rsidP="006139FD"/>
    <w:p w:rsidR="006139FD" w:rsidRDefault="006139FD" w:rsidP="006139FD">
      <w:pPr>
        <w:pStyle w:val="Heading2"/>
      </w:pPr>
      <w:r>
        <w:lastRenderedPageBreak/>
        <w:t>Abstract</w:t>
      </w:r>
    </w:p>
    <w:p w:rsidR="006139FD" w:rsidRPr="00022430" w:rsidRDefault="006139FD" w:rsidP="006139FD">
      <w:pPr>
        <w:pStyle w:val="ManuscriptText"/>
      </w:pPr>
      <w:r w:rsidRPr="00022430">
        <w:t xml:space="preserve">Bacteria play a key role in </w:t>
      </w:r>
      <w:r>
        <w:t xml:space="preserve">freshwater </w:t>
      </w:r>
      <w:r w:rsidRPr="00022430">
        <w:t>biogeochemical cycling</w:t>
      </w:r>
      <w:r>
        <w:t>,</w:t>
      </w:r>
      <w:r w:rsidRPr="00022430">
        <w:t xml:space="preserve"> </w:t>
      </w:r>
      <w:r>
        <w:t>but</w:t>
      </w:r>
      <w:r w:rsidRPr="00022430">
        <w:t xml:space="preserve"> </w:t>
      </w:r>
      <w:r>
        <w:t xml:space="preserve">controls on </w:t>
      </w:r>
      <w:r w:rsidRPr="00022430">
        <w:t>long-term freshwater</w:t>
      </w:r>
      <w:r>
        <w:t xml:space="preserve"> bacterial community composition and dynamics</w:t>
      </w:r>
      <w:r w:rsidRPr="00022430">
        <w:t xml:space="preserve"> are not well characterized. </w:t>
      </w:r>
      <w:r>
        <w:t>Here</w:t>
      </w:r>
      <w:r w:rsidRPr="00022430">
        <w:t xml:space="preserve"> we use a multi-year time series of 16S </w:t>
      </w:r>
      <w:proofErr w:type="spellStart"/>
      <w:r>
        <w:t>rRNA</w:t>
      </w:r>
      <w:proofErr w:type="spellEnd"/>
      <w:r>
        <w:t xml:space="preserve"> gene sequencing </w:t>
      </w:r>
      <w:r w:rsidRPr="00022430">
        <w:t xml:space="preserve">data from eight bog lakes to observe </w:t>
      </w:r>
      <w:r>
        <w:t xml:space="preserve">annual </w:t>
      </w:r>
      <w:r w:rsidRPr="00022430">
        <w:t xml:space="preserve">trends in bacterial communities. </w:t>
      </w:r>
      <w:r w:rsidR="00865DD2">
        <w:t xml:space="preserve">Each lake and layer contains a unique bacterial community, with indicator taxa that reflect the environmental conditions of each site. These site differences are likely the result of strong environmental filtering. The community present in each year in each site is also unique, and taxa do not show the same abundance trends each summer. However, each freshwater lineage shows consistent overall persistence, abundance, and coefficient of variation between lakes and years. The high amount of </w:t>
      </w:r>
      <w:proofErr w:type="spellStart"/>
      <w:r w:rsidR="00865DD2">
        <w:t>interannual</w:t>
      </w:r>
      <w:proofErr w:type="spellEnd"/>
      <w:r w:rsidR="00865DD2">
        <w:t xml:space="preserve"> variability observed in this dataset may be explained by unmeasured environmental variables, biotic interactions</w:t>
      </w:r>
      <w:r w:rsidR="00E01775">
        <w:t>,</w:t>
      </w:r>
      <w:r w:rsidR="00865DD2">
        <w:t xml:space="preserve"> </w:t>
      </w:r>
      <w:r w:rsidR="00E01775">
        <w:t xml:space="preserve">or stochastic community assembly. While this introduces new challenges for the prediction of bacterial community dynamics, we found that </w:t>
      </w:r>
      <w:proofErr w:type="spellStart"/>
      <w:r w:rsidR="00E01775">
        <w:t>interannual</w:t>
      </w:r>
      <w:proofErr w:type="spellEnd"/>
      <w:r w:rsidR="00E01775">
        <w:t xml:space="preserve"> variability operates within the confines of environmental filtering, and that freshwater lineages have stable traits. The results of our analysis emphasizes the importance of long-term observations, as analyzing only a single year of data would have led us to drastically different conclusions. </w:t>
      </w:r>
    </w:p>
    <w:p w:rsidR="006139FD" w:rsidRDefault="006139FD" w:rsidP="006139FD"/>
    <w:p w:rsidR="006139FD" w:rsidRPr="006139FD" w:rsidRDefault="006139FD" w:rsidP="006139FD"/>
    <w:p w:rsidR="006139FD" w:rsidRDefault="006139FD" w:rsidP="006139FD"/>
    <w:p w:rsidR="006139FD" w:rsidRDefault="006139FD" w:rsidP="006139FD"/>
    <w:p w:rsidR="006139FD" w:rsidRDefault="006139FD" w:rsidP="006139FD"/>
    <w:p w:rsidR="00E01775" w:rsidRDefault="00E01775" w:rsidP="006139FD"/>
    <w:p w:rsidR="00E01775" w:rsidRDefault="00E01775" w:rsidP="006139FD"/>
    <w:p w:rsidR="00E01775" w:rsidRDefault="00E01775" w:rsidP="006139FD"/>
    <w:p w:rsidR="00E01775" w:rsidRDefault="00E01775" w:rsidP="006139FD"/>
    <w:p w:rsidR="00E01775" w:rsidRPr="00022430" w:rsidRDefault="00E01775" w:rsidP="00E01775">
      <w:pPr>
        <w:pStyle w:val="Heading2"/>
        <w:spacing w:line="480" w:lineRule="auto"/>
      </w:pPr>
      <w:r w:rsidRPr="00022430">
        <w:lastRenderedPageBreak/>
        <w:t>Importance</w:t>
      </w:r>
    </w:p>
    <w:p w:rsidR="00E01775" w:rsidRDefault="00E01775" w:rsidP="00E01775">
      <w:pPr>
        <w:spacing w:line="480" w:lineRule="auto"/>
      </w:pPr>
      <w:r w:rsidRPr="00022430">
        <w:t xml:space="preserve">Lakes are excellent systems for investigating bacterial community dynamics because </w:t>
      </w:r>
      <w:r>
        <w:t>they have</w:t>
      </w:r>
      <w:r w:rsidRPr="00022430">
        <w:t xml:space="preserve"> clear boundaries, strong environmental gradients, and well-characterized seasonal changes. </w:t>
      </w:r>
      <w:r>
        <w:t>The results of our research demonstrate that bacterial community dynamics operate on multi-year timescales, a finding which likely applies to other ecosystems and would have large implications for study design and interpretation. In this specific ecosystem, b</w:t>
      </w:r>
      <w:r w:rsidRPr="00022430">
        <w:t>og lakes play a disproportionately large role in global carbon cycling, and the information present</w:t>
      </w:r>
      <w:r>
        <w:t>ed</w:t>
      </w:r>
      <w:r w:rsidRPr="00022430">
        <w:t xml:space="preserve"> here may help refine carbon budgets for these lakes. Finally, all data and code in this study </w:t>
      </w:r>
      <w:r>
        <w:t>are</w:t>
      </w:r>
      <w:r w:rsidRPr="00022430">
        <w:t xml:space="preserve"> publically available. We hope that this will serve as a resource to anyone</w:t>
      </w:r>
      <w:r w:rsidR="00345273">
        <w:t xml:space="preserve"> seeking to answer their own microbial ecology questions using a multi-year time series</w:t>
      </w:r>
      <w:r w:rsidRPr="00022430">
        <w:t>.</w:t>
      </w:r>
    </w:p>
    <w:p w:rsidR="006139FD" w:rsidRDefault="006139FD" w:rsidP="006139FD"/>
    <w:p w:rsidR="00345273" w:rsidRDefault="00345273" w:rsidP="006139FD"/>
    <w:p w:rsidR="00345273" w:rsidRDefault="00345273" w:rsidP="006139FD"/>
    <w:p w:rsidR="00345273" w:rsidRDefault="00345273" w:rsidP="006139FD"/>
    <w:p w:rsidR="00345273" w:rsidRDefault="00345273" w:rsidP="006139FD"/>
    <w:p w:rsidR="00345273" w:rsidRDefault="00345273" w:rsidP="006139FD"/>
    <w:p w:rsidR="00345273" w:rsidRDefault="00345273" w:rsidP="006139FD"/>
    <w:p w:rsidR="00345273" w:rsidRDefault="00345273" w:rsidP="006139FD"/>
    <w:p w:rsidR="00345273" w:rsidRDefault="00345273" w:rsidP="006139FD"/>
    <w:p w:rsidR="00345273" w:rsidRDefault="00345273" w:rsidP="006139FD"/>
    <w:p w:rsidR="00345273" w:rsidRDefault="00345273" w:rsidP="006139FD"/>
    <w:p w:rsidR="00345273" w:rsidRDefault="00345273" w:rsidP="006139FD"/>
    <w:p w:rsidR="00345273" w:rsidRDefault="00345273" w:rsidP="006139FD"/>
    <w:p w:rsidR="00345273" w:rsidRDefault="00345273" w:rsidP="006139FD"/>
    <w:p w:rsidR="00A304E5" w:rsidRDefault="004E4294" w:rsidP="000D4BB0">
      <w:pPr>
        <w:pStyle w:val="Heading2"/>
        <w:spacing w:before="0" w:line="480" w:lineRule="auto"/>
        <w:jc w:val="both"/>
      </w:pPr>
      <w:r>
        <w:lastRenderedPageBreak/>
        <w:t>Introduction</w:t>
      </w:r>
    </w:p>
    <w:p w:rsidR="000D4BB0" w:rsidRDefault="000D4BB0" w:rsidP="000D4BB0">
      <w:pPr>
        <w:spacing w:line="480" w:lineRule="auto"/>
        <w:ind w:firstLine="720"/>
        <w:jc w:val="both"/>
      </w:pPr>
      <w:r>
        <w:t>One of the major goals of microbial ecology is to predict bacterial community composition. The need for prediction can be demonstrated in s</w:t>
      </w:r>
      <w:r w:rsidR="005D0CDC">
        <w:t>ituations</w:t>
      </w:r>
      <w:r>
        <w:t xml:space="preserve"> such as the connection between disease and the human microbiome</w:t>
      </w:r>
      <w:r w:rsidR="00C86B55">
        <w:t xml:space="preserve"> </w:t>
      </w:r>
      <w:r w:rsidR="00C86B55">
        <w:fldChar w:fldCharType="begin" w:fldLock="1"/>
      </w:r>
      <w:r w:rsidR="00C86B55">
        <w:instrText>ADDIN CSL_CITATION { "citationItems" : [ { "id" : "ITEM-1", "itemData" : { "DOI" : "10.1038/nrg3182", "author" : [ { "dropping-particle" : "", "family" : "Cho", "given" : "Ilseung", "non-dropping-particle" : "", "parse-names" : false, "suffix" : "" }, { "dropping-particle" : "", "family" : "Blaser", "given" : "Martin J", "non-dropping-particle" : "", "parse-names" : false, "suffix" : "" } ], "id" : "ITEM-1", "issue" : "April", "issued" : { "date-parts" : [ [ "2012" ] ] }, "title" : "The human microbiome : at the interface of health and disease", "type" : "article-journal", "volume" : "13" }, "uris" : [ "http://www.mendeley.com/documents/?uuid=1e7044ac-a68d-47dc-a3f0-03a22228d801" ] } ], "mendeley" : { "formattedCitation" : "(1)", "plainTextFormattedCitation" : "(1)", "previouslyFormattedCitation" : "(1)" }, "properties" : { "noteIndex" : 0 }, "schema" : "https://github.com/citation-style-language/schema/raw/master/csl-citation.json" }</w:instrText>
      </w:r>
      <w:r w:rsidR="00C86B55">
        <w:fldChar w:fldCharType="separate"/>
      </w:r>
      <w:r w:rsidR="00C86B55" w:rsidRPr="00C86B55">
        <w:rPr>
          <w:noProof/>
        </w:rPr>
        <w:t>(1)</w:t>
      </w:r>
      <w:r w:rsidR="00C86B55">
        <w:fldChar w:fldCharType="end"/>
      </w:r>
      <w:r>
        <w:t>, the detrimental impacts of cyanobacterial blooms in freshwater</w:t>
      </w:r>
      <w:r w:rsidR="00C86B55">
        <w:t xml:space="preserve"> </w:t>
      </w:r>
      <w:r w:rsidR="00C86B55">
        <w:fldChar w:fldCharType="begin" w:fldLock="1"/>
      </w:r>
      <w:r w:rsidR="00C86B55">
        <w:instrText>ADDIN CSL_CITATION { "citationItems" : [ { "id" : "ITEM-1", "itemData" : { "DOI" : "10.3389/fmicb.2015.01254", "ISSN" : "1664-302X", "author" : [ { "dropping-particle" : "", "family" : "Rastogi", "given" : "Rajesh P.", "non-dropping-particle" : "", "parse-names" : false, "suffix" : "" }, { "dropping-particle" : "", "family" : "Madamwar", "given" : "Datta", "non-dropping-particle" : "", "parse-names" : false, "suffix" : "" }, { "dropping-particle" : "", "family" : "Incharoensakdi", "given" : "Aran", "non-dropping-particle" : "", "parse-names" : false, "suffix" : "" } ], "container-title" : "Frontiers in Microbiology", "id" : "ITEM-1", "issue" : "November", "issued" : { "date-parts" : [ [ "2015" ] ] }, "page" : "1-22", "title" : "Bloom Dynamics of Cyanobacteria and Their Toxins: Environmental Health Impacts and Mitigation Strategies", "type" : "article-journal", "volume" : "6" }, "uris" : [ "http://www.mendeley.com/documents/?uuid=5ea5578e-b645-4ea2-977f-bbe3e48e5efa" ] } ], "mendeley" : { "formattedCitation" : "(2)", "plainTextFormattedCitation" : "(2)", "previouslyFormattedCitation" : "(2)" }, "properties" : { "noteIndex" : 0 }, "schema" : "https://github.com/citation-style-language/schema/raw/master/csl-citation.json" }</w:instrText>
      </w:r>
      <w:r w:rsidR="00C86B55">
        <w:fldChar w:fldCharType="separate"/>
      </w:r>
      <w:r w:rsidR="00C86B55" w:rsidRPr="00C86B55">
        <w:rPr>
          <w:noProof/>
        </w:rPr>
        <w:t>(2)</w:t>
      </w:r>
      <w:r w:rsidR="00C86B55">
        <w:fldChar w:fldCharType="end"/>
      </w:r>
      <w:r>
        <w:t>, and a variety of industrial applications including chemical production</w:t>
      </w:r>
      <w:r w:rsidR="00C86B55">
        <w:t xml:space="preserve"> </w:t>
      </w:r>
      <w:r w:rsidR="00C86B55">
        <w:fldChar w:fldCharType="begin" w:fldLock="1"/>
      </w:r>
      <w:r w:rsidR="00C86B55">
        <w:instrText>ADDIN CSL_CITATION { "citationItems" : [ { "id" : "ITEM-1", "itemData" : { "DOI" : "10.1126/science.1217412", "author" : [ { "dropping-particle" : "", "family" : "Logan", "given" : "Bruce E", "non-dropping-particle" : "", "parse-names" : false, "suffix" : "" }, { "dropping-particle" : "", "family" : "Rabaey", "given" : "Korneel", "non-dropping-particle" : "", "parse-names" : false, "suffix" : "" } ], "id" : "ITEM-1", "issued" : { "date-parts" : [ [ "2012" ] ] }, "title" : "No Title", "type" : "article-journal", "volume" : "686" }, "uris" : [ "http://www.mendeley.com/documents/?uuid=ab1acb21-d387-4ff8-ba7e-5dae28f9f9fe" ] } ], "mendeley" : { "formattedCitation" : "(3)", "plainTextFormattedCitation" : "(3)", "previouslyFormattedCitation" : "(3)" }, "properties" : { "noteIndex" : 0 }, "schema" : "https://github.com/citation-style-language/schema/raw/master/csl-citation.json" }</w:instrText>
      </w:r>
      <w:r w:rsidR="00C86B55">
        <w:fldChar w:fldCharType="separate"/>
      </w:r>
      <w:r w:rsidR="00C86B55" w:rsidRPr="00C86B55">
        <w:rPr>
          <w:noProof/>
        </w:rPr>
        <w:t>(3)</w:t>
      </w:r>
      <w:r w:rsidR="00C86B55">
        <w:fldChar w:fldCharType="end"/>
      </w:r>
      <w:r>
        <w:t>, biofuel production</w:t>
      </w:r>
      <w:r w:rsidR="00C86B55">
        <w:t xml:space="preserve"> </w:t>
      </w:r>
      <w:r w:rsidR="00C86B55">
        <w:fldChar w:fldCharType="begin" w:fldLock="1"/>
      </w:r>
      <w:r w:rsidR="00C86B55">
        <w:instrText>ADDIN CSL_CITATION { "citationItems" : [ { "id" : "ITEM-1", "itemData" : { "DOI" : "10.1007/s00253-013-5389-5", "author" : [ { "dropping-particle" : "", "family" : "Lopes", "given" : "Teresa", "non-dropping-particle" : "", "parse-names" : false, "suffix" : "" }, { "dropping-particle" : "", "family" : "Gouveia", "given" : "Lu\u00edsa", "non-dropping-particle" : "", "parse-names" : false, "suffix" : "" }, { "dropping-particle" : "", "family" : "Reis", "given" : "Alberto", "non-dropping-particle" : "", "parse-names" : false, "suffix" : "" } ], "id" : "ITEM-1", "issued" : { "date-parts" : [ [ "2013" ] ] }, "title" : "Integrated microbial processes for biofuels and high value-added products : the way to improve the cost effectiveness of biofuel production", "type" : "article-journal" }, "uris" : [ "http://www.mendeley.com/documents/?uuid=d4972b6d-0346-4217-9967-fde97de07f00" ] } ], "mendeley" : { "formattedCitation" : "(4)", "plainTextFormattedCitation" : "(4)", "previouslyFormattedCitation" : "(4)" }, "properties" : { "noteIndex" : 0 }, "schema" : "https://github.com/citation-style-language/schema/raw/master/csl-citation.json" }</w:instrText>
      </w:r>
      <w:r w:rsidR="00C86B55">
        <w:fldChar w:fldCharType="separate"/>
      </w:r>
      <w:r w:rsidR="00C86B55" w:rsidRPr="00C86B55">
        <w:rPr>
          <w:noProof/>
        </w:rPr>
        <w:t>(4)</w:t>
      </w:r>
      <w:r w:rsidR="00C86B55">
        <w:fldChar w:fldCharType="end"/>
      </w:r>
      <w:r>
        <w:t>, wastewater treatment</w:t>
      </w:r>
      <w:r w:rsidR="00C86B55">
        <w:t xml:space="preserve"> </w:t>
      </w:r>
      <w:r w:rsidR="00C86B55">
        <w:fldChar w:fldCharType="begin" w:fldLock="1"/>
      </w:r>
      <w:r w:rsidR="00353516">
        <w:instrText>ADDIN CSL_CITATION { "citationItems" : [ { "id" : "ITEM-1", "itemData" : { "DOI" : "10.1016/j.biotechadv.2016.04.003", "ISSN" : "1873-1899", "PMID" : "27071535", "abstract" : "Biological wastewater treatment processes are based on the exploitation of the concerted activity of microorganisms. Knowledge on the microbial community structure and the links to the changing environmental conditions is therefore crucial for the development and optimization of biological systems by engineers. The advent of molecular techniques occurred in the last decades quickly showed the inadequacy of culture-dependent methodologies to unveil the great level of diversity present in sludge samples. Initially, culture-independent technologies and more recently the application of -omics in wastewater microbiology, have drawn a new view of microbial diversity and function of wastewater treatment systems. This article reviews the current knowledge on the topic placing emphasis on crucial microbial processes carried out in biological wastewater treatment systems driven by specific groups of microbes, such as nitrogen and phosphorus removal bacteria, filamentous and electrogenic microorganisms, as well as Archaea. Despite the recent -omics that has offered substantial insights into the diversity and ecophysiology of these bacteria never envisioned before by providing millions of sequence reads at an unprecedented scale, studies based on high-throughput sequencing are still scarce. In order to obtain significant gains in the analysis of structure-function relationships, a greater sequencing investment is needed, particularly to uncover gene expression patterns of functionally relevant genes.", "author" : [ { "dropping-particle" : "", "family" : "Ferrera", "given" : "Isabel", "non-dropping-particle" : "", "parse-names" : false, "suffix" : "" }, { "dropping-particle" : "", "family" : "S\u00e1nchez", "given" : "Olga", "non-dropping-particle" : "", "parse-names" : false, "suffix" : "" } ], "container-title" : "Biotechnology advances", "id" : "ITEM-1", "issued" : { "date-parts" : [ [ "2016" ] ] }, "page" : "in press", "publisher" : "Elsevier Inc.", "title" : "Insights into microbial diversity in wastewater treatment systems: How far have we come?", "type" : "article-journal" }, "uris" : [ "http://www.mendeley.com/documents/?uuid=ced6f1dc-c4f4-4bd6-88b9-ac575a77f84d" ] } ], "mendeley" : { "formattedCitation" : "(5)", "plainTextFormattedCitation" : "(5)", "previouslyFormattedCitation" : "(5)" }, "properties" : { "noteIndex" : 0 }, "schema" : "https://github.com/citation-style-language/schema/raw/master/csl-citation.json" }</w:instrText>
      </w:r>
      <w:r w:rsidR="00C86B55">
        <w:fldChar w:fldCharType="separate"/>
      </w:r>
      <w:r w:rsidR="00C86B55" w:rsidRPr="00C86B55">
        <w:rPr>
          <w:noProof/>
        </w:rPr>
        <w:t>(5)</w:t>
      </w:r>
      <w:r w:rsidR="00C86B55">
        <w:fldChar w:fldCharType="end"/>
      </w:r>
      <w:r>
        <w:t>, and food science</w:t>
      </w:r>
      <w:r w:rsidR="00C86B55">
        <w:t xml:space="preserve"> </w:t>
      </w:r>
      <w:r w:rsidR="00353516">
        <w:fldChar w:fldCharType="begin" w:fldLock="1"/>
      </w:r>
      <w:r w:rsidR="00353516">
        <w:instrText>ADDIN CSL_CITATION { "citationItems" : [ { "id" : "ITEM-1", "itemData" : { "DOI" : "10.1016/j.ijfoodmicro.2011.12.030", "ISSN" : "0168-1605", "author" : [ { "dropping-particle" : "", "family" : "Bourdichon", "given" : "Fran\u00e7ois", "non-dropping-particle" : "", "parse-names" : false, "suffix" : "" }, { "dropping-particle" : "", "family" : "Casaregola", "given" : "Serge", "non-dropping-particle" : "", "parse-names" : false, "suffix" : "" }, { "dropping-particle" : "", "family" : "Farrokh", "given" : "Choreh", "non-dropping-particle" : "", "parse-names" : false, "suffix" : "" }, { "dropping-particle" : "", "family" : "Frisvad", "given" : "Jens C", "non-dropping-particle" : "", "parse-names" : false, "suffix" : "" }, { "dropping-particle" : "", "family" : "Gerds", "given" : "Monica L", "non-dropping-particle" : "", "parse-names" : false, "suffix" : "" }, { "dropping-particle" : "", "family" : "Hammes", "given" : "Walter P", "non-dropping-particle" : "", "parse-names" : false, "suffix" : "" }, { "dropping-particle" : "", "family" : "Harnett", "given" : "James", "non-dropping-particle" : "", "parse-names" : false, "suffix" : "" }, { "dropping-particle" : "", "family" : "Huys", "given" : "Geert", "non-dropping-particle" : "", "parse-names" : false, "suffix" : "" }, { "dropping-particle" : "", "family" : "Laulund", "given" : "Svend", "non-dropping-particle" : "", "parse-names" : false, "suffix" : "" }, { "dropping-particle" : "", "family" : "Ouwehand", "given" : "Arthur", "non-dropping-particle" : "", "parse-names" : false, "suffix" : "" }, { "dropping-particle" : "", "family" : "Powell", "given" : "Ian B", "non-dropping-particle" : "", "parse-names" : false, "suffix" : "" }, { "dropping-particle" : "", "family" : "Prajapati", "given" : "Jashbhai B", "non-dropping-particle" : "", "parse-names" : false, "suffix" : "" }, { "dropping-particle" : "", "family" : "Seto", "given" : "Yasuyuki", "non-dropping-particle" : "", "parse-names" : false, "suffix" : "" }, { "dropping-particle" : "", "family" : "Ter", "given" : "Eelko", "non-dropping-particle" : "", "parse-names" : false, "suffix" : "" }, { "dropping-particle" : "Van", "family" : "Boven", "given" : "Aart", "non-dropping-particle" : "", "parse-names" : false, "suffix" : "" }, { "dropping-particle" : "", "family" : "Vankerckhoven", "given" : "Vanessa", "non-dropping-particle" : "", "parse-names" : false, "suffix" : "" }, { "dropping-particle" : "", "family" : "Zgoda", "given" : "Annabelle", "non-dropping-particle" : "", "parse-names" : false, "suffix" : "" }, { "dropping-particle" : "", "family" : "Tuijtelaars", "given" : "Sandra", "non-dropping-particle" : "", "parse-names" : false, "suffix" : "" }, { "dropping-particle" : "", "family" : "Bech", "given" : "Egon", "non-dropping-particle" : "", "parse-names" : false, "suffix" : "" } ], "container-title" : "International Journal of Food Microbiology", "id" : "ITEM-1", "issue" : "3", "issued" : { "date-parts" : [ [ "2012" ] ] }, "page" : "87-97", "publisher" : "Elsevier B.V.", "title" : "International Journal of Food Microbiology Food fermentations : Microorganisms with technological bene fi cial use", "type" : "article-journal", "volume" : "154" }, "uris" : [ "http://www.mendeley.com/documents/?uuid=3538c216-c3fa-420e-b103-d87176b24a95" ] } ], "mendeley" : { "formattedCitation" : "(6)", "plainTextFormattedCitation" : "(6)", "previouslyFormattedCitation" : "(6)" }, "properties" : { "noteIndex" : 0 }, "schema" : "https://github.com/citation-style-language/schema/raw/master/csl-citation.json" }</w:instrText>
      </w:r>
      <w:r w:rsidR="00353516">
        <w:fldChar w:fldCharType="separate"/>
      </w:r>
      <w:r w:rsidR="00353516" w:rsidRPr="00353516">
        <w:rPr>
          <w:noProof/>
        </w:rPr>
        <w:t>(6)</w:t>
      </w:r>
      <w:r w:rsidR="00353516">
        <w:fldChar w:fldCharType="end"/>
      </w:r>
      <w:r>
        <w:t xml:space="preserve">. However, we have only a cursory knowledge of the factors that would allow us to predict bacterial community dynamics. Many microbial ecology studies sample large numbers of sites in order to draw conclusions about how bacterial communities are structured, a pursuit which has greatly benefitted our field. But in addition to space, time must also be considered. </w:t>
      </w:r>
    </w:p>
    <w:p w:rsidR="000D4BB0" w:rsidRDefault="000D4BB0" w:rsidP="000D4BB0">
      <w:pPr>
        <w:spacing w:line="480" w:lineRule="auto"/>
        <w:ind w:firstLine="720"/>
        <w:jc w:val="both"/>
      </w:pPr>
      <w:r>
        <w:t>Long-term studies of the bacterial communities are less common due their logistical difficulties and the need for stable funding, but results from the Microbial Observatory projects</w:t>
      </w:r>
      <w:r w:rsidR="005D0CDC">
        <w:t xml:space="preserve"> are promising. </w:t>
      </w:r>
      <w:r w:rsidR="009F0972">
        <w:t>As a few examples among many</w:t>
      </w:r>
      <w:r w:rsidR="005D0CDC">
        <w:t>, the San Pedro North Pacific - Microbial Observatory contributed to our understanding of heterogeneity of bacterial communities across space and time</w:t>
      </w:r>
      <w:r w:rsidR="00353516">
        <w:t xml:space="preserve"> </w:t>
      </w:r>
      <w:r w:rsidR="00353516">
        <w:fldChar w:fldCharType="begin" w:fldLock="1"/>
      </w:r>
      <w:r w:rsidR="00353516">
        <w:instrText>ADDIN CSL_CITATION { "citationItems" : [ { "id" : "ITEM-1", "itemData" : { "author" : [ { "dropping-particle" : "", "family" : "Hewson", "given" : "Ian", "non-dropping-particle" : "", "parse-names" : false, "suffix" : "" }, { "dropping-particle" : "", "family" : "Steele", "given" : "Joshua A", "non-dropping-particle" : "", "parse-names" : false, "suffix" : "" }, { "dropping-particle" : "", "family" : "Capone", "given" : "Douglas G", "non-dropping-particle" : "", "parse-names" : false, "suffix" : "" }, { "dropping-particle" : "", "family" : "Fuhrman", "given" : "Jed A", "non-dropping-particle" : "", "parse-names" : false, "suffix" : "" } ], "id" : "ITEM-1", "issue" : "3", "issued" : { "date-parts" : [ [ "2006" ] ] }, "page" : "1274-1283", "title" : "Remarkable heterogeneity in meso- and bathypelagic bacterioplankton assemblage composition", "type" : "article-journal", "volume" : "51" }, "uris" : [ "http://www.mendeley.com/documents/?uuid=be1181b3-8657-4be8-b2e4-3a5302c5e17f" ] } ], "mendeley" : { "formattedCitation" : "(7)", "plainTextFormattedCitation" : "(7)", "previouslyFormattedCitation" : "(7)" }, "properties" : { "noteIndex" : 0 }, "schema" : "https://github.com/citation-style-language/schema/raw/master/csl-citation.json" }</w:instrText>
      </w:r>
      <w:r w:rsidR="00353516">
        <w:fldChar w:fldCharType="separate"/>
      </w:r>
      <w:r w:rsidR="00353516" w:rsidRPr="00353516">
        <w:rPr>
          <w:noProof/>
        </w:rPr>
        <w:t>(7)</w:t>
      </w:r>
      <w:r w:rsidR="00353516">
        <w:fldChar w:fldCharType="end"/>
      </w:r>
      <w:r w:rsidR="005D0CDC">
        <w:t xml:space="preserve">, while research at the </w:t>
      </w:r>
      <w:proofErr w:type="spellStart"/>
      <w:r w:rsidR="005D0CDC">
        <w:t>Sapelo</w:t>
      </w:r>
      <w:proofErr w:type="spellEnd"/>
      <w:r w:rsidR="005D0CDC">
        <w:t xml:space="preserve"> Island – Microbial Observatory has led the field in linking genomic data to metadata</w:t>
      </w:r>
      <w:r w:rsidR="00353516">
        <w:t xml:space="preserve"> </w:t>
      </w:r>
      <w:r w:rsidR="00353516">
        <w:fldChar w:fldCharType="begin" w:fldLock="1"/>
      </w:r>
      <w:r w:rsidR="00353516">
        <w:instrText>ADDIN CSL_CITATION { "citationItems" : [ { "id" : "ITEM-1", "itemData" : { "author" : [ { "dropping-particle" : "", "family" : "Sheldon", "given" : "Wade M", "non-dropping-particle" : "", "parse-names" : false, "suffix" : "" }, { "dropping-particle" : "", "family" : "Moran", "given" : "Mary Ann", "non-dropping-particle" : "", "parse-names" : false, "suffix" : "" }, { "dropping-particle" : "", "family" : "Hollibaugh", "given" : "James T", "non-dropping-particle" : "", "parse-names" : false, "suffix" : "" } ], "id" : "ITEM-1", "issued" : { "date-parts" : [ [ "2000" ] ] }, "title" : "Efforts to Link Ecological Metadata with Bacterial Gene Sequences at the Sapelo Island Microbial Observatory", "type" : "article-journal" }, "uris" : [ "http://www.mendeley.com/documents/?uuid=bd8142ec-5172-4496-bb99-5aaa84430ce0" ] } ], "mendeley" : { "formattedCitation" : "(8)", "plainTextFormattedCitation" : "(8)", "previouslyFormattedCitation" : "(8)" }, "properties" : { "noteIndex" : 0 }, "schema" : "https://github.com/citation-style-language/schema/raw/master/csl-citation.json" }</w:instrText>
      </w:r>
      <w:r w:rsidR="00353516">
        <w:fldChar w:fldCharType="separate"/>
      </w:r>
      <w:r w:rsidR="00353516" w:rsidRPr="00353516">
        <w:rPr>
          <w:noProof/>
        </w:rPr>
        <w:t>(8)</w:t>
      </w:r>
      <w:r w:rsidR="00353516">
        <w:fldChar w:fldCharType="end"/>
      </w:r>
      <w:r w:rsidR="005D0CDC">
        <w:t xml:space="preserve"> and in the sampling and analysis of environmental RNA</w:t>
      </w:r>
      <w:r w:rsidR="00353516">
        <w:t xml:space="preserve"> </w:t>
      </w:r>
      <w:r w:rsidR="00353516">
        <w:fldChar w:fldCharType="begin" w:fldLock="1"/>
      </w:r>
      <w:r w:rsidR="00353516">
        <w:instrText>ADDIN CSL_CITATION { "citationItems" : [ { "id" : "ITEM-1", "itemData" : { "DOI" : "10.1038/ismej.2013.171", "ISSN" : "1751-7370", "PMID" : "24132081", "abstract" : "We used a combination of metatranscriptomic analyses and quantitative PCR (qPCR) to study seasonal changes in Thaumarchaeota populations from a salt marsh-dominated estuary. Surface waters (0.5\u2009m depth) were sampled quarterly at Marsh Landing, Sapelo Island, GA, USA over a 3-year period. We found a mid-summer peak in Thaumarchaeota abundance measured by qPCR of either 16S rRNA or amoA genes in each of the 3 years. Thaumarchaeota were 100-1000-fold more abundant during the peak than at other times of the year, whereas the abundance of ammonia- and nitrite-oxidizing Bacteria varied &lt;10-fold over the same period. Analysis of the microdiversity of several highly transcribed genes in 20 metatranscriptomes from a 1-year subset of these samples showed that the transcriptionally active population consisted of 2 or 3 dominant phylotypes that differed between successive summers. This shift appeared to have begun during the preceding winter and spring. Transcripts from the same genes dominated the Thaumarchaeota mRNA pool throughout the year, with genes encoding proteins believed to be involved in nitrogen uptake and oxidation, and two hypothetical proteins being the most abundant transcripts in all libraries. Analysis of individual genes over the seasonal cycle suggested that transcription was tied more closely to variation in growth rates than to seasonal changes in environmental conditions. Day-night differences in the relative abundance of transcripts for ribosomal proteins suggested diurnal variation in Thaumarchaeota growth.", "author" : [ { "dropping-particle" : "", "family" : "Hollibaugh", "given" : "James T", "non-dropping-particle" : "", "parse-names" : false, "suffix" : "" }, { "dropping-particle" : "", "family" : "Gifford", "given" : "Scott M", "non-dropping-particle" : "", "parse-names" : false, "suffix" : "" }, { "dropping-particle" : "", "family" : "Moran", "given" : "Mary Ann", "non-dropping-particle" : "", "parse-names" : false, "suffix" : "" }, { "dropping-particle" : "", "family" : "Ross", "given" : "Meredith J", "non-dropping-particle" : "", "parse-names" : false, "suffix" : "" }, { "dropping-particle" : "", "family" : "Sharma", "given" : "Shalabh", "non-dropping-particle" : "", "parse-names" : false, "suffix" : "" }, { "dropping-particle" : "", "family" : "Tolar", "given" : "Bradley B", "non-dropping-particle" : "", "parse-names" : false, "suffix" : "" } ], "container-title" : "The ISME journal", "id" : "ITEM-1", "issue" : "3", "issued" : { "date-parts" : [ [ "2014" ] ] }, "page" : "685-98", "publisher" : "Nature Publishing Group", "title" : "Seasonal variation in the metatranscriptomes of a Thaumarchaeota population from SE USA coastal waters.", "type" : "article-journal", "volume" : "8" }, "uris" : [ "http://www.mendeley.com/documents/?uuid=b99f0a86-96bb-412d-b99e-5cc295b07d4a" ] } ], "mendeley" : { "formattedCitation" : "(9)", "plainTextFormattedCitation" : "(9)", "previouslyFormattedCitation" : "(9)" }, "properties" : { "noteIndex" : 0 }, "schema" : "https://github.com/citation-style-language/schema/raw/master/csl-citation.json" }</w:instrText>
      </w:r>
      <w:r w:rsidR="00353516">
        <w:fldChar w:fldCharType="separate"/>
      </w:r>
      <w:r w:rsidR="00353516" w:rsidRPr="00353516">
        <w:rPr>
          <w:noProof/>
        </w:rPr>
        <w:t>(9)</w:t>
      </w:r>
      <w:r w:rsidR="00353516">
        <w:fldChar w:fldCharType="end"/>
      </w:r>
      <w:r w:rsidR="005D0CDC">
        <w:t>.</w:t>
      </w:r>
      <w:r>
        <w:t xml:space="preserve"> In our own North Temperate Lakes – Microbial Observatory, based in Wisconsin, USA, a multi-year time series of </w:t>
      </w:r>
      <w:proofErr w:type="spellStart"/>
      <w:r>
        <w:t>metagenomic</w:t>
      </w:r>
      <w:proofErr w:type="spellEnd"/>
      <w:r>
        <w:t xml:space="preserve"> data was used to study sweeps in diversity at the genome level</w:t>
      </w:r>
      <w:r w:rsidR="00353516">
        <w:t xml:space="preserve"> </w:t>
      </w:r>
      <w:r w:rsidR="00353516">
        <w:fldChar w:fldCharType="begin" w:fldLock="1"/>
      </w:r>
      <w:r w:rsidR="004A12DC">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"id" : "ITEM-1", "issued" : { "date-parts" : [ [ "2016" ] ] }, "page" : "1-13", "publisher" : "Nature Publishing Group", "title" : "Genome-wide selective sweeps and gene-specific sweeps in natural bacterial populations", "type" : "article-journal" }, "uris" : [ "http://www.mendeley.com/documents/?uuid=095ac576-816b-496f-afd6-906d79e83404" ] } ], "mendeley" : { "formattedCitation" : "(10)", "plainTextFormattedCitation" : "(10)", "previouslyFormattedCitation" : "(10)" }, "properties" : { "noteIndex" : 0 }, "schema" : "https://github.com/citation-style-language/schema/raw/master/csl-citation.json" }</w:instrText>
      </w:r>
      <w:r w:rsidR="00353516">
        <w:fldChar w:fldCharType="separate"/>
      </w:r>
      <w:r w:rsidR="00353516" w:rsidRPr="00353516">
        <w:rPr>
          <w:noProof/>
        </w:rPr>
        <w:t>(10)</w:t>
      </w:r>
      <w:r w:rsidR="00353516">
        <w:fldChar w:fldCharType="end"/>
      </w:r>
      <w:r>
        <w:t>, adding to our knowledge of how genetic mutation influences bacterial communities. Long-term microbial ecology studies have a time-tested role in the quest to forecast bacterial communities.</w:t>
      </w:r>
    </w:p>
    <w:p w:rsidR="000D4BB0" w:rsidRDefault="000D4BB0" w:rsidP="000D4BB0">
      <w:pPr>
        <w:spacing w:line="480" w:lineRule="auto"/>
        <w:ind w:firstLine="720"/>
        <w:jc w:val="both"/>
      </w:pPr>
      <w:r>
        <w:t xml:space="preserve">In this research, we present 16S amplicon data from the North Temperate Lakes – Microbial Observatory. This dataset includes over 1,300 samples, spanning four years, eight lakes, </w:t>
      </w:r>
      <w:r>
        <w:lastRenderedPageBreak/>
        <w:t xml:space="preserve">and two depths. The lakes included in this study are all bog lakes in the boreal region of northern Wisconsin near Minocqua. Bog lakes are open regions of water surrounded by a slowly expanding mat of sphagnum moss, which leaches large amounts of dissolved organic carbon into the water in the form of </w:t>
      </w:r>
      <w:proofErr w:type="spellStart"/>
      <w:r>
        <w:t>humic</w:t>
      </w:r>
      <w:proofErr w:type="spellEnd"/>
      <w:r>
        <w:t xml:space="preserve"> and </w:t>
      </w:r>
      <w:proofErr w:type="spellStart"/>
      <w:r>
        <w:t>fulvic</w:t>
      </w:r>
      <w:proofErr w:type="spellEnd"/>
      <w:r>
        <w:t xml:space="preserve"> acids. These ecosystems contain much greater amounts of carbon than of nitrogen or phosphorus, earning the categorization of “</w:t>
      </w:r>
      <w:proofErr w:type="spellStart"/>
      <w:r>
        <w:t>humic</w:t>
      </w:r>
      <w:proofErr w:type="spellEnd"/>
      <w:r>
        <w:t xml:space="preserve">” or “dystrophic.” Because the dissolved organic carbon stains the water dark brown, these lakes quickly absorb heat from sunlight and form strong vertical gradients structured by temperature and dissolved oxygen concentrations. Depending on depth, surface area, and </w:t>
      </w:r>
      <w:proofErr w:type="spellStart"/>
      <w:r>
        <w:t>bathymetery</w:t>
      </w:r>
      <w:proofErr w:type="spellEnd"/>
      <w:r>
        <w:t xml:space="preserve">, bog lakes mix at different frequencies. </w:t>
      </w:r>
      <w:r w:rsidR="00EC1276">
        <w:t xml:space="preserve">These frequencies are called “mixing regime,” and our lakes are classified as either </w:t>
      </w:r>
      <w:proofErr w:type="spellStart"/>
      <w:r w:rsidR="00EC1276">
        <w:t>polymictic</w:t>
      </w:r>
      <w:proofErr w:type="spellEnd"/>
      <w:r w:rsidR="00EC1276">
        <w:t xml:space="preserve"> (more than two mixing events per year), dimictic (exactly two mixing events per year), or meromictic (no mixing events).</w:t>
      </w:r>
    </w:p>
    <w:p w:rsidR="000D4BB0" w:rsidRDefault="000D4BB0" w:rsidP="000D4BB0">
      <w:pPr>
        <w:spacing w:line="480" w:lineRule="auto"/>
        <w:ind w:firstLine="720"/>
        <w:jc w:val="both"/>
      </w:pPr>
      <w:r>
        <w:t>The well-defined boundaries and environmental gradients of bog lakes make them excellent study systems for microbial ecology, but bog lakes are important ecosystems in their own right. Bogs and wetlands play a crucial role in the global carbon cycle by releasing and consuming methane and carbon dioxide. Some estimates place freshwater carbon emissions equivalent or even greater to those from the ocean. These greenhouse gases are produced and consumed by the bacterial communities. Understanding how bacterial communities change over time could improve our understanding of carbon cycling in freshwater, and therefore our global estim</w:t>
      </w:r>
      <w:r w:rsidR="00981527">
        <w:t>ates of natural carbon emission</w:t>
      </w:r>
      <w:r>
        <w:t xml:space="preserve"> and capture.</w:t>
      </w:r>
    </w:p>
    <w:p w:rsidR="000D4BB0" w:rsidRDefault="000D4BB0" w:rsidP="000D4BB0">
      <w:pPr>
        <w:spacing w:line="480" w:lineRule="auto"/>
        <w:ind w:firstLine="720"/>
        <w:jc w:val="both"/>
      </w:pPr>
      <w:r>
        <w:t xml:space="preserve">We use our Microbial Observatory 16S dataset to analyze bacterial community composition along both space and time. The communities within each lake and layer are compared, and taxa with preference for certain environmental conditions are identified. We also investigate seasonal trends, and find that broad metrics repeat annually, but abundance patterns of individual </w:t>
      </w:r>
      <w:r>
        <w:lastRenderedPageBreak/>
        <w:t>taxa do not. Finally, we examine traits in the abundance and presence/absence patterns of taxa in order to determine if these groups behave in a consistent manner each year. The results of our analysis can be used to guide future attempts to predict bacterial community composition.</w:t>
      </w:r>
    </w:p>
    <w:p w:rsidR="004E4294" w:rsidRDefault="004E4294" w:rsidP="000D4BB0">
      <w:pPr>
        <w:pStyle w:val="Heading2"/>
        <w:spacing w:before="0" w:line="480" w:lineRule="auto"/>
        <w:jc w:val="both"/>
      </w:pPr>
      <w:r>
        <w:t>Methods</w:t>
      </w:r>
    </w:p>
    <w:p w:rsidR="000D4BB0" w:rsidRPr="000D4BB0" w:rsidRDefault="000D4BB0" w:rsidP="000D4BB0">
      <w:pPr>
        <w:spacing w:line="480" w:lineRule="auto"/>
        <w:jc w:val="both"/>
        <w:rPr>
          <w:b/>
        </w:rPr>
      </w:pPr>
      <w:r w:rsidRPr="000D4BB0">
        <w:rPr>
          <w:b/>
        </w:rPr>
        <w:t>Sample Collection</w:t>
      </w:r>
    </w:p>
    <w:p w:rsidR="000D4BB0" w:rsidRDefault="000D4BB0" w:rsidP="000D4BB0">
      <w:pPr>
        <w:pStyle w:val="ManuscriptText"/>
      </w:pPr>
      <w:r w:rsidRPr="002A74FF">
        <w:t>Water was collected from eight bog lakes during the summers of 2005, 2007, 2008 and 2009</w:t>
      </w:r>
      <w:r>
        <w:t xml:space="preserve">, as previously described </w:t>
      </w:r>
      <w:r>
        <w:fldChar w:fldCharType="begin" w:fldLock="1"/>
      </w:r>
      <w:r w:rsidR="004A12DC">
        <w:instrText>ADDIN CSL_CITATION { "citationItems" : [ { "id" : "ITEM-1", "itemData" : { "DOI" : "10.1111/j.1462-2920.2007.01527.x", "author" : [ { "dropping-particle" : "", "family" : "Shade", "given" : "Ashley", "non-dropping-particle" : "", "parse-names" : false, "suffix" : "" }, { "dropping-particle" : "", "family" : "Jones", "given" : "Stuart E", "non-dropping-particle" : "", "parse-names" : false, "suffix" : "" }, { "dropping-particle" : "", "family" : "McMahon", "given" : "Katherine D", "non-dropping-particle" : "", "parse-names" : false, "suffix" : "" } ], "container-title" : "Environmental Microbiology", "id" : "ITEM-1", "issue" : "4", "issued" : { "date-parts" : [ [ "2008" ] ] }, "note" : "Looks at differences between epi and hypo in 3 mixing regimes\nOverlap in spatial and temporal heterogeneity\nCompares CB, TB, MA using ARISA\nCB less rich\nMA has most unique otus\nDiff subsets of persistant otus\n\n\nCorrespondance analysis:\nCB had similar epi and hypo, highly correlated with time\nMA and TB had distinct communities\n(niche diversification hypothesis)\n\n\nPermutatated distance tst for temporal variability\npartial components analysis vs principal components analysis\n\n\nepi more variable than hypo, likely driven by seasonal wheras hypo more driven by electron acceptor gradients", "page" : "1057-1067", "title" : "The influence of habitat heterogeneity on freshwater bacterial community composition and dynamics", "type" : "article-journal", "volume" : "10" }, "uris" : [ "http://www.mendeley.com/documents/?uuid=09b70398-2aaf-4d08-a953-69c5e2cb1246" ] } ], "mendeley" : { "formattedCitation" : "(11)", "plainTextFormattedCitation" : "(11)", "previouslyFormattedCitation" : "(11)" }, "properties" : { "noteIndex" : 0 }, "schema" : "https://github.com/citation-style-language/schema/raw/master/csl-citation.json" }</w:instrText>
      </w:r>
      <w:r>
        <w:fldChar w:fldCharType="separate"/>
      </w:r>
      <w:r w:rsidR="00353516" w:rsidRPr="00353516">
        <w:rPr>
          <w:noProof/>
        </w:rPr>
        <w:t>(11)</w:t>
      </w:r>
      <w:r>
        <w:fldChar w:fldCharType="end"/>
      </w:r>
      <w:r>
        <w:t>. Briefly, t</w:t>
      </w:r>
      <w:r w:rsidRPr="002A74FF">
        <w:t xml:space="preserve">he </w:t>
      </w:r>
      <w:proofErr w:type="spellStart"/>
      <w:r w:rsidRPr="002A74FF">
        <w:t>epilimnion</w:t>
      </w:r>
      <w:proofErr w:type="spellEnd"/>
      <w:r w:rsidRPr="002A74FF">
        <w:t xml:space="preserve"> and </w:t>
      </w:r>
      <w:proofErr w:type="spellStart"/>
      <w:r w:rsidRPr="002A74FF">
        <w:t>hypolimnion</w:t>
      </w:r>
      <w:proofErr w:type="spellEnd"/>
      <w:r w:rsidRPr="002A74FF">
        <w:t xml:space="preserve"> layers were collected separately using an integrated water column</w:t>
      </w:r>
      <w:r>
        <w:t xml:space="preserve"> sampler</w:t>
      </w:r>
      <w:r w:rsidRPr="002A74FF">
        <w:t xml:space="preserve">. Dissolved oxygen and temperature </w:t>
      </w:r>
      <w:r>
        <w:t xml:space="preserve">profiles </w:t>
      </w:r>
      <w:r w:rsidRPr="002A74FF">
        <w:t>were measured at the time of collection using a handheld YSI</w:t>
      </w:r>
      <w:r>
        <w:t xml:space="preserve"> 550A (YSI Inc., Yellow Springs, OH)</w:t>
      </w:r>
      <w:r w:rsidRPr="002A74FF">
        <w:t xml:space="preserve">. After transport to the laboratory, </w:t>
      </w:r>
      <w:r>
        <w:t xml:space="preserve">approximately </w:t>
      </w:r>
      <w:r w:rsidRPr="002A74FF">
        <w:t>150 mL from each</w:t>
      </w:r>
      <w:r>
        <w:t xml:space="preserve"> well-mixed</w:t>
      </w:r>
      <w:r w:rsidRPr="002A74FF">
        <w:t xml:space="preserve"> </w:t>
      </w:r>
      <w:r>
        <w:t xml:space="preserve">sample </w:t>
      </w:r>
      <w:r w:rsidRPr="002A74FF">
        <w:t xml:space="preserve">was filtered through a 0.22 micron </w:t>
      </w:r>
      <w:proofErr w:type="spellStart"/>
      <w:r>
        <w:t>polyethersulfone</w:t>
      </w:r>
      <w:proofErr w:type="spellEnd"/>
      <w:r w:rsidRPr="002A74FF">
        <w:t xml:space="preserve"> filter</w:t>
      </w:r>
      <w:r>
        <w:t xml:space="preserve"> (</w:t>
      </w:r>
      <w:proofErr w:type="spellStart"/>
      <w:r>
        <w:t>Supor</w:t>
      </w:r>
      <w:proofErr w:type="spellEnd"/>
      <w:r>
        <w:t xml:space="preserve"> 200, Pall, </w:t>
      </w:r>
      <w:proofErr w:type="gramStart"/>
      <w:r>
        <w:t>Port</w:t>
      </w:r>
      <w:proofErr w:type="gramEnd"/>
      <w:r>
        <w:t xml:space="preserve"> Washington, NY)</w:t>
      </w:r>
      <w:r w:rsidRPr="002A74FF">
        <w:t xml:space="preserve">. Filters were stored at -80C until DNA </w:t>
      </w:r>
      <w:r>
        <w:t xml:space="preserve">extraction using </w:t>
      </w:r>
      <w:proofErr w:type="spellStart"/>
      <w:r>
        <w:t>FastDNA</w:t>
      </w:r>
      <w:proofErr w:type="spellEnd"/>
      <w:r>
        <w:t xml:space="preserve"> Spin Kit for Soil (MP </w:t>
      </w:r>
      <w:proofErr w:type="spellStart"/>
      <w:r>
        <w:t>Biomedicals</w:t>
      </w:r>
      <w:proofErr w:type="spellEnd"/>
      <w:r>
        <w:t xml:space="preserve">, Santa Ana, CA), with minor modifications </w:t>
      </w:r>
      <w:r w:rsidRPr="00637477">
        <w:fldChar w:fldCharType="begin" w:fldLock="1"/>
      </w:r>
      <w:r w:rsidR="004A12DC">
        <w:instrText>ADDIN CSL_CITATION { "citationItems" : [ { "id" : "ITEM-1", "itemData" : { "DOI" : "10.4319/lo.2007.52.2.0487", "ISSN" : "00243590", "abstract" : "We investigated patterns of intra- and interannual change in pelagic bacterial community composition (BCC, assessed using automated ribosomal intergenic spacer analysis) over six years in eutrophic Lake Mendota, Wisconsin. A regular phenology was repeated across years, implying that freshwater bacterial communities are more predictable in their dynamics than previously thought. Seasonal events, such as water column mixing and trends in water temperature, were most strongly related to BCC variation. Communities became progressively less similar across years between the months of May and September, when the lake was thermally stratified. Dissolved oxygen and nitrate + nitrite concentrations were highly correlated to BCC change within and across seasons. The relationship between BCC and seasonal drivers suggests that trajectories of community change observed over long time series will reflect large-scale climate variation. Bacteria", "author" : [ { "dropping-particle" : "", "family" : "Shade", "given" : "Ashley", "non-dropping-particle" : "", "parse-names" : false, "suffix" : "" }, { "dropping-particle" : "", "family" : "Kent", "given" : "Angela D.", "non-dropping-particle" : "", "parse-names" : false, "suffix" : "" }, { "dropping-particle" : "", "family" : "Jones", "given" : "Stuart E.", "non-dropping-particle" : "", "parse-names" : false, "suffix" : "" }, { "dropping-particle" : "", "family" : "Newton", "given" : "Ryan J.", "non-dropping-particle" : "", "parse-names" : false, "suffix" : "" }, { "dropping-particle" : "", "family" : "Triplett", "given" : "Eric W.", "non-dropping-particle" : "", "parse-names" : false, "suffix" : "" }, { "dropping-particle" : "", "family" : "McMahon", "given" : "Katherine D.", "non-dropping-particle" : "", "parse-names" : false, "suffix" : "" } ], "container-title" : "Limnology and Oceanography", "id" : "ITEM-1", "issue" : "2", "issued" : { "date-parts" : [ [ "2007" ] ] }, "note" : "Goal: examine BCC over annual cycles and their relation to chemical and physical factors\nMethod: ARISA on Mendota, similarity matrices\nResults:\nMore than half of OTUs observed in all seasons\nPCA - correlation in spring with DO, chlorophyll, nitrate/ite\ncorrelation in fall with total nitrogen and temp\nPropose lake mixing as additional control on BCC\nFew winter samples\nMore temporally resolved dataset may provide more insight", "page" : "487-494", "title" : "Interannual dynamics and phenology of bacterial communities in a eutrophic lake", "type" : "article-journal", "volume" : "52" }, "uris" : [ "http://www.mendeley.com/documents/?uuid=379df6ec-9ac4-486f-8081-85285e170409" ] } ], "mendeley" : { "formattedCitation" : "(12)", "plainTextFormattedCitation" : "(12)", "previouslyFormattedCitation" : "(12)" }, "properties" : { "noteIndex" : 0 }, "schema" : "https://github.com/citation-style-language/schema/raw/master/csl-citation.json" }</w:instrText>
      </w:r>
      <w:r w:rsidRPr="00637477">
        <w:fldChar w:fldCharType="separate"/>
      </w:r>
      <w:r w:rsidR="00353516" w:rsidRPr="00353516">
        <w:rPr>
          <w:noProof/>
        </w:rPr>
        <w:t>(12)</w:t>
      </w:r>
      <w:r w:rsidRPr="00637477">
        <w:fldChar w:fldCharType="end"/>
      </w:r>
      <w:r w:rsidRPr="002A74FF">
        <w:t xml:space="preserve"> </w:t>
      </w:r>
      <w:r>
        <w:t xml:space="preserve">The sampling sites are located near </w:t>
      </w:r>
      <w:r w:rsidRPr="002A74FF">
        <w:t xml:space="preserve">Boulder Junction, WI, and were chosen to </w:t>
      </w:r>
      <w:r>
        <w:t xml:space="preserve">include lakes represent all three mixing regimes. </w:t>
      </w:r>
      <w:r w:rsidRPr="002A74FF">
        <w:t xml:space="preserve">(Table 1). </w:t>
      </w:r>
      <w:r>
        <w:t>Trout Bog and Crystal Bog are primary study sites for the North Temperate Lakes - Long Term Ecological Research Program, which measures a suite of chemical limnology parameters fortnightly during the open water season. The NTL-LTER also maintains autonomous sensing platforms (buoys) on Trout Bog and Crystal Bog, allowing for more refined mixing event detection based on thermistor chain measurements</w:t>
      </w:r>
    </w:p>
    <w:p w:rsidR="00BE72D5" w:rsidRDefault="00BE72D5" w:rsidP="00BE7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b/>
        </w:rPr>
      </w:pPr>
    </w:p>
    <w:p w:rsidR="00BE72D5" w:rsidRDefault="00BE72D5" w:rsidP="00BE7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b/>
        </w:rPr>
      </w:pPr>
    </w:p>
    <w:p w:rsidR="00BE72D5" w:rsidRDefault="00BE72D5" w:rsidP="00BE7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b/>
        </w:rPr>
      </w:pPr>
    </w:p>
    <w:p w:rsidR="00BE72D5" w:rsidRDefault="00BE72D5" w:rsidP="00BE7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b/>
        </w:rPr>
      </w:pPr>
    </w:p>
    <w:p w:rsidR="00BE72D5" w:rsidRDefault="00BE72D5" w:rsidP="00BE7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b/>
        </w:rPr>
      </w:pPr>
    </w:p>
    <w:p w:rsidR="00BE72D5" w:rsidRDefault="00BE72D5" w:rsidP="00BE7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b/>
        </w:rPr>
      </w:pPr>
    </w:p>
    <w:tbl>
      <w:tblPr>
        <w:tblStyle w:val="PlainTable1"/>
        <w:tblpPr w:leftFromText="180" w:rightFromText="180" w:vertAnchor="page" w:horzAnchor="page" w:tblpX="176" w:tblpY="3196"/>
        <w:tblW w:w="11964" w:type="dxa"/>
        <w:tblLayout w:type="fixed"/>
        <w:tblLook w:val="04A0" w:firstRow="1" w:lastRow="0" w:firstColumn="1" w:lastColumn="0" w:noHBand="0" w:noVBand="1"/>
      </w:tblPr>
      <w:tblGrid>
        <w:gridCol w:w="1362"/>
        <w:gridCol w:w="1243"/>
        <w:gridCol w:w="1202"/>
        <w:gridCol w:w="1375"/>
        <w:gridCol w:w="1375"/>
        <w:gridCol w:w="1375"/>
        <w:gridCol w:w="1375"/>
        <w:gridCol w:w="1378"/>
        <w:gridCol w:w="1279"/>
      </w:tblGrid>
      <w:tr w:rsidR="00BE72D5" w:rsidTr="00B12E1C">
        <w:trPr>
          <w:cnfStyle w:val="100000000000" w:firstRow="1" w:lastRow="0" w:firstColumn="0" w:lastColumn="0" w:oddVBand="0" w:evenVBand="0" w:oddHBand="0"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1362"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Nirmala UI Semilight" w:eastAsia="Times New Roman" w:hAnsi="Nirmala UI Semilight" w:cs="Nirmala UI Semilight"/>
                <w:i/>
                <w:sz w:val="20"/>
                <w:szCs w:val="20"/>
              </w:rPr>
            </w:pPr>
          </w:p>
        </w:tc>
        <w:tc>
          <w:tcPr>
            <w:tcW w:w="1243"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100000000000" w:firstRow="1" w:lastRow="0" w:firstColumn="0" w:lastColumn="0" w:oddVBand="0" w:evenVBand="0" w:oddHBand="0" w:evenHBand="0" w:firstRowFirstColumn="0" w:firstRowLastColumn="0" w:lastRowFirstColumn="0" w:lastRowLastColumn="0"/>
              <w:rPr>
                <w:rFonts w:ascii="Nirmala UI Semilight" w:eastAsia="Times New Roman" w:hAnsi="Nirmala UI Semilight" w:cs="Nirmala UI Semilight"/>
                <w:sz w:val="20"/>
                <w:szCs w:val="20"/>
              </w:rPr>
            </w:pPr>
            <w:r w:rsidRPr="005E5305">
              <w:rPr>
                <w:rFonts w:ascii="Nirmala UI Semilight" w:eastAsia="Times New Roman" w:hAnsi="Nirmala UI Semilight" w:cs="Nirmala UI Semilight"/>
                <w:sz w:val="20"/>
                <w:szCs w:val="20"/>
              </w:rPr>
              <w:t>Forestry Bog</w:t>
            </w:r>
          </w:p>
        </w:tc>
        <w:tc>
          <w:tcPr>
            <w:tcW w:w="1202"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100000000000" w:firstRow="1" w:lastRow="0" w:firstColumn="0" w:lastColumn="0" w:oddVBand="0" w:evenVBand="0" w:oddHBand="0" w:evenHBand="0" w:firstRowFirstColumn="0" w:firstRowLastColumn="0" w:lastRowFirstColumn="0" w:lastRowLastColumn="0"/>
              <w:rPr>
                <w:rFonts w:ascii="Nirmala UI Semilight" w:eastAsia="Times New Roman" w:hAnsi="Nirmala UI Semilight" w:cs="Nirmala UI Semilight"/>
                <w:sz w:val="20"/>
                <w:szCs w:val="20"/>
              </w:rPr>
            </w:pPr>
            <w:r w:rsidRPr="005E5305">
              <w:rPr>
                <w:rFonts w:ascii="Nirmala UI Semilight" w:eastAsia="Times New Roman" w:hAnsi="Nirmala UI Semilight" w:cs="Nirmala UI Semilight"/>
                <w:sz w:val="20"/>
                <w:szCs w:val="20"/>
              </w:rPr>
              <w:t>Crystal Bog</w:t>
            </w:r>
          </w:p>
        </w:tc>
        <w:tc>
          <w:tcPr>
            <w:tcW w:w="1375"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100000000000" w:firstRow="1" w:lastRow="0" w:firstColumn="0" w:lastColumn="0" w:oddVBand="0" w:evenVBand="0" w:oddHBand="0" w:evenHBand="0" w:firstRowFirstColumn="0" w:firstRowLastColumn="0" w:lastRowFirstColumn="0" w:lastRowLastColumn="0"/>
              <w:rPr>
                <w:rFonts w:ascii="Nirmala UI Semilight" w:eastAsia="Times New Roman" w:hAnsi="Nirmala UI Semilight" w:cs="Nirmala UI Semilight"/>
                <w:sz w:val="20"/>
                <w:szCs w:val="20"/>
              </w:rPr>
            </w:pPr>
            <w:r w:rsidRPr="005E5305">
              <w:rPr>
                <w:rFonts w:ascii="Nirmala UI Semilight" w:eastAsia="Times New Roman" w:hAnsi="Nirmala UI Semilight" w:cs="Nirmala UI Semilight"/>
                <w:sz w:val="20"/>
                <w:szCs w:val="20"/>
              </w:rPr>
              <w:t>North Sparkling Bog</w:t>
            </w:r>
          </w:p>
        </w:tc>
        <w:tc>
          <w:tcPr>
            <w:tcW w:w="1375"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100000000000" w:firstRow="1" w:lastRow="0" w:firstColumn="0" w:lastColumn="0" w:oddVBand="0" w:evenVBand="0" w:oddHBand="0" w:evenHBand="0" w:firstRowFirstColumn="0" w:firstRowLastColumn="0" w:lastRowFirstColumn="0" w:lastRowLastColumn="0"/>
              <w:rPr>
                <w:rFonts w:ascii="Nirmala UI Semilight" w:eastAsia="Times New Roman" w:hAnsi="Nirmala UI Semilight" w:cs="Nirmala UI Semilight"/>
                <w:sz w:val="20"/>
                <w:szCs w:val="20"/>
              </w:rPr>
            </w:pPr>
            <w:r w:rsidRPr="005E5305">
              <w:rPr>
                <w:rFonts w:ascii="Nirmala UI Semilight" w:eastAsia="Times New Roman" w:hAnsi="Nirmala UI Semilight" w:cs="Nirmala UI Semilight"/>
                <w:sz w:val="20"/>
                <w:szCs w:val="20"/>
              </w:rPr>
              <w:t>West Sparkling Bog</w:t>
            </w:r>
          </w:p>
        </w:tc>
        <w:tc>
          <w:tcPr>
            <w:tcW w:w="1375"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100000000000" w:firstRow="1" w:lastRow="0" w:firstColumn="0" w:lastColumn="0" w:oddVBand="0" w:evenVBand="0" w:oddHBand="0" w:evenHBand="0" w:firstRowFirstColumn="0" w:firstRowLastColumn="0" w:lastRowFirstColumn="0" w:lastRowLastColumn="0"/>
              <w:rPr>
                <w:rFonts w:ascii="Nirmala UI Semilight" w:eastAsia="Times New Roman" w:hAnsi="Nirmala UI Semilight" w:cs="Nirmala UI Semilight"/>
                <w:sz w:val="20"/>
                <w:szCs w:val="20"/>
              </w:rPr>
            </w:pPr>
            <w:r w:rsidRPr="005E5305">
              <w:rPr>
                <w:rFonts w:ascii="Nirmala UI Semilight" w:eastAsia="Times New Roman" w:hAnsi="Nirmala UI Semilight" w:cs="Nirmala UI Semilight"/>
                <w:sz w:val="20"/>
                <w:szCs w:val="20"/>
              </w:rPr>
              <w:t>Trout Bog</w:t>
            </w:r>
          </w:p>
        </w:tc>
        <w:tc>
          <w:tcPr>
            <w:tcW w:w="1375"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100000000000" w:firstRow="1" w:lastRow="0" w:firstColumn="0" w:lastColumn="0" w:oddVBand="0" w:evenVBand="0" w:oddHBand="0" w:evenHBand="0" w:firstRowFirstColumn="0" w:firstRowLastColumn="0" w:lastRowFirstColumn="0" w:lastRowLastColumn="0"/>
              <w:rPr>
                <w:rFonts w:ascii="Nirmala UI Semilight" w:eastAsia="Times New Roman" w:hAnsi="Nirmala UI Semilight" w:cs="Nirmala UI Semilight"/>
                <w:sz w:val="20"/>
                <w:szCs w:val="20"/>
              </w:rPr>
            </w:pPr>
            <w:r w:rsidRPr="005E5305">
              <w:rPr>
                <w:rFonts w:ascii="Nirmala UI Semilight" w:eastAsia="Times New Roman" w:hAnsi="Nirmala UI Semilight" w:cs="Nirmala UI Semilight"/>
                <w:sz w:val="20"/>
                <w:szCs w:val="20"/>
              </w:rPr>
              <w:t>South Sparkling Bog</w:t>
            </w:r>
          </w:p>
        </w:tc>
        <w:tc>
          <w:tcPr>
            <w:tcW w:w="1378"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100000000000" w:firstRow="1" w:lastRow="0" w:firstColumn="0" w:lastColumn="0" w:oddVBand="0" w:evenVBand="0" w:oddHBand="0" w:evenHBand="0" w:firstRowFirstColumn="0" w:firstRowLastColumn="0" w:lastRowFirstColumn="0" w:lastRowLastColumn="0"/>
              <w:rPr>
                <w:rFonts w:ascii="Nirmala UI Semilight" w:eastAsia="Times New Roman" w:hAnsi="Nirmala UI Semilight" w:cs="Nirmala UI Semilight"/>
                <w:sz w:val="20"/>
                <w:szCs w:val="20"/>
              </w:rPr>
            </w:pPr>
            <w:r w:rsidRPr="005E5305">
              <w:rPr>
                <w:rFonts w:ascii="Nirmala UI Semilight" w:eastAsia="Times New Roman" w:hAnsi="Nirmala UI Semilight" w:cs="Nirmala UI Semilight"/>
                <w:sz w:val="20"/>
                <w:szCs w:val="20"/>
              </w:rPr>
              <w:t>Hell’s Kitchen</w:t>
            </w:r>
          </w:p>
        </w:tc>
        <w:tc>
          <w:tcPr>
            <w:tcW w:w="1279"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100000000000" w:firstRow="1" w:lastRow="0" w:firstColumn="0" w:lastColumn="0" w:oddVBand="0" w:evenVBand="0" w:oddHBand="0" w:evenHBand="0" w:firstRowFirstColumn="0" w:firstRowLastColumn="0" w:lastRowFirstColumn="0" w:lastRowLastColumn="0"/>
              <w:rPr>
                <w:rFonts w:ascii="Nirmala UI Semilight" w:eastAsia="Times New Roman" w:hAnsi="Nirmala UI Semilight" w:cs="Nirmala UI Semilight"/>
                <w:sz w:val="20"/>
                <w:szCs w:val="20"/>
              </w:rPr>
            </w:pPr>
            <w:r w:rsidRPr="005E5305">
              <w:rPr>
                <w:rFonts w:ascii="Nirmala UI Semilight" w:eastAsia="Times New Roman" w:hAnsi="Nirmala UI Semilight" w:cs="Nirmala UI Semilight"/>
                <w:sz w:val="20"/>
                <w:szCs w:val="20"/>
              </w:rPr>
              <w:t>Mary Lake</w:t>
            </w:r>
          </w:p>
        </w:tc>
      </w:tr>
      <w:tr w:rsidR="00BE72D5" w:rsidTr="00B12E1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362"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Nirmala UI Semilight" w:eastAsia="Times New Roman" w:hAnsi="Nirmala UI Semilight" w:cs="Nirmala UI Semilight"/>
                <w:sz w:val="20"/>
                <w:szCs w:val="20"/>
              </w:rPr>
            </w:pPr>
            <w:r w:rsidRPr="005E5305">
              <w:rPr>
                <w:rFonts w:ascii="Nirmala UI Semilight" w:eastAsia="Times New Roman" w:hAnsi="Nirmala UI Semilight" w:cs="Nirmala UI Semilight"/>
                <w:sz w:val="20"/>
                <w:szCs w:val="20"/>
              </w:rPr>
              <w:t>ID</w:t>
            </w:r>
          </w:p>
        </w:tc>
        <w:tc>
          <w:tcPr>
            <w:tcW w:w="1243"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Nirmala UI Semilight" w:eastAsia="Times New Roman" w:hAnsi="Nirmala UI Semilight" w:cs="Nirmala UI Semilight"/>
                <w:sz w:val="20"/>
                <w:szCs w:val="20"/>
              </w:rPr>
            </w:pPr>
            <w:r w:rsidRPr="005E5305">
              <w:rPr>
                <w:rFonts w:ascii="Nirmala UI Semilight" w:eastAsia="Times New Roman" w:hAnsi="Nirmala UI Semilight" w:cs="Nirmala UI Semilight"/>
                <w:sz w:val="20"/>
                <w:szCs w:val="20"/>
              </w:rPr>
              <w:t>FB</w:t>
            </w:r>
          </w:p>
        </w:tc>
        <w:tc>
          <w:tcPr>
            <w:tcW w:w="1202"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Nirmala UI Semilight" w:eastAsia="Times New Roman" w:hAnsi="Nirmala UI Semilight" w:cs="Nirmala UI Semilight"/>
                <w:sz w:val="20"/>
                <w:szCs w:val="20"/>
              </w:rPr>
            </w:pPr>
            <w:r w:rsidRPr="005E5305">
              <w:rPr>
                <w:rFonts w:ascii="Nirmala UI Semilight" w:eastAsia="Times New Roman" w:hAnsi="Nirmala UI Semilight" w:cs="Nirmala UI Semilight"/>
                <w:sz w:val="20"/>
                <w:szCs w:val="20"/>
              </w:rPr>
              <w:t>CB</w:t>
            </w:r>
          </w:p>
        </w:tc>
        <w:tc>
          <w:tcPr>
            <w:tcW w:w="1375"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Nirmala UI Semilight" w:eastAsia="Times New Roman" w:hAnsi="Nirmala UI Semilight" w:cs="Nirmala UI Semilight"/>
                <w:sz w:val="20"/>
                <w:szCs w:val="20"/>
              </w:rPr>
            </w:pPr>
            <w:r w:rsidRPr="005E5305">
              <w:rPr>
                <w:rFonts w:ascii="Nirmala UI Semilight" w:eastAsia="Times New Roman" w:hAnsi="Nirmala UI Semilight" w:cs="Nirmala UI Semilight"/>
                <w:sz w:val="20"/>
                <w:szCs w:val="20"/>
              </w:rPr>
              <w:t>NS</w:t>
            </w:r>
          </w:p>
        </w:tc>
        <w:tc>
          <w:tcPr>
            <w:tcW w:w="1375"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Nirmala UI Semilight" w:eastAsia="Times New Roman" w:hAnsi="Nirmala UI Semilight" w:cs="Nirmala UI Semilight"/>
                <w:sz w:val="20"/>
                <w:szCs w:val="20"/>
              </w:rPr>
            </w:pPr>
            <w:r w:rsidRPr="005E5305">
              <w:rPr>
                <w:rFonts w:ascii="Nirmala UI Semilight" w:eastAsia="Times New Roman" w:hAnsi="Nirmala UI Semilight" w:cs="Nirmala UI Semilight"/>
                <w:sz w:val="20"/>
                <w:szCs w:val="20"/>
              </w:rPr>
              <w:t>WS</w:t>
            </w:r>
          </w:p>
        </w:tc>
        <w:tc>
          <w:tcPr>
            <w:tcW w:w="1375"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Nirmala UI Semilight" w:eastAsia="Times New Roman" w:hAnsi="Nirmala UI Semilight" w:cs="Nirmala UI Semilight"/>
                <w:sz w:val="20"/>
                <w:szCs w:val="20"/>
              </w:rPr>
            </w:pPr>
            <w:r w:rsidRPr="005E5305">
              <w:rPr>
                <w:rFonts w:ascii="Nirmala UI Semilight" w:eastAsia="Times New Roman" w:hAnsi="Nirmala UI Semilight" w:cs="Nirmala UI Semilight"/>
                <w:sz w:val="20"/>
                <w:szCs w:val="20"/>
              </w:rPr>
              <w:t>TB</w:t>
            </w:r>
          </w:p>
        </w:tc>
        <w:tc>
          <w:tcPr>
            <w:tcW w:w="1375"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Nirmala UI Semilight" w:eastAsia="Times New Roman" w:hAnsi="Nirmala UI Semilight" w:cs="Nirmala UI Semilight"/>
                <w:sz w:val="20"/>
                <w:szCs w:val="20"/>
              </w:rPr>
            </w:pPr>
            <w:r w:rsidRPr="005E5305">
              <w:rPr>
                <w:rFonts w:ascii="Nirmala UI Semilight" w:eastAsia="Times New Roman" w:hAnsi="Nirmala UI Semilight" w:cs="Nirmala UI Semilight"/>
                <w:sz w:val="20"/>
                <w:szCs w:val="20"/>
              </w:rPr>
              <w:t>SS</w:t>
            </w:r>
          </w:p>
        </w:tc>
        <w:tc>
          <w:tcPr>
            <w:tcW w:w="1378"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Nirmala UI Semilight" w:eastAsia="Times New Roman" w:hAnsi="Nirmala UI Semilight" w:cs="Nirmala UI Semilight"/>
                <w:sz w:val="20"/>
                <w:szCs w:val="20"/>
              </w:rPr>
            </w:pPr>
            <w:r w:rsidRPr="005E5305">
              <w:rPr>
                <w:rFonts w:ascii="Nirmala UI Semilight" w:eastAsia="Times New Roman" w:hAnsi="Nirmala UI Semilight" w:cs="Nirmala UI Semilight"/>
                <w:sz w:val="20"/>
                <w:szCs w:val="20"/>
              </w:rPr>
              <w:t>HK</w:t>
            </w:r>
          </w:p>
        </w:tc>
        <w:tc>
          <w:tcPr>
            <w:tcW w:w="1279"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Nirmala UI Semilight" w:eastAsia="Times New Roman" w:hAnsi="Nirmala UI Semilight" w:cs="Nirmala UI Semilight"/>
                <w:sz w:val="20"/>
                <w:szCs w:val="20"/>
              </w:rPr>
            </w:pPr>
            <w:r w:rsidRPr="005E5305">
              <w:rPr>
                <w:rFonts w:ascii="Nirmala UI Semilight" w:eastAsia="Times New Roman" w:hAnsi="Nirmala UI Semilight" w:cs="Nirmala UI Semilight"/>
                <w:sz w:val="20"/>
                <w:szCs w:val="20"/>
              </w:rPr>
              <w:t>MA</w:t>
            </w:r>
          </w:p>
        </w:tc>
      </w:tr>
      <w:tr w:rsidR="00BE72D5" w:rsidTr="00B12E1C">
        <w:trPr>
          <w:trHeight w:val="251"/>
        </w:trPr>
        <w:tc>
          <w:tcPr>
            <w:cnfStyle w:val="001000000000" w:firstRow="0" w:lastRow="0" w:firstColumn="1" w:lastColumn="0" w:oddVBand="0" w:evenVBand="0" w:oddHBand="0" w:evenHBand="0" w:firstRowFirstColumn="0" w:firstRowLastColumn="0" w:lastRowFirstColumn="0" w:lastRowLastColumn="0"/>
            <w:tcW w:w="1362"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Nirmala UI Semilight" w:eastAsia="Times New Roman" w:hAnsi="Nirmala UI Semilight" w:cs="Nirmala UI Semilight"/>
                <w:sz w:val="20"/>
                <w:szCs w:val="20"/>
              </w:rPr>
            </w:pPr>
            <w:r w:rsidRPr="005E5305">
              <w:rPr>
                <w:rFonts w:ascii="Nirmala UI Semilight" w:eastAsia="Times New Roman" w:hAnsi="Nirmala UI Semilight" w:cs="Nirmala UI Semilight"/>
                <w:sz w:val="20"/>
                <w:szCs w:val="20"/>
              </w:rPr>
              <w:t>Depth</w:t>
            </w:r>
            <w:r w:rsidRPr="005E5305">
              <w:rPr>
                <w:rFonts w:ascii="Nirmala UI Semilight" w:eastAsia="Times New Roman" w:hAnsi="Nirmala UI Semilight" w:cs="Nirmala UI Semilight"/>
                <w:i/>
                <w:sz w:val="20"/>
                <w:szCs w:val="20"/>
              </w:rPr>
              <w:t xml:space="preserve"> (m)</w:t>
            </w:r>
          </w:p>
        </w:tc>
        <w:tc>
          <w:tcPr>
            <w:tcW w:w="1243"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Nirmala UI Semilight" w:eastAsia="Times New Roman" w:hAnsi="Nirmala UI Semilight" w:cs="Nirmala UI Semilight"/>
                <w:sz w:val="20"/>
                <w:szCs w:val="20"/>
              </w:rPr>
            </w:pPr>
            <w:r w:rsidRPr="005E5305">
              <w:rPr>
                <w:rFonts w:ascii="Nirmala UI Semilight" w:eastAsia="Times New Roman" w:hAnsi="Nirmala UI Semilight" w:cs="Nirmala UI Semilight"/>
                <w:sz w:val="20"/>
                <w:szCs w:val="20"/>
              </w:rPr>
              <w:t>2.0</w:t>
            </w:r>
          </w:p>
        </w:tc>
        <w:tc>
          <w:tcPr>
            <w:tcW w:w="1202"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Nirmala UI Semilight" w:eastAsia="Times New Roman" w:hAnsi="Nirmala UI Semilight" w:cs="Nirmala UI Semilight"/>
                <w:sz w:val="20"/>
                <w:szCs w:val="20"/>
              </w:rPr>
            </w:pPr>
            <w:r w:rsidRPr="005E5305">
              <w:rPr>
                <w:rFonts w:ascii="Nirmala UI Semilight" w:eastAsia="Times New Roman" w:hAnsi="Nirmala UI Semilight" w:cs="Nirmala UI Semilight"/>
                <w:sz w:val="20"/>
                <w:szCs w:val="20"/>
              </w:rPr>
              <w:t>2.5</w:t>
            </w:r>
          </w:p>
        </w:tc>
        <w:tc>
          <w:tcPr>
            <w:tcW w:w="1375"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Nirmala UI Semilight" w:eastAsia="Times New Roman" w:hAnsi="Nirmala UI Semilight" w:cs="Nirmala UI Semilight"/>
                <w:sz w:val="20"/>
                <w:szCs w:val="20"/>
              </w:rPr>
            </w:pPr>
            <w:r w:rsidRPr="005E5305">
              <w:rPr>
                <w:rFonts w:ascii="Nirmala UI Semilight" w:eastAsia="Times New Roman" w:hAnsi="Nirmala UI Semilight" w:cs="Nirmala UI Semilight"/>
                <w:sz w:val="20"/>
                <w:szCs w:val="20"/>
              </w:rPr>
              <w:t>4.5</w:t>
            </w:r>
          </w:p>
        </w:tc>
        <w:tc>
          <w:tcPr>
            <w:tcW w:w="1375"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Nirmala UI Semilight" w:eastAsia="Times New Roman" w:hAnsi="Nirmala UI Semilight" w:cs="Nirmala UI Semilight"/>
                <w:sz w:val="20"/>
                <w:szCs w:val="20"/>
              </w:rPr>
            </w:pPr>
            <w:r w:rsidRPr="005E5305">
              <w:rPr>
                <w:rFonts w:ascii="Nirmala UI Semilight" w:eastAsia="Times New Roman" w:hAnsi="Nirmala UI Semilight" w:cs="Nirmala UI Semilight"/>
                <w:sz w:val="20"/>
                <w:szCs w:val="20"/>
              </w:rPr>
              <w:t>4.6</w:t>
            </w:r>
          </w:p>
        </w:tc>
        <w:tc>
          <w:tcPr>
            <w:tcW w:w="1375"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Nirmala UI Semilight" w:eastAsia="Times New Roman" w:hAnsi="Nirmala UI Semilight" w:cs="Nirmala UI Semilight"/>
                <w:sz w:val="20"/>
                <w:szCs w:val="20"/>
              </w:rPr>
            </w:pPr>
            <w:r w:rsidRPr="005E5305">
              <w:rPr>
                <w:rFonts w:ascii="Nirmala UI Semilight" w:eastAsia="Times New Roman" w:hAnsi="Nirmala UI Semilight" w:cs="Nirmala UI Semilight"/>
                <w:sz w:val="20"/>
                <w:szCs w:val="20"/>
              </w:rPr>
              <w:t>7.0</w:t>
            </w:r>
          </w:p>
        </w:tc>
        <w:tc>
          <w:tcPr>
            <w:tcW w:w="1375"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Nirmala UI Semilight" w:eastAsia="Times New Roman" w:hAnsi="Nirmala UI Semilight" w:cs="Nirmala UI Semilight"/>
                <w:sz w:val="20"/>
                <w:szCs w:val="20"/>
              </w:rPr>
            </w:pPr>
            <w:r w:rsidRPr="005E5305">
              <w:rPr>
                <w:rFonts w:ascii="Nirmala UI Semilight" w:eastAsia="Times New Roman" w:hAnsi="Nirmala UI Semilight" w:cs="Nirmala UI Semilight"/>
                <w:sz w:val="20"/>
                <w:szCs w:val="20"/>
              </w:rPr>
              <w:t>8.0</w:t>
            </w:r>
          </w:p>
        </w:tc>
        <w:tc>
          <w:tcPr>
            <w:tcW w:w="1378"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Nirmala UI Semilight" w:eastAsia="Times New Roman" w:hAnsi="Nirmala UI Semilight" w:cs="Nirmala UI Semilight"/>
                <w:sz w:val="20"/>
                <w:szCs w:val="20"/>
              </w:rPr>
            </w:pPr>
            <w:r w:rsidRPr="005E5305">
              <w:rPr>
                <w:rFonts w:ascii="Nirmala UI Semilight" w:eastAsia="Times New Roman" w:hAnsi="Nirmala UI Semilight" w:cs="Nirmala UI Semilight"/>
                <w:sz w:val="20"/>
                <w:szCs w:val="20"/>
              </w:rPr>
              <w:t>19.3</w:t>
            </w:r>
          </w:p>
        </w:tc>
        <w:tc>
          <w:tcPr>
            <w:tcW w:w="1279"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Nirmala UI Semilight" w:eastAsia="Times New Roman" w:hAnsi="Nirmala UI Semilight" w:cs="Nirmala UI Semilight"/>
                <w:sz w:val="20"/>
                <w:szCs w:val="20"/>
              </w:rPr>
            </w:pPr>
            <w:r w:rsidRPr="005E5305">
              <w:rPr>
                <w:rFonts w:ascii="Nirmala UI Semilight" w:eastAsia="Times New Roman" w:hAnsi="Nirmala UI Semilight" w:cs="Nirmala UI Semilight"/>
                <w:sz w:val="20"/>
                <w:szCs w:val="20"/>
              </w:rPr>
              <w:t>21.5</w:t>
            </w:r>
          </w:p>
        </w:tc>
      </w:tr>
      <w:tr w:rsidR="00BE72D5" w:rsidTr="00B12E1C">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1362"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Nirmala UI Semilight" w:eastAsia="Times New Roman" w:hAnsi="Nirmala UI Semilight" w:cs="Nirmala UI Semilight"/>
                <w:sz w:val="20"/>
                <w:szCs w:val="20"/>
              </w:rPr>
            </w:pPr>
            <w:r w:rsidRPr="005E5305">
              <w:rPr>
                <w:rFonts w:ascii="Nirmala UI Semilight" w:eastAsia="Times New Roman" w:hAnsi="Nirmala UI Semilight" w:cs="Nirmala UI Semilight"/>
                <w:sz w:val="20"/>
                <w:szCs w:val="20"/>
              </w:rPr>
              <w:t>Surface area</w:t>
            </w:r>
            <w:r w:rsidRPr="005E5305">
              <w:rPr>
                <w:rFonts w:ascii="Nirmala UI Semilight" w:eastAsia="Times New Roman" w:hAnsi="Nirmala UI Semilight" w:cs="Nirmala UI Semilight"/>
                <w:i/>
                <w:sz w:val="20"/>
                <w:szCs w:val="20"/>
              </w:rPr>
              <w:t xml:space="preserve"> (m</w:t>
            </w:r>
            <w:r w:rsidRPr="005E5305">
              <w:rPr>
                <w:rFonts w:ascii="Nirmala UI Semilight" w:eastAsia="Times New Roman" w:hAnsi="Nirmala UI Semilight" w:cs="Nirmala UI Semilight"/>
                <w:i/>
                <w:sz w:val="20"/>
                <w:szCs w:val="20"/>
                <w:vertAlign w:val="superscript"/>
              </w:rPr>
              <w:t>2</w:t>
            </w:r>
            <w:r w:rsidRPr="005E5305">
              <w:rPr>
                <w:rFonts w:ascii="Nirmala UI Semilight" w:eastAsia="Times New Roman" w:hAnsi="Nirmala UI Semilight" w:cs="Nirmala UI Semilight"/>
                <w:i/>
                <w:sz w:val="20"/>
                <w:szCs w:val="20"/>
              </w:rPr>
              <w:t>)</w:t>
            </w:r>
          </w:p>
        </w:tc>
        <w:tc>
          <w:tcPr>
            <w:tcW w:w="1243"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Nirmala UI Semilight" w:eastAsia="Times New Roman" w:hAnsi="Nirmala UI Semilight" w:cs="Nirmala UI Semilight"/>
                <w:sz w:val="20"/>
                <w:szCs w:val="20"/>
              </w:rPr>
            </w:pPr>
            <w:r w:rsidRPr="005E5305">
              <w:rPr>
                <w:rFonts w:ascii="Nirmala UI Semilight" w:eastAsia="Times New Roman" w:hAnsi="Nirmala UI Semilight" w:cs="Nirmala UI Semilight"/>
                <w:sz w:val="20"/>
                <w:szCs w:val="20"/>
              </w:rPr>
              <w:t>1300</w:t>
            </w:r>
          </w:p>
        </w:tc>
        <w:tc>
          <w:tcPr>
            <w:tcW w:w="1202"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Nirmala UI Semilight" w:eastAsia="Times New Roman" w:hAnsi="Nirmala UI Semilight" w:cs="Nirmala UI Semilight"/>
                <w:sz w:val="20"/>
                <w:szCs w:val="20"/>
              </w:rPr>
            </w:pPr>
            <w:r w:rsidRPr="005E5305">
              <w:rPr>
                <w:rFonts w:ascii="Nirmala UI Semilight" w:eastAsia="Times New Roman" w:hAnsi="Nirmala UI Semilight" w:cs="Nirmala UI Semilight"/>
                <w:sz w:val="20"/>
                <w:szCs w:val="20"/>
              </w:rPr>
              <w:t>5600</w:t>
            </w:r>
          </w:p>
        </w:tc>
        <w:tc>
          <w:tcPr>
            <w:tcW w:w="1375"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Nirmala UI Semilight" w:eastAsia="Times New Roman" w:hAnsi="Nirmala UI Semilight" w:cs="Nirmala UI Semilight"/>
                <w:sz w:val="20"/>
                <w:szCs w:val="20"/>
              </w:rPr>
            </w:pPr>
            <w:r w:rsidRPr="005E5305">
              <w:rPr>
                <w:rFonts w:ascii="Nirmala UI Semilight" w:eastAsia="Times New Roman" w:hAnsi="Nirmala UI Semilight" w:cs="Nirmala UI Semilight"/>
                <w:sz w:val="20"/>
                <w:szCs w:val="20"/>
              </w:rPr>
              <w:t>4700</w:t>
            </w:r>
          </w:p>
        </w:tc>
        <w:tc>
          <w:tcPr>
            <w:tcW w:w="1375"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Nirmala UI Semilight" w:eastAsia="Times New Roman" w:hAnsi="Nirmala UI Semilight" w:cs="Nirmala UI Semilight"/>
                <w:sz w:val="20"/>
                <w:szCs w:val="20"/>
              </w:rPr>
            </w:pPr>
            <w:r w:rsidRPr="005E5305">
              <w:rPr>
                <w:rFonts w:ascii="Nirmala UI Semilight" w:eastAsia="Times New Roman" w:hAnsi="Nirmala UI Semilight" w:cs="Nirmala UI Semilight"/>
                <w:sz w:val="20"/>
                <w:szCs w:val="20"/>
              </w:rPr>
              <w:t>11900</w:t>
            </w:r>
          </w:p>
        </w:tc>
        <w:tc>
          <w:tcPr>
            <w:tcW w:w="1375"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Nirmala UI Semilight" w:eastAsia="Times New Roman" w:hAnsi="Nirmala UI Semilight" w:cs="Nirmala UI Semilight"/>
                <w:sz w:val="20"/>
                <w:szCs w:val="20"/>
              </w:rPr>
            </w:pPr>
            <w:r w:rsidRPr="005E5305">
              <w:rPr>
                <w:rFonts w:ascii="Nirmala UI Semilight" w:eastAsia="Times New Roman" w:hAnsi="Nirmala UI Semilight" w:cs="Nirmala UI Semilight"/>
                <w:sz w:val="20"/>
                <w:szCs w:val="20"/>
              </w:rPr>
              <w:t>10100</w:t>
            </w:r>
          </w:p>
        </w:tc>
        <w:tc>
          <w:tcPr>
            <w:tcW w:w="1375"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Nirmala UI Semilight" w:eastAsia="Times New Roman" w:hAnsi="Nirmala UI Semilight" w:cs="Nirmala UI Semilight"/>
                <w:sz w:val="20"/>
                <w:szCs w:val="20"/>
              </w:rPr>
            </w:pPr>
            <w:r w:rsidRPr="005E5305">
              <w:rPr>
                <w:rFonts w:ascii="Nirmala UI Semilight" w:eastAsia="Times New Roman" w:hAnsi="Nirmala UI Semilight" w:cs="Nirmala UI Semilight"/>
                <w:sz w:val="20"/>
                <w:szCs w:val="20"/>
              </w:rPr>
              <w:t>4400</w:t>
            </w:r>
          </w:p>
        </w:tc>
        <w:tc>
          <w:tcPr>
            <w:tcW w:w="1378"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Nirmala UI Semilight" w:eastAsia="Times New Roman" w:hAnsi="Nirmala UI Semilight" w:cs="Nirmala UI Semilight"/>
                <w:sz w:val="20"/>
                <w:szCs w:val="20"/>
              </w:rPr>
            </w:pPr>
            <w:r w:rsidRPr="005E5305">
              <w:rPr>
                <w:rFonts w:ascii="Nirmala UI Semilight" w:eastAsia="Times New Roman" w:hAnsi="Nirmala UI Semilight" w:cs="Nirmala UI Semilight"/>
                <w:sz w:val="20"/>
                <w:szCs w:val="20"/>
              </w:rPr>
              <w:t>30000</w:t>
            </w:r>
          </w:p>
        </w:tc>
        <w:tc>
          <w:tcPr>
            <w:tcW w:w="1279"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Nirmala UI Semilight" w:eastAsia="Times New Roman" w:hAnsi="Nirmala UI Semilight" w:cs="Nirmala UI Semilight"/>
                <w:sz w:val="20"/>
                <w:szCs w:val="20"/>
              </w:rPr>
            </w:pPr>
            <w:r w:rsidRPr="005E5305">
              <w:rPr>
                <w:rFonts w:ascii="Nirmala UI Semilight" w:eastAsia="Times New Roman" w:hAnsi="Nirmala UI Semilight" w:cs="Nirmala UI Semilight"/>
                <w:sz w:val="20"/>
                <w:szCs w:val="20"/>
              </w:rPr>
              <w:t>12000</w:t>
            </w:r>
          </w:p>
        </w:tc>
      </w:tr>
      <w:tr w:rsidR="00BE72D5" w:rsidTr="00B12E1C">
        <w:trPr>
          <w:trHeight w:val="488"/>
        </w:trPr>
        <w:tc>
          <w:tcPr>
            <w:cnfStyle w:val="001000000000" w:firstRow="0" w:lastRow="0" w:firstColumn="1" w:lastColumn="0" w:oddVBand="0" w:evenVBand="0" w:oddHBand="0" w:evenHBand="0" w:firstRowFirstColumn="0" w:firstRowLastColumn="0" w:lastRowFirstColumn="0" w:lastRowLastColumn="0"/>
            <w:tcW w:w="1362"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Nirmala UI Semilight" w:eastAsia="Times New Roman" w:hAnsi="Nirmala UI Semilight" w:cs="Nirmala UI Semilight"/>
                <w:sz w:val="20"/>
                <w:szCs w:val="20"/>
              </w:rPr>
            </w:pPr>
            <w:r w:rsidRPr="005E5305">
              <w:rPr>
                <w:rFonts w:ascii="Nirmala UI Semilight" w:eastAsia="Times New Roman" w:hAnsi="Nirmala UI Semilight" w:cs="Nirmala UI Semilight"/>
                <w:sz w:val="20"/>
                <w:szCs w:val="20"/>
              </w:rPr>
              <w:t>Mixing regime</w:t>
            </w:r>
          </w:p>
        </w:tc>
        <w:tc>
          <w:tcPr>
            <w:tcW w:w="1243"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Nirmala UI Semilight" w:eastAsia="Times New Roman" w:hAnsi="Nirmala UI Semilight" w:cs="Nirmala UI Semilight"/>
                <w:sz w:val="20"/>
                <w:szCs w:val="20"/>
              </w:rPr>
            </w:pPr>
            <w:proofErr w:type="spellStart"/>
            <w:r w:rsidRPr="005E5305">
              <w:rPr>
                <w:rFonts w:ascii="Nirmala UI Semilight" w:eastAsia="Times New Roman" w:hAnsi="Nirmala UI Semilight" w:cs="Nirmala UI Semilight"/>
                <w:sz w:val="20"/>
                <w:szCs w:val="20"/>
              </w:rPr>
              <w:t>Polymictic</w:t>
            </w:r>
            <w:proofErr w:type="spellEnd"/>
          </w:p>
        </w:tc>
        <w:tc>
          <w:tcPr>
            <w:tcW w:w="1202"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Nirmala UI Semilight" w:eastAsia="Times New Roman" w:hAnsi="Nirmala UI Semilight" w:cs="Nirmala UI Semilight"/>
                <w:sz w:val="20"/>
                <w:szCs w:val="20"/>
              </w:rPr>
            </w:pPr>
            <w:proofErr w:type="spellStart"/>
            <w:r w:rsidRPr="005E5305">
              <w:rPr>
                <w:rFonts w:ascii="Nirmala UI Semilight" w:eastAsia="Times New Roman" w:hAnsi="Nirmala UI Semilight" w:cs="Nirmala UI Semilight"/>
                <w:sz w:val="20"/>
                <w:szCs w:val="20"/>
              </w:rPr>
              <w:t>Polymictic</w:t>
            </w:r>
            <w:proofErr w:type="spellEnd"/>
          </w:p>
        </w:tc>
        <w:tc>
          <w:tcPr>
            <w:tcW w:w="1375"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Nirmala UI Semilight" w:eastAsia="Times New Roman" w:hAnsi="Nirmala UI Semilight" w:cs="Nirmala UI Semilight"/>
                <w:sz w:val="20"/>
                <w:szCs w:val="20"/>
              </w:rPr>
            </w:pPr>
            <w:r w:rsidRPr="005E5305">
              <w:rPr>
                <w:rFonts w:ascii="Nirmala UI Semilight" w:eastAsia="Times New Roman" w:hAnsi="Nirmala UI Semilight" w:cs="Nirmala UI Semilight"/>
                <w:sz w:val="20"/>
                <w:szCs w:val="20"/>
              </w:rPr>
              <w:t>Dimictic</w:t>
            </w:r>
          </w:p>
        </w:tc>
        <w:tc>
          <w:tcPr>
            <w:tcW w:w="1375"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Nirmala UI Semilight" w:eastAsia="Times New Roman" w:hAnsi="Nirmala UI Semilight" w:cs="Nirmala UI Semilight"/>
                <w:sz w:val="20"/>
                <w:szCs w:val="20"/>
              </w:rPr>
            </w:pPr>
            <w:proofErr w:type="spellStart"/>
            <w:r w:rsidRPr="005E5305">
              <w:rPr>
                <w:rFonts w:ascii="Nirmala UI Semilight" w:eastAsia="Times New Roman" w:hAnsi="Nirmala UI Semilight" w:cs="Nirmala UI Semilight"/>
                <w:sz w:val="20"/>
                <w:szCs w:val="20"/>
              </w:rPr>
              <w:t>Polymictic</w:t>
            </w:r>
            <w:proofErr w:type="spellEnd"/>
          </w:p>
        </w:tc>
        <w:tc>
          <w:tcPr>
            <w:tcW w:w="1375"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Nirmala UI Semilight" w:eastAsia="Times New Roman" w:hAnsi="Nirmala UI Semilight" w:cs="Nirmala UI Semilight"/>
                <w:sz w:val="20"/>
                <w:szCs w:val="20"/>
              </w:rPr>
            </w:pPr>
            <w:r w:rsidRPr="005E5305">
              <w:rPr>
                <w:rFonts w:ascii="Nirmala UI Semilight" w:eastAsia="Times New Roman" w:hAnsi="Nirmala UI Semilight" w:cs="Nirmala UI Semilight"/>
                <w:sz w:val="20"/>
                <w:szCs w:val="20"/>
              </w:rPr>
              <w:t>Dimictic</w:t>
            </w:r>
          </w:p>
        </w:tc>
        <w:tc>
          <w:tcPr>
            <w:tcW w:w="1375"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Nirmala UI Semilight" w:eastAsia="Times New Roman" w:hAnsi="Nirmala UI Semilight" w:cs="Nirmala UI Semilight"/>
                <w:sz w:val="20"/>
                <w:szCs w:val="20"/>
              </w:rPr>
            </w:pPr>
            <w:r w:rsidRPr="005E5305">
              <w:rPr>
                <w:rFonts w:ascii="Nirmala UI Semilight" w:eastAsia="Times New Roman" w:hAnsi="Nirmala UI Semilight" w:cs="Nirmala UI Semilight"/>
                <w:sz w:val="20"/>
                <w:szCs w:val="20"/>
              </w:rPr>
              <w:t>Dimictic</w:t>
            </w:r>
          </w:p>
        </w:tc>
        <w:tc>
          <w:tcPr>
            <w:tcW w:w="1378"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Nirmala UI Semilight" w:eastAsia="Times New Roman" w:hAnsi="Nirmala UI Semilight" w:cs="Nirmala UI Semilight"/>
                <w:sz w:val="20"/>
                <w:szCs w:val="20"/>
              </w:rPr>
            </w:pPr>
            <w:r w:rsidRPr="005E5305">
              <w:rPr>
                <w:rFonts w:ascii="Nirmala UI Semilight" w:eastAsia="Times New Roman" w:hAnsi="Nirmala UI Semilight" w:cs="Nirmala UI Semilight"/>
                <w:sz w:val="20"/>
                <w:szCs w:val="20"/>
              </w:rPr>
              <w:t>Meromictic</w:t>
            </w:r>
          </w:p>
        </w:tc>
        <w:tc>
          <w:tcPr>
            <w:tcW w:w="1279"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Nirmala UI Semilight" w:eastAsia="Times New Roman" w:hAnsi="Nirmala UI Semilight" w:cs="Nirmala UI Semilight"/>
                <w:sz w:val="20"/>
                <w:szCs w:val="20"/>
              </w:rPr>
            </w:pPr>
            <w:r w:rsidRPr="005E5305">
              <w:rPr>
                <w:rFonts w:ascii="Nirmala UI Semilight" w:eastAsia="Times New Roman" w:hAnsi="Nirmala UI Semilight" w:cs="Nirmala UI Semilight"/>
                <w:sz w:val="20"/>
                <w:szCs w:val="20"/>
              </w:rPr>
              <w:t>Meromictic</w:t>
            </w:r>
          </w:p>
        </w:tc>
      </w:tr>
      <w:tr w:rsidR="00BE72D5" w:rsidRPr="002B357B" w:rsidTr="00B12E1C">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1362"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Nirmala UI Semilight" w:eastAsia="Times New Roman" w:hAnsi="Nirmala UI Semilight" w:cs="Nirmala UI Semilight"/>
                <w:sz w:val="20"/>
                <w:szCs w:val="20"/>
              </w:rPr>
            </w:pPr>
            <w:r w:rsidRPr="005E5305">
              <w:rPr>
                <w:rFonts w:ascii="Nirmala UI Semilight" w:eastAsia="Times New Roman" w:hAnsi="Nirmala UI Semilight" w:cs="Nirmala UI Semilight"/>
                <w:sz w:val="20"/>
                <w:szCs w:val="20"/>
              </w:rPr>
              <w:t>GPS coordinates</w:t>
            </w:r>
          </w:p>
        </w:tc>
        <w:tc>
          <w:tcPr>
            <w:tcW w:w="1243"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Nirmala UI Semilight" w:eastAsia="Times New Roman" w:hAnsi="Nirmala UI Semilight" w:cs="Nirmala UI Semilight"/>
                <w:sz w:val="20"/>
                <w:szCs w:val="20"/>
              </w:rPr>
            </w:pPr>
            <w:r w:rsidRPr="005E5305">
              <w:rPr>
                <w:rFonts w:ascii="Nirmala UI Semilight" w:eastAsia="Times New Roman" w:hAnsi="Nirmala UI Semilight" w:cs="Nirmala UI Semilight"/>
                <w:sz w:val="20"/>
                <w:szCs w:val="20"/>
              </w:rPr>
              <w:t>46.047776,  -89.651248</w:t>
            </w:r>
          </w:p>
        </w:tc>
        <w:tc>
          <w:tcPr>
            <w:tcW w:w="1202"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Nirmala UI Semilight" w:eastAsia="Times New Roman" w:hAnsi="Nirmala UI Semilight" w:cs="Nirmala UI Semilight"/>
                <w:sz w:val="20"/>
                <w:szCs w:val="20"/>
              </w:rPr>
            </w:pPr>
            <w:r w:rsidRPr="005E5305">
              <w:rPr>
                <w:rFonts w:ascii="Nirmala UI Semilight" w:eastAsia="Times New Roman" w:hAnsi="Nirmala UI Semilight" w:cs="Nirmala UI Semilight"/>
                <w:sz w:val="20"/>
                <w:szCs w:val="20"/>
              </w:rPr>
              <w:t>46.007639,  -89.606341</w:t>
            </w:r>
          </w:p>
        </w:tc>
        <w:tc>
          <w:tcPr>
            <w:tcW w:w="1375"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Nirmala UI Semilight" w:eastAsia="Times New Roman" w:hAnsi="Nirmala UI Semilight" w:cs="Nirmala UI Semilight"/>
                <w:sz w:val="20"/>
                <w:szCs w:val="20"/>
              </w:rPr>
            </w:pPr>
            <w:r w:rsidRPr="005E5305">
              <w:rPr>
                <w:rFonts w:ascii="Nirmala UI Semilight" w:eastAsia="Times New Roman" w:hAnsi="Nirmala UI Semilight" w:cs="Nirmala UI Semilight"/>
                <w:sz w:val="20"/>
                <w:szCs w:val="20"/>
              </w:rPr>
              <w:t>46.004819,  -89.705214</w:t>
            </w:r>
          </w:p>
        </w:tc>
        <w:tc>
          <w:tcPr>
            <w:tcW w:w="1375"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Nirmala UI Semilight" w:eastAsia="Times New Roman" w:hAnsi="Nirmala UI Semilight" w:cs="Nirmala UI Semilight"/>
                <w:sz w:val="20"/>
                <w:szCs w:val="20"/>
              </w:rPr>
            </w:pPr>
            <w:r w:rsidRPr="005E5305">
              <w:rPr>
                <w:rFonts w:ascii="Nirmala UI Semilight" w:eastAsia="Times New Roman" w:hAnsi="Nirmala UI Semilight" w:cs="Nirmala UI Semilight"/>
                <w:sz w:val="20"/>
                <w:szCs w:val="20"/>
              </w:rPr>
              <w:t>46.004633,  -89.709082</w:t>
            </w:r>
          </w:p>
        </w:tc>
        <w:tc>
          <w:tcPr>
            <w:tcW w:w="1375"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Nirmala UI Semilight" w:eastAsia="Times New Roman" w:hAnsi="Nirmala UI Semilight" w:cs="Nirmala UI Semilight"/>
                <w:sz w:val="20"/>
                <w:szCs w:val="20"/>
              </w:rPr>
            </w:pPr>
            <w:r w:rsidRPr="005E5305">
              <w:rPr>
                <w:rFonts w:ascii="Nirmala UI Semilight" w:eastAsia="Times New Roman" w:hAnsi="Nirmala UI Semilight" w:cs="Nirmala UI Semilight"/>
                <w:sz w:val="20"/>
                <w:szCs w:val="20"/>
              </w:rPr>
              <w:t>46.041140,  -89.686352</w:t>
            </w:r>
          </w:p>
        </w:tc>
        <w:tc>
          <w:tcPr>
            <w:tcW w:w="1375"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Nirmala UI Semilight" w:eastAsia="Times New Roman" w:hAnsi="Nirmala UI Semilight" w:cs="Nirmala UI Semilight"/>
                <w:sz w:val="20"/>
                <w:szCs w:val="20"/>
              </w:rPr>
            </w:pPr>
            <w:r w:rsidRPr="005E5305">
              <w:rPr>
                <w:rFonts w:ascii="Nirmala UI Semilight" w:eastAsia="Times New Roman" w:hAnsi="Nirmala UI Semilight" w:cs="Nirmala UI Semilight"/>
                <w:sz w:val="20"/>
                <w:szCs w:val="20"/>
              </w:rPr>
              <w:t>46.041140,  -89.709082</w:t>
            </w:r>
          </w:p>
        </w:tc>
        <w:tc>
          <w:tcPr>
            <w:tcW w:w="1378"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Nirmala UI Semilight" w:eastAsia="Times New Roman" w:hAnsi="Nirmala UI Semilight" w:cs="Nirmala UI Semilight"/>
                <w:sz w:val="20"/>
                <w:szCs w:val="20"/>
              </w:rPr>
            </w:pPr>
            <w:r w:rsidRPr="005E5305">
              <w:rPr>
                <w:rFonts w:ascii="Nirmala UI Semilight" w:eastAsia="Times New Roman" w:hAnsi="Nirmala UI Semilight" w:cs="Nirmala UI Semilight"/>
                <w:sz w:val="20"/>
                <w:szCs w:val="20"/>
              </w:rPr>
              <w:t>46.186674,  -89.702510</w:t>
            </w:r>
          </w:p>
        </w:tc>
        <w:tc>
          <w:tcPr>
            <w:tcW w:w="1279"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Nirmala UI Semilight" w:eastAsia="Times New Roman" w:hAnsi="Nirmala UI Semilight" w:cs="Nirmala UI Semilight"/>
                <w:sz w:val="20"/>
                <w:szCs w:val="20"/>
              </w:rPr>
            </w:pPr>
            <w:r w:rsidRPr="005E5305">
              <w:rPr>
                <w:rFonts w:ascii="Nirmala UI Semilight" w:eastAsia="Times New Roman" w:hAnsi="Nirmala UI Semilight" w:cs="Nirmala UI Semilight"/>
                <w:sz w:val="20"/>
                <w:szCs w:val="20"/>
              </w:rPr>
              <w:t>46.250764,  -89.900419</w:t>
            </w:r>
          </w:p>
        </w:tc>
      </w:tr>
      <w:tr w:rsidR="00BE72D5" w:rsidTr="00B12E1C">
        <w:trPr>
          <w:trHeight w:val="505"/>
        </w:trPr>
        <w:tc>
          <w:tcPr>
            <w:cnfStyle w:val="001000000000" w:firstRow="0" w:lastRow="0" w:firstColumn="1" w:lastColumn="0" w:oddVBand="0" w:evenVBand="0" w:oddHBand="0" w:evenHBand="0" w:firstRowFirstColumn="0" w:firstRowLastColumn="0" w:lastRowFirstColumn="0" w:lastRowLastColumn="0"/>
            <w:tcW w:w="1362"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Nirmala UI Semilight" w:eastAsia="Times New Roman" w:hAnsi="Nirmala UI Semilight" w:cs="Nirmala UI Semilight"/>
                <w:sz w:val="20"/>
                <w:szCs w:val="20"/>
              </w:rPr>
            </w:pPr>
            <w:r w:rsidRPr="005E5305">
              <w:rPr>
                <w:rFonts w:ascii="Nirmala UI Semilight" w:eastAsia="Times New Roman" w:hAnsi="Nirmala UI Semilight" w:cs="Nirmala UI Semilight"/>
                <w:sz w:val="20"/>
                <w:szCs w:val="20"/>
              </w:rPr>
              <w:t>Years sampled</w:t>
            </w:r>
          </w:p>
        </w:tc>
        <w:tc>
          <w:tcPr>
            <w:tcW w:w="1243"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Nirmala UI Semilight" w:eastAsia="Times New Roman" w:hAnsi="Nirmala UI Semilight" w:cs="Nirmala UI Semilight"/>
                <w:sz w:val="20"/>
                <w:szCs w:val="20"/>
              </w:rPr>
            </w:pPr>
            <w:r w:rsidRPr="005E5305">
              <w:rPr>
                <w:rFonts w:ascii="Nirmala UI Semilight" w:eastAsia="Times New Roman" w:hAnsi="Nirmala UI Semilight" w:cs="Nirmala UI Semilight"/>
                <w:sz w:val="20"/>
                <w:szCs w:val="20"/>
              </w:rPr>
              <w:t>2007</w:t>
            </w:r>
          </w:p>
        </w:tc>
        <w:tc>
          <w:tcPr>
            <w:tcW w:w="1202"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Nirmala UI Semilight" w:eastAsia="Times New Roman" w:hAnsi="Nirmala UI Semilight" w:cs="Nirmala UI Semilight"/>
                <w:sz w:val="20"/>
                <w:szCs w:val="20"/>
              </w:rPr>
            </w:pPr>
            <w:r w:rsidRPr="005E5305">
              <w:rPr>
                <w:rFonts w:ascii="Nirmala UI Semilight" w:eastAsia="Times New Roman" w:hAnsi="Nirmala UI Semilight" w:cs="Nirmala UI Semilight"/>
                <w:sz w:val="20"/>
                <w:szCs w:val="20"/>
              </w:rPr>
              <w:t>2007, 2009</w:t>
            </w:r>
          </w:p>
        </w:tc>
        <w:tc>
          <w:tcPr>
            <w:tcW w:w="1375"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Nirmala UI Semilight" w:eastAsia="Times New Roman" w:hAnsi="Nirmala UI Semilight" w:cs="Nirmala UI Semilight"/>
                <w:sz w:val="20"/>
                <w:szCs w:val="20"/>
              </w:rPr>
            </w:pPr>
            <w:r w:rsidRPr="005E5305">
              <w:rPr>
                <w:rFonts w:ascii="Nirmala UI Semilight" w:eastAsia="Times New Roman" w:hAnsi="Nirmala UI Semilight" w:cs="Nirmala UI Semilight"/>
                <w:sz w:val="20"/>
                <w:szCs w:val="20"/>
              </w:rPr>
              <w:t>2007, 2008, 2009</w:t>
            </w:r>
          </w:p>
        </w:tc>
        <w:tc>
          <w:tcPr>
            <w:tcW w:w="1375"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Nirmala UI Semilight" w:eastAsia="Times New Roman" w:hAnsi="Nirmala UI Semilight" w:cs="Nirmala UI Semilight"/>
                <w:sz w:val="20"/>
                <w:szCs w:val="20"/>
              </w:rPr>
            </w:pPr>
            <w:r w:rsidRPr="005E5305">
              <w:rPr>
                <w:rFonts w:ascii="Nirmala UI Semilight" w:eastAsia="Times New Roman" w:hAnsi="Nirmala UI Semilight" w:cs="Nirmala UI Semilight"/>
                <w:sz w:val="20"/>
                <w:szCs w:val="20"/>
              </w:rPr>
              <w:t>2007</w:t>
            </w:r>
          </w:p>
        </w:tc>
        <w:tc>
          <w:tcPr>
            <w:tcW w:w="1375"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Nirmala UI Semilight" w:eastAsia="Times New Roman" w:hAnsi="Nirmala UI Semilight" w:cs="Nirmala UI Semilight"/>
                <w:sz w:val="20"/>
                <w:szCs w:val="20"/>
              </w:rPr>
            </w:pPr>
            <w:r w:rsidRPr="005E5305">
              <w:rPr>
                <w:rFonts w:ascii="Nirmala UI Semilight" w:eastAsia="Times New Roman" w:hAnsi="Nirmala UI Semilight" w:cs="Nirmala UI Semilight"/>
                <w:sz w:val="20"/>
                <w:szCs w:val="20"/>
              </w:rPr>
              <w:t>2005, 2007, 2008, 2009</w:t>
            </w:r>
          </w:p>
        </w:tc>
        <w:tc>
          <w:tcPr>
            <w:tcW w:w="1375"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Nirmala UI Semilight" w:eastAsia="Times New Roman" w:hAnsi="Nirmala UI Semilight" w:cs="Nirmala UI Semilight"/>
                <w:sz w:val="20"/>
                <w:szCs w:val="20"/>
              </w:rPr>
            </w:pPr>
            <w:r w:rsidRPr="005E5305">
              <w:rPr>
                <w:rFonts w:ascii="Nirmala UI Semilight" w:eastAsia="Times New Roman" w:hAnsi="Nirmala UI Semilight" w:cs="Nirmala UI Semilight"/>
                <w:sz w:val="20"/>
                <w:szCs w:val="20"/>
              </w:rPr>
              <w:t>2007, 2008, 2009</w:t>
            </w:r>
          </w:p>
        </w:tc>
        <w:tc>
          <w:tcPr>
            <w:tcW w:w="1378"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Nirmala UI Semilight" w:eastAsia="Times New Roman" w:hAnsi="Nirmala UI Semilight" w:cs="Nirmala UI Semilight"/>
                <w:sz w:val="20"/>
                <w:szCs w:val="20"/>
              </w:rPr>
            </w:pPr>
            <w:r w:rsidRPr="005E5305">
              <w:rPr>
                <w:rFonts w:ascii="Nirmala UI Semilight" w:eastAsia="Times New Roman" w:hAnsi="Nirmala UI Semilight" w:cs="Nirmala UI Semilight"/>
                <w:sz w:val="20"/>
                <w:szCs w:val="20"/>
              </w:rPr>
              <w:t>2007</w:t>
            </w:r>
          </w:p>
        </w:tc>
        <w:tc>
          <w:tcPr>
            <w:tcW w:w="1279"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Nirmala UI Semilight" w:eastAsia="Times New Roman" w:hAnsi="Nirmala UI Semilight" w:cs="Nirmala UI Semilight"/>
                <w:sz w:val="20"/>
                <w:szCs w:val="20"/>
              </w:rPr>
            </w:pPr>
            <w:r w:rsidRPr="005E5305">
              <w:rPr>
                <w:rFonts w:ascii="Nirmala UI Semilight" w:eastAsia="Times New Roman" w:hAnsi="Nirmala UI Semilight" w:cs="Nirmala UI Semilight"/>
                <w:sz w:val="20"/>
                <w:szCs w:val="20"/>
              </w:rPr>
              <w:t>2005, 2007, 2008, 2009</w:t>
            </w:r>
          </w:p>
        </w:tc>
      </w:tr>
      <w:tr w:rsidR="00BE72D5" w:rsidTr="00B12E1C">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1362"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Nirmala UI Semilight" w:eastAsia="Times New Roman" w:hAnsi="Nirmala UI Semilight" w:cs="Nirmala UI Semilight"/>
                <w:sz w:val="20"/>
                <w:szCs w:val="20"/>
              </w:rPr>
            </w:pPr>
            <w:r w:rsidRPr="005E5305">
              <w:rPr>
                <w:rFonts w:ascii="Nirmala UI Semilight" w:eastAsia="Times New Roman" w:hAnsi="Nirmala UI Semilight" w:cs="Nirmala UI Semilight"/>
                <w:sz w:val="20"/>
                <w:szCs w:val="20"/>
              </w:rPr>
              <w:t>Dissolved inorganic carbon</w:t>
            </w:r>
            <w:r>
              <w:rPr>
                <w:rFonts w:ascii="Nirmala UI Semilight" w:eastAsia="Times New Roman" w:hAnsi="Nirmala UI Semilight" w:cs="Nirmala UI Semilight"/>
                <w:sz w:val="20"/>
                <w:szCs w:val="20"/>
              </w:rPr>
              <w:t xml:space="preserve"> (ppm)</w:t>
            </w:r>
          </w:p>
        </w:tc>
        <w:tc>
          <w:tcPr>
            <w:tcW w:w="1243"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Nirmala UI Semilight" w:eastAsia="Times New Roman" w:hAnsi="Nirmala UI Semilight" w:cs="Nirmala UI Semilight"/>
                <w:sz w:val="20"/>
                <w:szCs w:val="20"/>
              </w:rPr>
            </w:pPr>
          </w:p>
        </w:tc>
        <w:tc>
          <w:tcPr>
            <w:tcW w:w="1202"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Nirmala UI Semilight" w:eastAsia="Times New Roman" w:hAnsi="Nirmala UI Semilight" w:cs="Nirmala UI Semilight"/>
                <w:sz w:val="20"/>
                <w:szCs w:val="20"/>
              </w:rPr>
            </w:pPr>
            <w:r w:rsidRPr="005E5305">
              <w:rPr>
                <w:rFonts w:ascii="Nirmala UI Semilight" w:eastAsia="Times New Roman" w:hAnsi="Nirmala UI Semilight" w:cs="Nirmala UI Semilight"/>
                <w:sz w:val="20"/>
                <w:szCs w:val="20"/>
              </w:rPr>
              <w:t>0.69, 1.72</w:t>
            </w:r>
          </w:p>
        </w:tc>
        <w:tc>
          <w:tcPr>
            <w:tcW w:w="1375"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Nirmala UI Semilight" w:eastAsia="Times New Roman" w:hAnsi="Nirmala UI Semilight" w:cs="Nirmala UI Semilight"/>
                <w:sz w:val="20"/>
                <w:szCs w:val="20"/>
              </w:rPr>
            </w:pPr>
            <w:r w:rsidRPr="005E5305">
              <w:rPr>
                <w:rFonts w:ascii="Nirmala UI Semilight" w:eastAsia="Times New Roman" w:hAnsi="Nirmala UI Semilight" w:cs="Nirmala UI Semilight"/>
                <w:sz w:val="20"/>
                <w:szCs w:val="20"/>
              </w:rPr>
              <w:t>1.12, 2.31</w:t>
            </w:r>
          </w:p>
        </w:tc>
        <w:tc>
          <w:tcPr>
            <w:tcW w:w="1375"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Nirmala UI Semilight" w:eastAsia="Times New Roman" w:hAnsi="Nirmala UI Semilight" w:cs="Nirmala UI Semilight"/>
                <w:sz w:val="20"/>
                <w:szCs w:val="20"/>
              </w:rPr>
            </w:pPr>
          </w:p>
        </w:tc>
        <w:tc>
          <w:tcPr>
            <w:tcW w:w="1375"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Nirmala UI Semilight" w:eastAsia="Times New Roman" w:hAnsi="Nirmala UI Semilight" w:cs="Nirmala UI Semilight"/>
                <w:sz w:val="20"/>
                <w:szCs w:val="20"/>
              </w:rPr>
            </w:pPr>
            <w:r w:rsidRPr="005E5305">
              <w:rPr>
                <w:rFonts w:ascii="Nirmala UI Semilight" w:eastAsia="Times New Roman" w:hAnsi="Nirmala UI Semilight" w:cs="Nirmala UI Semilight"/>
                <w:sz w:val="20"/>
                <w:szCs w:val="20"/>
              </w:rPr>
              <w:t>1.73, 4.47</w:t>
            </w:r>
          </w:p>
        </w:tc>
        <w:tc>
          <w:tcPr>
            <w:tcW w:w="1375"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Nirmala UI Semilight" w:eastAsia="Times New Roman" w:hAnsi="Nirmala UI Semilight" w:cs="Nirmala UI Semilight"/>
                <w:sz w:val="20"/>
                <w:szCs w:val="20"/>
              </w:rPr>
            </w:pPr>
            <w:r w:rsidRPr="005E5305">
              <w:rPr>
                <w:rFonts w:ascii="Nirmala UI Semilight" w:eastAsia="Times New Roman" w:hAnsi="Nirmala UI Semilight" w:cs="Nirmala UI Semilight"/>
                <w:sz w:val="20"/>
                <w:szCs w:val="20"/>
              </w:rPr>
              <w:t>1.97, 6.42</w:t>
            </w:r>
          </w:p>
        </w:tc>
        <w:tc>
          <w:tcPr>
            <w:tcW w:w="1378"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Nirmala UI Semilight" w:eastAsia="Times New Roman" w:hAnsi="Nirmala UI Semilight" w:cs="Nirmala UI Semilight"/>
                <w:sz w:val="20"/>
                <w:szCs w:val="20"/>
              </w:rPr>
            </w:pPr>
          </w:p>
        </w:tc>
        <w:tc>
          <w:tcPr>
            <w:tcW w:w="1279"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Nirmala UI Semilight" w:eastAsia="Times New Roman" w:hAnsi="Nirmala UI Semilight" w:cs="Nirmala UI Semilight"/>
                <w:sz w:val="20"/>
                <w:szCs w:val="20"/>
              </w:rPr>
            </w:pPr>
            <w:r w:rsidRPr="005E5305">
              <w:rPr>
                <w:rFonts w:ascii="Nirmala UI Semilight" w:eastAsia="Times New Roman" w:hAnsi="Nirmala UI Semilight" w:cs="Nirmala UI Semilight"/>
                <w:sz w:val="20"/>
                <w:szCs w:val="20"/>
              </w:rPr>
              <w:t>5.54, 12.38</w:t>
            </w:r>
          </w:p>
        </w:tc>
      </w:tr>
      <w:tr w:rsidR="00BE72D5" w:rsidTr="00B12E1C">
        <w:trPr>
          <w:trHeight w:val="759"/>
        </w:trPr>
        <w:tc>
          <w:tcPr>
            <w:cnfStyle w:val="001000000000" w:firstRow="0" w:lastRow="0" w:firstColumn="1" w:lastColumn="0" w:oddVBand="0" w:evenVBand="0" w:oddHBand="0" w:evenHBand="0" w:firstRowFirstColumn="0" w:firstRowLastColumn="0" w:lastRowFirstColumn="0" w:lastRowLastColumn="0"/>
            <w:tcW w:w="1362"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Nirmala UI Semilight" w:eastAsia="Times New Roman" w:hAnsi="Nirmala UI Semilight" w:cs="Nirmala UI Semilight"/>
                <w:sz w:val="20"/>
                <w:szCs w:val="20"/>
              </w:rPr>
            </w:pPr>
            <w:r w:rsidRPr="005E5305">
              <w:rPr>
                <w:rFonts w:ascii="Nirmala UI Semilight" w:eastAsia="Times New Roman" w:hAnsi="Nirmala UI Semilight" w:cs="Nirmala UI Semilight"/>
                <w:sz w:val="20"/>
                <w:szCs w:val="20"/>
              </w:rPr>
              <w:t>Dissolved organic carbon</w:t>
            </w:r>
            <w:r>
              <w:rPr>
                <w:rFonts w:ascii="Nirmala UI Semilight" w:eastAsia="Times New Roman" w:hAnsi="Nirmala UI Semilight" w:cs="Nirmala UI Semilight"/>
                <w:sz w:val="20"/>
                <w:szCs w:val="20"/>
              </w:rPr>
              <w:t xml:space="preserve"> (ppm)</w:t>
            </w:r>
          </w:p>
        </w:tc>
        <w:tc>
          <w:tcPr>
            <w:tcW w:w="1243"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Nirmala UI Semilight" w:eastAsia="Times New Roman" w:hAnsi="Nirmala UI Semilight" w:cs="Nirmala UI Semilight"/>
                <w:sz w:val="20"/>
                <w:szCs w:val="20"/>
              </w:rPr>
            </w:pPr>
          </w:p>
        </w:tc>
        <w:tc>
          <w:tcPr>
            <w:tcW w:w="1202"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Nirmala UI Semilight" w:eastAsia="Times New Roman" w:hAnsi="Nirmala UI Semilight" w:cs="Nirmala UI Semilight"/>
                <w:sz w:val="20"/>
                <w:szCs w:val="20"/>
              </w:rPr>
            </w:pPr>
            <w:r w:rsidRPr="005E5305">
              <w:rPr>
                <w:rFonts w:ascii="Nirmala UI Semilight" w:eastAsia="Times New Roman" w:hAnsi="Nirmala UI Semilight" w:cs="Nirmala UI Semilight"/>
                <w:sz w:val="20"/>
                <w:szCs w:val="20"/>
              </w:rPr>
              <w:t>15.47, 13.6</w:t>
            </w:r>
          </w:p>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Nirmala UI Semilight" w:eastAsia="Times New Roman" w:hAnsi="Nirmala UI Semilight" w:cs="Nirmala UI Semilight"/>
                <w:sz w:val="20"/>
                <w:szCs w:val="20"/>
              </w:rPr>
            </w:pPr>
          </w:p>
        </w:tc>
        <w:tc>
          <w:tcPr>
            <w:tcW w:w="1375"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Nirmala UI Semilight" w:eastAsia="Times New Roman" w:hAnsi="Nirmala UI Semilight" w:cs="Nirmala UI Semilight"/>
                <w:sz w:val="20"/>
                <w:szCs w:val="20"/>
              </w:rPr>
            </w:pPr>
            <w:r w:rsidRPr="005E5305">
              <w:rPr>
                <w:rFonts w:ascii="Nirmala UI Semilight" w:eastAsia="Times New Roman" w:hAnsi="Nirmala UI Semilight" w:cs="Nirmala UI Semilight"/>
                <w:sz w:val="20"/>
                <w:szCs w:val="20"/>
              </w:rPr>
              <w:t>10.05, 10.40</w:t>
            </w:r>
          </w:p>
        </w:tc>
        <w:tc>
          <w:tcPr>
            <w:tcW w:w="1375"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Nirmala UI Semilight" w:eastAsia="Times New Roman" w:hAnsi="Nirmala UI Semilight" w:cs="Nirmala UI Semilight"/>
                <w:sz w:val="20"/>
                <w:szCs w:val="20"/>
              </w:rPr>
            </w:pPr>
          </w:p>
        </w:tc>
        <w:tc>
          <w:tcPr>
            <w:tcW w:w="1375"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Nirmala UI Semilight" w:eastAsia="Times New Roman" w:hAnsi="Nirmala UI Semilight" w:cs="Nirmala UI Semilight"/>
                <w:sz w:val="20"/>
                <w:szCs w:val="20"/>
              </w:rPr>
            </w:pPr>
            <w:r w:rsidRPr="005E5305">
              <w:rPr>
                <w:rFonts w:ascii="Nirmala UI Semilight" w:eastAsia="Times New Roman" w:hAnsi="Nirmala UI Semilight" w:cs="Nirmala UI Semilight"/>
                <w:sz w:val="20"/>
                <w:szCs w:val="20"/>
              </w:rPr>
              <w:t>19.87, 20.58</w:t>
            </w:r>
          </w:p>
        </w:tc>
        <w:tc>
          <w:tcPr>
            <w:tcW w:w="1375"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Nirmala UI Semilight" w:eastAsia="Times New Roman" w:hAnsi="Nirmala UI Semilight" w:cs="Nirmala UI Semilight"/>
                <w:sz w:val="20"/>
                <w:szCs w:val="20"/>
              </w:rPr>
            </w:pPr>
            <w:r w:rsidRPr="005E5305">
              <w:rPr>
                <w:rFonts w:ascii="Nirmala UI Semilight" w:eastAsia="Times New Roman" w:hAnsi="Nirmala UI Semilight" w:cs="Nirmala UI Semilight"/>
                <w:sz w:val="20"/>
                <w:szCs w:val="20"/>
              </w:rPr>
              <w:t>12.40, 21.92</w:t>
            </w:r>
          </w:p>
        </w:tc>
        <w:tc>
          <w:tcPr>
            <w:tcW w:w="1378"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Nirmala UI Semilight" w:eastAsia="Times New Roman" w:hAnsi="Nirmala UI Semilight" w:cs="Nirmala UI Semilight"/>
                <w:sz w:val="20"/>
                <w:szCs w:val="20"/>
              </w:rPr>
            </w:pPr>
          </w:p>
        </w:tc>
        <w:tc>
          <w:tcPr>
            <w:tcW w:w="1279"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Nirmala UI Semilight" w:eastAsia="Times New Roman" w:hAnsi="Nirmala UI Semilight" w:cs="Nirmala UI Semilight"/>
                <w:sz w:val="20"/>
                <w:szCs w:val="20"/>
              </w:rPr>
            </w:pPr>
            <w:r w:rsidRPr="005E5305">
              <w:rPr>
                <w:rFonts w:ascii="Nirmala UI Semilight" w:eastAsia="Times New Roman" w:hAnsi="Nirmala UI Semilight" w:cs="Nirmala UI Semilight"/>
                <w:sz w:val="20"/>
                <w:szCs w:val="20"/>
              </w:rPr>
              <w:t>20.63, 67.10</w:t>
            </w:r>
          </w:p>
        </w:tc>
      </w:tr>
      <w:tr w:rsidR="00BE72D5" w:rsidTr="00B12E1C">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1362"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Nirmala UI Semilight" w:eastAsia="Times New Roman" w:hAnsi="Nirmala UI Semilight" w:cs="Nirmala UI Semilight"/>
                <w:sz w:val="20"/>
                <w:szCs w:val="20"/>
              </w:rPr>
            </w:pPr>
            <w:r w:rsidRPr="005E5305">
              <w:rPr>
                <w:rFonts w:ascii="Nirmala UI Semilight" w:eastAsia="Times New Roman" w:hAnsi="Nirmala UI Semilight" w:cs="Nirmala UI Semilight"/>
                <w:sz w:val="20"/>
                <w:szCs w:val="20"/>
              </w:rPr>
              <w:t>Total nitrogen</w:t>
            </w:r>
            <w:r>
              <w:rPr>
                <w:rFonts w:ascii="Nirmala UI Semilight" w:eastAsia="Times New Roman" w:hAnsi="Nirmala UI Semilight" w:cs="Nirmala UI Semilight"/>
                <w:sz w:val="20"/>
                <w:szCs w:val="20"/>
              </w:rPr>
              <w:t xml:space="preserve"> (ppb)</w:t>
            </w:r>
          </w:p>
        </w:tc>
        <w:tc>
          <w:tcPr>
            <w:tcW w:w="1243"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Nirmala UI Semilight" w:eastAsia="Times New Roman" w:hAnsi="Nirmala UI Semilight" w:cs="Nirmala UI Semilight"/>
                <w:sz w:val="20"/>
                <w:szCs w:val="20"/>
              </w:rPr>
            </w:pPr>
          </w:p>
        </w:tc>
        <w:tc>
          <w:tcPr>
            <w:tcW w:w="1202" w:type="dxa"/>
          </w:tcPr>
          <w:p w:rsidR="00BE72D5" w:rsidRPr="005E5305" w:rsidRDefault="00BE72D5" w:rsidP="00B12E1C">
            <w:pPr>
              <w:jc w:val="center"/>
              <w:cnfStyle w:val="000000100000" w:firstRow="0" w:lastRow="0" w:firstColumn="0" w:lastColumn="0" w:oddVBand="0" w:evenVBand="0" w:oddHBand="1" w:evenHBand="0" w:firstRowFirstColumn="0" w:firstRowLastColumn="0" w:lastRowFirstColumn="0" w:lastRowLastColumn="0"/>
              <w:rPr>
                <w:rFonts w:ascii="Nirmala UI Semilight" w:hAnsi="Nirmala UI Semilight" w:cs="Nirmala UI Semilight"/>
              </w:rPr>
            </w:pPr>
            <w:r w:rsidRPr="005E5305">
              <w:rPr>
                <w:rFonts w:ascii="Nirmala UI Semilight" w:eastAsia="Times New Roman" w:hAnsi="Nirmala UI Semilight" w:cs="Nirmala UI Semilight"/>
                <w:sz w:val="20"/>
                <w:szCs w:val="20"/>
              </w:rPr>
              <w:t>620.57, 846.00</w:t>
            </w:r>
          </w:p>
        </w:tc>
        <w:tc>
          <w:tcPr>
            <w:tcW w:w="1375" w:type="dxa"/>
          </w:tcPr>
          <w:p w:rsidR="00BE72D5" w:rsidRPr="005E5305" w:rsidRDefault="00BE72D5" w:rsidP="00B12E1C">
            <w:pPr>
              <w:jc w:val="center"/>
              <w:cnfStyle w:val="000000100000" w:firstRow="0" w:lastRow="0" w:firstColumn="0" w:lastColumn="0" w:oddVBand="0" w:evenVBand="0" w:oddHBand="1" w:evenHBand="0" w:firstRowFirstColumn="0" w:firstRowLastColumn="0" w:lastRowFirstColumn="0" w:lastRowLastColumn="0"/>
              <w:rPr>
                <w:rFonts w:ascii="Nirmala UI Semilight" w:hAnsi="Nirmala UI Semilight" w:cs="Nirmala UI Semilight"/>
              </w:rPr>
            </w:pPr>
            <w:r w:rsidRPr="005E5305">
              <w:rPr>
                <w:rFonts w:ascii="Nirmala UI Semilight" w:eastAsia="Times New Roman" w:hAnsi="Nirmala UI Semilight" w:cs="Nirmala UI Semilight"/>
                <w:sz w:val="20"/>
                <w:szCs w:val="20"/>
              </w:rPr>
              <w:t>629.09, 809.45</w:t>
            </w:r>
          </w:p>
        </w:tc>
        <w:tc>
          <w:tcPr>
            <w:tcW w:w="1375"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Nirmala UI Semilight" w:eastAsia="Times New Roman" w:hAnsi="Nirmala UI Semilight" w:cs="Nirmala UI Semilight"/>
                <w:sz w:val="20"/>
                <w:szCs w:val="20"/>
              </w:rPr>
            </w:pPr>
          </w:p>
        </w:tc>
        <w:tc>
          <w:tcPr>
            <w:tcW w:w="1375" w:type="dxa"/>
          </w:tcPr>
          <w:p w:rsidR="00BE72D5" w:rsidRPr="005E5305" w:rsidRDefault="00BE72D5" w:rsidP="00B12E1C">
            <w:pPr>
              <w:jc w:val="center"/>
              <w:cnfStyle w:val="000000100000" w:firstRow="0" w:lastRow="0" w:firstColumn="0" w:lastColumn="0" w:oddVBand="0" w:evenVBand="0" w:oddHBand="1" w:evenHBand="0" w:firstRowFirstColumn="0" w:firstRowLastColumn="0" w:lastRowFirstColumn="0" w:lastRowLastColumn="0"/>
              <w:rPr>
                <w:rFonts w:ascii="Nirmala UI Semilight" w:hAnsi="Nirmala UI Semilight" w:cs="Nirmala UI Semilight"/>
              </w:rPr>
            </w:pPr>
            <w:r w:rsidRPr="005E5305">
              <w:rPr>
                <w:rFonts w:ascii="Nirmala UI Semilight" w:eastAsia="Times New Roman" w:hAnsi="Nirmala UI Semilight" w:cs="Nirmala UI Semilight"/>
                <w:sz w:val="20"/>
                <w:szCs w:val="20"/>
              </w:rPr>
              <w:t>737.71, 1121.00</w:t>
            </w:r>
          </w:p>
        </w:tc>
        <w:tc>
          <w:tcPr>
            <w:tcW w:w="1375" w:type="dxa"/>
          </w:tcPr>
          <w:p w:rsidR="00BE72D5" w:rsidRPr="005E5305" w:rsidRDefault="00BE72D5" w:rsidP="00B12E1C">
            <w:pPr>
              <w:jc w:val="center"/>
              <w:cnfStyle w:val="000000100000" w:firstRow="0" w:lastRow="0" w:firstColumn="0" w:lastColumn="0" w:oddVBand="0" w:evenVBand="0" w:oddHBand="1" w:evenHBand="0" w:firstRowFirstColumn="0" w:firstRowLastColumn="0" w:lastRowFirstColumn="0" w:lastRowLastColumn="0"/>
              <w:rPr>
                <w:rFonts w:ascii="Nirmala UI Semilight" w:hAnsi="Nirmala UI Semilight" w:cs="Nirmala UI Semilight"/>
              </w:rPr>
            </w:pPr>
            <w:r w:rsidRPr="005E5305">
              <w:rPr>
                <w:rFonts w:ascii="Nirmala UI Semilight" w:eastAsia="Times New Roman" w:hAnsi="Nirmala UI Semilight" w:cs="Nirmala UI Semilight"/>
                <w:sz w:val="20"/>
                <w:szCs w:val="20"/>
              </w:rPr>
              <w:t>813.88, 1498</w:t>
            </w:r>
          </w:p>
        </w:tc>
        <w:tc>
          <w:tcPr>
            <w:tcW w:w="1378"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Nirmala UI Semilight" w:eastAsia="Times New Roman" w:hAnsi="Nirmala UI Semilight" w:cs="Nirmala UI Semilight"/>
                <w:sz w:val="20"/>
                <w:szCs w:val="20"/>
              </w:rPr>
            </w:pPr>
          </w:p>
        </w:tc>
        <w:tc>
          <w:tcPr>
            <w:tcW w:w="1279" w:type="dxa"/>
          </w:tcPr>
          <w:p w:rsidR="00BE72D5" w:rsidRPr="005E5305" w:rsidRDefault="00BE72D5" w:rsidP="00B12E1C">
            <w:pPr>
              <w:jc w:val="center"/>
              <w:cnfStyle w:val="000000100000" w:firstRow="0" w:lastRow="0" w:firstColumn="0" w:lastColumn="0" w:oddVBand="0" w:evenVBand="0" w:oddHBand="1" w:evenHBand="0" w:firstRowFirstColumn="0" w:firstRowLastColumn="0" w:lastRowFirstColumn="0" w:lastRowLastColumn="0"/>
              <w:rPr>
                <w:rFonts w:ascii="Nirmala UI Semilight" w:hAnsi="Nirmala UI Semilight" w:cs="Nirmala UI Semilight"/>
              </w:rPr>
            </w:pPr>
            <w:r w:rsidRPr="005E5305">
              <w:rPr>
                <w:rFonts w:ascii="Nirmala UI Semilight" w:eastAsia="Times New Roman" w:hAnsi="Nirmala UI Semilight" w:cs="Nirmala UI Semilight"/>
                <w:sz w:val="20"/>
                <w:szCs w:val="20"/>
              </w:rPr>
              <w:t>1332.57, 3652.38</w:t>
            </w:r>
          </w:p>
        </w:tc>
      </w:tr>
      <w:tr w:rsidR="00BE72D5" w:rsidTr="00B12E1C">
        <w:trPr>
          <w:trHeight w:val="759"/>
        </w:trPr>
        <w:tc>
          <w:tcPr>
            <w:cnfStyle w:val="001000000000" w:firstRow="0" w:lastRow="0" w:firstColumn="1" w:lastColumn="0" w:oddVBand="0" w:evenVBand="0" w:oddHBand="0" w:evenHBand="0" w:firstRowFirstColumn="0" w:firstRowLastColumn="0" w:lastRowFirstColumn="0" w:lastRowLastColumn="0"/>
            <w:tcW w:w="1362"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Nirmala UI Semilight" w:eastAsia="Times New Roman" w:hAnsi="Nirmala UI Semilight" w:cs="Nirmala UI Semilight"/>
                <w:sz w:val="20"/>
                <w:szCs w:val="20"/>
              </w:rPr>
            </w:pPr>
            <w:r w:rsidRPr="005E5305">
              <w:rPr>
                <w:rFonts w:ascii="Nirmala UI Semilight" w:eastAsia="Times New Roman" w:hAnsi="Nirmala UI Semilight" w:cs="Nirmala UI Semilight"/>
                <w:sz w:val="20"/>
                <w:szCs w:val="20"/>
              </w:rPr>
              <w:t>Total phosphorus</w:t>
            </w:r>
            <w:r>
              <w:rPr>
                <w:rFonts w:ascii="Nirmala UI Semilight" w:eastAsia="Times New Roman" w:hAnsi="Nirmala UI Semilight" w:cs="Nirmala UI Semilight"/>
                <w:sz w:val="20"/>
                <w:szCs w:val="20"/>
              </w:rPr>
              <w:t xml:space="preserve"> (ppb)</w:t>
            </w:r>
          </w:p>
        </w:tc>
        <w:tc>
          <w:tcPr>
            <w:tcW w:w="1243"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Nirmala UI Semilight" w:eastAsia="Times New Roman" w:hAnsi="Nirmala UI Semilight" w:cs="Nirmala UI Semilight"/>
                <w:sz w:val="20"/>
                <w:szCs w:val="20"/>
              </w:rPr>
            </w:pPr>
          </w:p>
        </w:tc>
        <w:tc>
          <w:tcPr>
            <w:tcW w:w="1202" w:type="dxa"/>
          </w:tcPr>
          <w:p w:rsidR="00BE72D5" w:rsidRPr="005E5305" w:rsidRDefault="00BE72D5" w:rsidP="00B12E1C">
            <w:pPr>
              <w:jc w:val="center"/>
              <w:cnfStyle w:val="000000000000" w:firstRow="0" w:lastRow="0" w:firstColumn="0" w:lastColumn="0" w:oddVBand="0" w:evenVBand="0" w:oddHBand="0" w:evenHBand="0" w:firstRowFirstColumn="0" w:firstRowLastColumn="0" w:lastRowFirstColumn="0" w:lastRowLastColumn="0"/>
              <w:rPr>
                <w:rFonts w:ascii="Nirmala UI Semilight" w:hAnsi="Nirmala UI Semilight" w:cs="Nirmala UI Semilight"/>
              </w:rPr>
            </w:pPr>
            <w:r w:rsidRPr="005E5305">
              <w:rPr>
                <w:rFonts w:ascii="Nirmala UI Semilight" w:eastAsia="Times New Roman" w:hAnsi="Nirmala UI Semilight" w:cs="Nirmala UI Semilight"/>
                <w:sz w:val="20"/>
                <w:szCs w:val="20"/>
              </w:rPr>
              <w:t>30.00, 38.86</w:t>
            </w:r>
          </w:p>
          <w:p w:rsidR="00BE72D5" w:rsidRPr="005E5305" w:rsidRDefault="00BE72D5" w:rsidP="00B12E1C">
            <w:pPr>
              <w:jc w:val="center"/>
              <w:cnfStyle w:val="000000000000" w:firstRow="0" w:lastRow="0" w:firstColumn="0" w:lastColumn="0" w:oddVBand="0" w:evenVBand="0" w:oddHBand="0" w:evenHBand="0" w:firstRowFirstColumn="0" w:firstRowLastColumn="0" w:lastRowFirstColumn="0" w:lastRowLastColumn="0"/>
              <w:rPr>
                <w:rFonts w:ascii="Nirmala UI Semilight" w:eastAsia="Times New Roman" w:hAnsi="Nirmala UI Semilight" w:cs="Nirmala UI Semilight"/>
                <w:sz w:val="20"/>
                <w:szCs w:val="20"/>
              </w:rPr>
            </w:pPr>
          </w:p>
        </w:tc>
        <w:tc>
          <w:tcPr>
            <w:tcW w:w="1375" w:type="dxa"/>
          </w:tcPr>
          <w:p w:rsidR="00BE72D5" w:rsidRPr="005E5305" w:rsidRDefault="00BE72D5" w:rsidP="00B12E1C">
            <w:pPr>
              <w:jc w:val="center"/>
              <w:cnfStyle w:val="000000000000" w:firstRow="0" w:lastRow="0" w:firstColumn="0" w:lastColumn="0" w:oddVBand="0" w:evenVBand="0" w:oddHBand="0" w:evenHBand="0" w:firstRowFirstColumn="0" w:firstRowLastColumn="0" w:lastRowFirstColumn="0" w:lastRowLastColumn="0"/>
              <w:rPr>
                <w:rFonts w:ascii="Nirmala UI Semilight" w:hAnsi="Nirmala UI Semilight" w:cs="Nirmala UI Semilight"/>
              </w:rPr>
            </w:pPr>
            <w:r w:rsidRPr="005E5305">
              <w:rPr>
                <w:rFonts w:ascii="Nirmala UI Semilight" w:eastAsia="Times New Roman" w:hAnsi="Nirmala UI Semilight" w:cs="Nirmala UI Semilight"/>
                <w:sz w:val="20"/>
                <w:szCs w:val="20"/>
              </w:rPr>
              <w:t>78.00, 135.45</w:t>
            </w:r>
          </w:p>
        </w:tc>
        <w:tc>
          <w:tcPr>
            <w:tcW w:w="1375"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Nirmala UI Semilight" w:eastAsia="Times New Roman" w:hAnsi="Nirmala UI Semilight" w:cs="Nirmala UI Semilight"/>
                <w:sz w:val="20"/>
                <w:szCs w:val="20"/>
              </w:rPr>
            </w:pPr>
          </w:p>
        </w:tc>
        <w:tc>
          <w:tcPr>
            <w:tcW w:w="1375" w:type="dxa"/>
          </w:tcPr>
          <w:p w:rsidR="00BE72D5" w:rsidRPr="005E5305" w:rsidRDefault="00BE72D5" w:rsidP="00B12E1C">
            <w:pPr>
              <w:jc w:val="center"/>
              <w:cnfStyle w:val="000000000000" w:firstRow="0" w:lastRow="0" w:firstColumn="0" w:lastColumn="0" w:oddVBand="0" w:evenVBand="0" w:oddHBand="0" w:evenHBand="0" w:firstRowFirstColumn="0" w:firstRowLastColumn="0" w:lastRowFirstColumn="0" w:lastRowLastColumn="0"/>
              <w:rPr>
                <w:rFonts w:ascii="Nirmala UI Semilight" w:hAnsi="Nirmala UI Semilight" w:cs="Nirmala UI Semilight"/>
              </w:rPr>
            </w:pPr>
            <w:r w:rsidRPr="005E5305">
              <w:rPr>
                <w:rFonts w:ascii="Nirmala UI Semilight" w:eastAsia="Times New Roman" w:hAnsi="Nirmala UI Semilight" w:cs="Nirmala UI Semilight"/>
                <w:sz w:val="20"/>
                <w:szCs w:val="20"/>
              </w:rPr>
              <w:t>50.57, 53.25</w:t>
            </w:r>
          </w:p>
        </w:tc>
        <w:tc>
          <w:tcPr>
            <w:tcW w:w="1375" w:type="dxa"/>
          </w:tcPr>
          <w:p w:rsidR="00BE72D5" w:rsidRPr="005E5305" w:rsidRDefault="00BE72D5" w:rsidP="00B12E1C">
            <w:pPr>
              <w:jc w:val="center"/>
              <w:cnfStyle w:val="000000000000" w:firstRow="0" w:lastRow="0" w:firstColumn="0" w:lastColumn="0" w:oddVBand="0" w:evenVBand="0" w:oddHBand="0" w:evenHBand="0" w:firstRowFirstColumn="0" w:firstRowLastColumn="0" w:lastRowFirstColumn="0" w:lastRowLastColumn="0"/>
              <w:rPr>
                <w:rFonts w:ascii="Nirmala UI Semilight" w:hAnsi="Nirmala UI Semilight" w:cs="Nirmala UI Semilight"/>
              </w:rPr>
            </w:pPr>
            <w:r w:rsidRPr="005E5305">
              <w:rPr>
                <w:rFonts w:ascii="Nirmala UI Semilight" w:eastAsia="Times New Roman" w:hAnsi="Nirmala UI Semilight" w:cs="Nirmala UI Semilight"/>
                <w:sz w:val="20"/>
                <w:szCs w:val="20"/>
              </w:rPr>
              <w:t>48.63, 69.14</w:t>
            </w:r>
          </w:p>
        </w:tc>
        <w:tc>
          <w:tcPr>
            <w:tcW w:w="1378"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Nirmala UI Semilight" w:eastAsia="Times New Roman" w:hAnsi="Nirmala UI Semilight" w:cs="Nirmala UI Semilight"/>
                <w:sz w:val="20"/>
                <w:szCs w:val="20"/>
              </w:rPr>
            </w:pPr>
          </w:p>
        </w:tc>
        <w:tc>
          <w:tcPr>
            <w:tcW w:w="1279" w:type="dxa"/>
          </w:tcPr>
          <w:p w:rsidR="00BE72D5" w:rsidRPr="005E5305" w:rsidRDefault="00BE72D5" w:rsidP="00B12E1C">
            <w:pPr>
              <w:jc w:val="center"/>
              <w:cnfStyle w:val="000000000000" w:firstRow="0" w:lastRow="0" w:firstColumn="0" w:lastColumn="0" w:oddVBand="0" w:evenVBand="0" w:oddHBand="0" w:evenHBand="0" w:firstRowFirstColumn="0" w:firstRowLastColumn="0" w:lastRowFirstColumn="0" w:lastRowLastColumn="0"/>
              <w:rPr>
                <w:rFonts w:ascii="Nirmala UI Semilight" w:hAnsi="Nirmala UI Semilight" w:cs="Nirmala UI Semilight"/>
              </w:rPr>
            </w:pPr>
            <w:r w:rsidRPr="005E5305">
              <w:rPr>
                <w:rFonts w:ascii="Nirmala UI Semilight" w:eastAsia="Times New Roman" w:hAnsi="Nirmala UI Semilight" w:cs="Nirmala UI Semilight"/>
                <w:sz w:val="20"/>
                <w:szCs w:val="20"/>
              </w:rPr>
              <w:t>78.00, 303.50</w:t>
            </w:r>
          </w:p>
        </w:tc>
      </w:tr>
      <w:tr w:rsidR="00BE72D5" w:rsidTr="00B12E1C">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1362"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Nirmala UI Semilight" w:eastAsia="Times New Roman" w:hAnsi="Nirmala UI Semilight" w:cs="Nirmala UI Semilight"/>
                <w:sz w:val="20"/>
                <w:szCs w:val="20"/>
              </w:rPr>
            </w:pPr>
            <w:r w:rsidRPr="005E5305">
              <w:rPr>
                <w:rFonts w:ascii="Nirmala UI Semilight" w:eastAsia="Times New Roman" w:hAnsi="Nirmala UI Semilight" w:cs="Nirmala UI Semilight"/>
                <w:sz w:val="20"/>
                <w:szCs w:val="20"/>
              </w:rPr>
              <w:t>Total dissolved nitrogen</w:t>
            </w:r>
            <w:r>
              <w:rPr>
                <w:rFonts w:ascii="Nirmala UI Semilight" w:eastAsia="Times New Roman" w:hAnsi="Nirmala UI Semilight" w:cs="Nirmala UI Semilight"/>
                <w:sz w:val="20"/>
                <w:szCs w:val="20"/>
              </w:rPr>
              <w:t xml:space="preserve"> (ppb)</w:t>
            </w:r>
          </w:p>
        </w:tc>
        <w:tc>
          <w:tcPr>
            <w:tcW w:w="1243"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Nirmala UI Semilight" w:eastAsia="Times New Roman" w:hAnsi="Nirmala UI Semilight" w:cs="Nirmala UI Semilight"/>
                <w:sz w:val="20"/>
                <w:szCs w:val="20"/>
              </w:rPr>
            </w:pPr>
          </w:p>
        </w:tc>
        <w:tc>
          <w:tcPr>
            <w:tcW w:w="1202" w:type="dxa"/>
          </w:tcPr>
          <w:p w:rsidR="00BE72D5" w:rsidRPr="005E5305" w:rsidRDefault="00BE72D5" w:rsidP="00B12E1C">
            <w:pPr>
              <w:jc w:val="center"/>
              <w:cnfStyle w:val="000000100000" w:firstRow="0" w:lastRow="0" w:firstColumn="0" w:lastColumn="0" w:oddVBand="0" w:evenVBand="0" w:oddHBand="1" w:evenHBand="0" w:firstRowFirstColumn="0" w:firstRowLastColumn="0" w:lastRowFirstColumn="0" w:lastRowLastColumn="0"/>
              <w:rPr>
                <w:rFonts w:ascii="Nirmala UI Semilight" w:hAnsi="Nirmala UI Semilight" w:cs="Nirmala UI Semilight"/>
              </w:rPr>
            </w:pPr>
            <w:r w:rsidRPr="005E5305">
              <w:rPr>
                <w:rFonts w:ascii="Nirmala UI Semilight" w:eastAsia="Times New Roman" w:hAnsi="Nirmala UI Semilight" w:cs="Nirmala UI Semilight"/>
                <w:sz w:val="20"/>
                <w:szCs w:val="20"/>
              </w:rPr>
              <w:t>1290.19, 490.13</w:t>
            </w:r>
          </w:p>
        </w:tc>
        <w:tc>
          <w:tcPr>
            <w:tcW w:w="1375" w:type="dxa"/>
          </w:tcPr>
          <w:p w:rsidR="00BE72D5" w:rsidRPr="005E5305" w:rsidRDefault="00BE72D5" w:rsidP="00B12E1C">
            <w:pPr>
              <w:jc w:val="center"/>
              <w:cnfStyle w:val="000000100000" w:firstRow="0" w:lastRow="0" w:firstColumn="0" w:lastColumn="0" w:oddVBand="0" w:evenVBand="0" w:oddHBand="1" w:evenHBand="0" w:firstRowFirstColumn="0" w:firstRowLastColumn="0" w:lastRowFirstColumn="0" w:lastRowLastColumn="0"/>
              <w:rPr>
                <w:rFonts w:ascii="Nirmala UI Semilight" w:hAnsi="Nirmala UI Semilight" w:cs="Nirmala UI Semilight"/>
              </w:rPr>
            </w:pPr>
            <w:r w:rsidRPr="005E5305">
              <w:rPr>
                <w:rFonts w:ascii="Nirmala UI Semilight" w:eastAsia="Times New Roman" w:hAnsi="Nirmala UI Semilight" w:cs="Nirmala UI Semilight"/>
                <w:sz w:val="20"/>
                <w:szCs w:val="20"/>
              </w:rPr>
              <w:t>442.39, 586.56</w:t>
            </w:r>
          </w:p>
        </w:tc>
        <w:tc>
          <w:tcPr>
            <w:tcW w:w="1375"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Nirmala UI Semilight" w:eastAsia="Times New Roman" w:hAnsi="Nirmala UI Semilight" w:cs="Nirmala UI Semilight"/>
                <w:sz w:val="20"/>
                <w:szCs w:val="20"/>
              </w:rPr>
            </w:pPr>
          </w:p>
        </w:tc>
        <w:tc>
          <w:tcPr>
            <w:tcW w:w="1375" w:type="dxa"/>
          </w:tcPr>
          <w:p w:rsidR="00BE72D5" w:rsidRPr="005E5305" w:rsidRDefault="00BE72D5" w:rsidP="00B12E1C">
            <w:pPr>
              <w:jc w:val="center"/>
              <w:cnfStyle w:val="000000100000" w:firstRow="0" w:lastRow="0" w:firstColumn="0" w:lastColumn="0" w:oddVBand="0" w:evenVBand="0" w:oddHBand="1" w:evenHBand="0" w:firstRowFirstColumn="0" w:firstRowLastColumn="0" w:lastRowFirstColumn="0" w:lastRowLastColumn="0"/>
              <w:rPr>
                <w:rFonts w:ascii="Nirmala UI Semilight" w:hAnsi="Nirmala UI Semilight" w:cs="Nirmala UI Semilight"/>
              </w:rPr>
            </w:pPr>
            <w:r w:rsidRPr="005E5305">
              <w:rPr>
                <w:rFonts w:ascii="Nirmala UI Semilight" w:eastAsia="Times New Roman" w:hAnsi="Nirmala UI Semilight" w:cs="Nirmala UI Semilight"/>
                <w:sz w:val="20"/>
                <w:szCs w:val="20"/>
              </w:rPr>
              <w:t>582.5, 820.21</w:t>
            </w:r>
          </w:p>
        </w:tc>
        <w:tc>
          <w:tcPr>
            <w:tcW w:w="1375" w:type="dxa"/>
          </w:tcPr>
          <w:p w:rsidR="00BE72D5" w:rsidRPr="005E5305" w:rsidRDefault="00BE72D5" w:rsidP="00B12E1C">
            <w:pPr>
              <w:jc w:val="center"/>
              <w:cnfStyle w:val="000000100000" w:firstRow="0" w:lastRow="0" w:firstColumn="0" w:lastColumn="0" w:oddVBand="0" w:evenVBand="0" w:oddHBand="1" w:evenHBand="0" w:firstRowFirstColumn="0" w:firstRowLastColumn="0" w:lastRowFirstColumn="0" w:lastRowLastColumn="0"/>
              <w:rPr>
                <w:rFonts w:ascii="Nirmala UI Semilight" w:hAnsi="Nirmala UI Semilight" w:cs="Nirmala UI Semilight"/>
              </w:rPr>
            </w:pPr>
            <w:r w:rsidRPr="005E5305">
              <w:rPr>
                <w:rFonts w:ascii="Nirmala UI Semilight" w:eastAsia="Times New Roman" w:hAnsi="Nirmala UI Semilight" w:cs="Nirmala UI Semilight"/>
                <w:sz w:val="20"/>
                <w:szCs w:val="20"/>
              </w:rPr>
              <w:t>451.63, 1179.21</w:t>
            </w:r>
          </w:p>
        </w:tc>
        <w:tc>
          <w:tcPr>
            <w:tcW w:w="1378"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Nirmala UI Semilight" w:eastAsia="Times New Roman" w:hAnsi="Nirmala UI Semilight" w:cs="Nirmala UI Semilight"/>
                <w:sz w:val="20"/>
                <w:szCs w:val="20"/>
              </w:rPr>
            </w:pPr>
          </w:p>
        </w:tc>
        <w:tc>
          <w:tcPr>
            <w:tcW w:w="1279" w:type="dxa"/>
          </w:tcPr>
          <w:p w:rsidR="00BE72D5" w:rsidRPr="005E5305" w:rsidRDefault="00BE72D5" w:rsidP="00B12E1C">
            <w:pPr>
              <w:jc w:val="center"/>
              <w:cnfStyle w:val="000000100000" w:firstRow="0" w:lastRow="0" w:firstColumn="0" w:lastColumn="0" w:oddVBand="0" w:evenVBand="0" w:oddHBand="1" w:evenHBand="0" w:firstRowFirstColumn="0" w:firstRowLastColumn="0" w:lastRowFirstColumn="0" w:lastRowLastColumn="0"/>
              <w:rPr>
                <w:rFonts w:ascii="Nirmala UI Semilight" w:hAnsi="Nirmala UI Semilight" w:cs="Nirmala UI Semilight"/>
              </w:rPr>
            </w:pPr>
            <w:r w:rsidRPr="005E5305">
              <w:rPr>
                <w:rFonts w:ascii="Nirmala UI Semilight" w:eastAsia="Times New Roman" w:hAnsi="Nirmala UI Semilight" w:cs="Nirmala UI Semilight"/>
                <w:sz w:val="20"/>
                <w:szCs w:val="20"/>
              </w:rPr>
              <w:t>1024.5, 3220.14</w:t>
            </w:r>
          </w:p>
        </w:tc>
      </w:tr>
      <w:tr w:rsidR="00BE72D5" w:rsidTr="00B12E1C">
        <w:trPr>
          <w:trHeight w:val="1013"/>
        </w:trPr>
        <w:tc>
          <w:tcPr>
            <w:cnfStyle w:val="001000000000" w:firstRow="0" w:lastRow="0" w:firstColumn="1" w:lastColumn="0" w:oddVBand="0" w:evenVBand="0" w:oddHBand="0" w:evenHBand="0" w:firstRowFirstColumn="0" w:firstRowLastColumn="0" w:lastRowFirstColumn="0" w:lastRowLastColumn="0"/>
            <w:tcW w:w="1362"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Nirmala UI Semilight" w:eastAsia="Times New Roman" w:hAnsi="Nirmala UI Semilight" w:cs="Nirmala UI Semilight"/>
                <w:sz w:val="20"/>
                <w:szCs w:val="20"/>
              </w:rPr>
            </w:pPr>
            <w:r w:rsidRPr="005E5305">
              <w:rPr>
                <w:rFonts w:ascii="Nirmala UI Semilight" w:eastAsia="Times New Roman" w:hAnsi="Nirmala UI Semilight" w:cs="Nirmala UI Semilight"/>
                <w:sz w:val="20"/>
                <w:szCs w:val="20"/>
              </w:rPr>
              <w:t>Total dissolved phosphorus</w:t>
            </w:r>
            <w:r>
              <w:rPr>
                <w:rFonts w:ascii="Nirmala UI Semilight" w:eastAsia="Times New Roman" w:hAnsi="Nirmala UI Semilight" w:cs="Nirmala UI Semilight"/>
                <w:sz w:val="20"/>
                <w:szCs w:val="20"/>
              </w:rPr>
              <w:t xml:space="preserve"> (ppb)</w:t>
            </w:r>
          </w:p>
        </w:tc>
        <w:tc>
          <w:tcPr>
            <w:tcW w:w="1243"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Nirmala UI Semilight" w:eastAsia="Times New Roman" w:hAnsi="Nirmala UI Semilight" w:cs="Nirmala UI Semilight"/>
                <w:sz w:val="20"/>
                <w:szCs w:val="20"/>
              </w:rPr>
            </w:pPr>
          </w:p>
        </w:tc>
        <w:tc>
          <w:tcPr>
            <w:tcW w:w="1202" w:type="dxa"/>
          </w:tcPr>
          <w:p w:rsidR="00BE72D5" w:rsidRPr="005E5305" w:rsidRDefault="00BE72D5" w:rsidP="00B12E1C">
            <w:pPr>
              <w:jc w:val="center"/>
              <w:cnfStyle w:val="000000000000" w:firstRow="0" w:lastRow="0" w:firstColumn="0" w:lastColumn="0" w:oddVBand="0" w:evenVBand="0" w:oddHBand="0" w:evenHBand="0" w:firstRowFirstColumn="0" w:firstRowLastColumn="0" w:lastRowFirstColumn="0" w:lastRowLastColumn="0"/>
              <w:rPr>
                <w:rFonts w:ascii="Nirmala UI Semilight" w:hAnsi="Nirmala UI Semilight" w:cs="Nirmala UI Semilight"/>
              </w:rPr>
            </w:pPr>
            <w:r w:rsidRPr="005E5305">
              <w:rPr>
                <w:rFonts w:ascii="Nirmala UI Semilight" w:eastAsia="Times New Roman" w:hAnsi="Nirmala UI Semilight" w:cs="Nirmala UI Semilight"/>
                <w:sz w:val="20"/>
                <w:szCs w:val="20"/>
              </w:rPr>
              <w:t>84.25, 14.88</w:t>
            </w:r>
          </w:p>
        </w:tc>
        <w:tc>
          <w:tcPr>
            <w:tcW w:w="1375" w:type="dxa"/>
          </w:tcPr>
          <w:p w:rsidR="00BE72D5" w:rsidRPr="005E5305" w:rsidRDefault="00BE72D5" w:rsidP="00B12E1C">
            <w:pPr>
              <w:jc w:val="center"/>
              <w:cnfStyle w:val="000000000000" w:firstRow="0" w:lastRow="0" w:firstColumn="0" w:lastColumn="0" w:oddVBand="0" w:evenVBand="0" w:oddHBand="0" w:evenHBand="0" w:firstRowFirstColumn="0" w:firstRowLastColumn="0" w:lastRowFirstColumn="0" w:lastRowLastColumn="0"/>
              <w:rPr>
                <w:rFonts w:ascii="Nirmala UI Semilight" w:hAnsi="Nirmala UI Semilight" w:cs="Nirmala UI Semilight"/>
              </w:rPr>
            </w:pPr>
            <w:r w:rsidRPr="005E5305">
              <w:rPr>
                <w:rFonts w:ascii="Nirmala UI Semilight" w:eastAsia="Times New Roman" w:hAnsi="Nirmala UI Semilight" w:cs="Nirmala UI Semilight"/>
                <w:sz w:val="20"/>
                <w:szCs w:val="20"/>
              </w:rPr>
              <w:t>70.22, 22.67</w:t>
            </w:r>
          </w:p>
        </w:tc>
        <w:tc>
          <w:tcPr>
            <w:tcW w:w="1375"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Nirmala UI Semilight" w:eastAsia="Times New Roman" w:hAnsi="Nirmala UI Semilight" w:cs="Nirmala UI Semilight"/>
                <w:sz w:val="20"/>
                <w:szCs w:val="20"/>
              </w:rPr>
            </w:pPr>
          </w:p>
        </w:tc>
        <w:tc>
          <w:tcPr>
            <w:tcW w:w="1375" w:type="dxa"/>
          </w:tcPr>
          <w:p w:rsidR="00BE72D5" w:rsidRPr="005E5305" w:rsidRDefault="00BE72D5" w:rsidP="00B12E1C">
            <w:pPr>
              <w:jc w:val="center"/>
              <w:cnfStyle w:val="000000000000" w:firstRow="0" w:lastRow="0" w:firstColumn="0" w:lastColumn="0" w:oddVBand="0" w:evenVBand="0" w:oddHBand="0" w:evenHBand="0" w:firstRowFirstColumn="0" w:firstRowLastColumn="0" w:lastRowFirstColumn="0" w:lastRowLastColumn="0"/>
              <w:rPr>
                <w:rFonts w:ascii="Nirmala UI Semilight" w:hAnsi="Nirmala UI Semilight" w:cs="Nirmala UI Semilight"/>
              </w:rPr>
            </w:pPr>
            <w:r w:rsidRPr="005E5305">
              <w:rPr>
                <w:rFonts w:ascii="Nirmala UI Semilight" w:eastAsia="Times New Roman" w:hAnsi="Nirmala UI Semilight" w:cs="Nirmala UI Semilight"/>
                <w:sz w:val="20"/>
                <w:szCs w:val="20"/>
              </w:rPr>
              <w:t>34.5, 31.57</w:t>
            </w:r>
          </w:p>
        </w:tc>
        <w:tc>
          <w:tcPr>
            <w:tcW w:w="1375" w:type="dxa"/>
          </w:tcPr>
          <w:p w:rsidR="00BE72D5" w:rsidRPr="005E5305" w:rsidRDefault="00BE72D5" w:rsidP="00B12E1C">
            <w:pPr>
              <w:jc w:val="center"/>
              <w:cnfStyle w:val="000000000000" w:firstRow="0" w:lastRow="0" w:firstColumn="0" w:lastColumn="0" w:oddVBand="0" w:evenVBand="0" w:oddHBand="0" w:evenHBand="0" w:firstRowFirstColumn="0" w:firstRowLastColumn="0" w:lastRowFirstColumn="0" w:lastRowLastColumn="0"/>
              <w:rPr>
                <w:rFonts w:ascii="Nirmala UI Semilight" w:hAnsi="Nirmala UI Semilight" w:cs="Nirmala UI Semilight"/>
              </w:rPr>
            </w:pPr>
            <w:r w:rsidRPr="005E5305">
              <w:rPr>
                <w:rFonts w:ascii="Nirmala UI Semilight" w:eastAsia="Times New Roman" w:hAnsi="Nirmala UI Semilight" w:cs="Nirmala UI Semilight"/>
                <w:sz w:val="20"/>
                <w:szCs w:val="20"/>
              </w:rPr>
              <w:t>16.25, 18.29</w:t>
            </w:r>
          </w:p>
        </w:tc>
        <w:tc>
          <w:tcPr>
            <w:tcW w:w="1378" w:type="dxa"/>
          </w:tcPr>
          <w:p w:rsidR="00BE72D5" w:rsidRPr="005E5305" w:rsidRDefault="00BE72D5" w:rsidP="00B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Nirmala UI Semilight" w:eastAsia="Times New Roman" w:hAnsi="Nirmala UI Semilight" w:cs="Nirmala UI Semilight"/>
                <w:sz w:val="20"/>
                <w:szCs w:val="20"/>
              </w:rPr>
            </w:pPr>
          </w:p>
        </w:tc>
        <w:tc>
          <w:tcPr>
            <w:tcW w:w="1279" w:type="dxa"/>
          </w:tcPr>
          <w:p w:rsidR="00BE72D5" w:rsidRPr="005E5305" w:rsidRDefault="00BE72D5" w:rsidP="00B12E1C">
            <w:pPr>
              <w:jc w:val="center"/>
              <w:cnfStyle w:val="000000000000" w:firstRow="0" w:lastRow="0" w:firstColumn="0" w:lastColumn="0" w:oddVBand="0" w:evenVBand="0" w:oddHBand="0" w:evenHBand="0" w:firstRowFirstColumn="0" w:firstRowLastColumn="0" w:lastRowFirstColumn="0" w:lastRowLastColumn="0"/>
              <w:rPr>
                <w:rFonts w:ascii="Nirmala UI Semilight" w:hAnsi="Nirmala UI Semilight" w:cs="Nirmala UI Semilight"/>
              </w:rPr>
            </w:pPr>
            <w:r w:rsidRPr="005E5305">
              <w:rPr>
                <w:rFonts w:ascii="Nirmala UI Semilight" w:eastAsia="Times New Roman" w:hAnsi="Nirmala UI Semilight" w:cs="Nirmala UI Semilight"/>
                <w:sz w:val="20"/>
                <w:szCs w:val="20"/>
              </w:rPr>
              <w:t>71.13, 228</w:t>
            </w:r>
          </w:p>
        </w:tc>
      </w:tr>
    </w:tbl>
    <w:p w:rsidR="00103B13" w:rsidRPr="00BE72D5" w:rsidRDefault="00BE72D5" w:rsidP="00BE7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rPr>
      </w:pPr>
      <w:r>
        <w:rPr>
          <w:rFonts w:eastAsia="Times New Roman"/>
          <w:b/>
        </w:rPr>
        <w:t xml:space="preserve">Table 1. Location and characteristics of bog lakes included in this study. </w:t>
      </w:r>
      <w:r>
        <w:rPr>
          <w:rFonts w:eastAsia="Times New Roman"/>
        </w:rPr>
        <w:t xml:space="preserve">All lakes are located near Boulder Junction, WI, in the southern boreal region of North America. The mixing regime indicates the frequency of mixing of the two stratified layers, the </w:t>
      </w:r>
      <w:proofErr w:type="spellStart"/>
      <w:r>
        <w:rPr>
          <w:rFonts w:eastAsia="Times New Roman"/>
        </w:rPr>
        <w:t>epilimnion</w:t>
      </w:r>
      <w:proofErr w:type="spellEnd"/>
      <w:r>
        <w:rPr>
          <w:rFonts w:eastAsia="Times New Roman"/>
        </w:rPr>
        <w:t xml:space="preserve"> and </w:t>
      </w:r>
      <w:proofErr w:type="spellStart"/>
      <w:r>
        <w:rPr>
          <w:rFonts w:eastAsia="Times New Roman"/>
        </w:rPr>
        <w:t>hypolimnion</w:t>
      </w:r>
      <w:proofErr w:type="spellEnd"/>
      <w:r>
        <w:rPr>
          <w:rFonts w:eastAsia="Times New Roman"/>
        </w:rPr>
        <w:t xml:space="preserve">. Nutrient concentrations are reported for the </w:t>
      </w:r>
      <w:proofErr w:type="spellStart"/>
      <w:r>
        <w:rPr>
          <w:rFonts w:eastAsia="Times New Roman"/>
        </w:rPr>
        <w:t>epilimnion</w:t>
      </w:r>
      <w:proofErr w:type="spellEnd"/>
      <w:r>
        <w:rPr>
          <w:rFonts w:eastAsia="Times New Roman"/>
        </w:rPr>
        <w:t xml:space="preserve"> first, then the </w:t>
      </w:r>
      <w:proofErr w:type="spellStart"/>
      <w:r>
        <w:rPr>
          <w:rFonts w:eastAsia="Times New Roman"/>
        </w:rPr>
        <w:t>hypolimnion</w:t>
      </w:r>
      <w:proofErr w:type="spellEnd"/>
      <w:r>
        <w:rPr>
          <w:rFonts w:eastAsia="Times New Roman"/>
        </w:rPr>
        <w:t>, and represent the average concentration measured in 2008.</w:t>
      </w:r>
    </w:p>
    <w:p w:rsidR="00103B13" w:rsidRDefault="00103B13" w:rsidP="000D4BB0">
      <w:pPr>
        <w:pStyle w:val="ManuscriptText"/>
      </w:pPr>
    </w:p>
    <w:p w:rsidR="005E5305" w:rsidRDefault="005E5305" w:rsidP="005E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rPr>
      </w:pPr>
    </w:p>
    <w:p w:rsidR="00BE72D5" w:rsidRDefault="00BE72D5" w:rsidP="005E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rPr>
      </w:pPr>
    </w:p>
    <w:p w:rsidR="00B12E1C" w:rsidRDefault="00B12E1C" w:rsidP="005E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rPr>
      </w:pPr>
    </w:p>
    <w:p w:rsidR="00B12E1C" w:rsidRDefault="00B12E1C" w:rsidP="005E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rPr>
      </w:pPr>
    </w:p>
    <w:p w:rsidR="000D4BB0" w:rsidRPr="000D4BB0" w:rsidRDefault="000D4BB0" w:rsidP="000D4BB0">
      <w:pPr>
        <w:spacing w:line="480" w:lineRule="auto"/>
        <w:jc w:val="both"/>
        <w:rPr>
          <w:b/>
        </w:rPr>
      </w:pPr>
      <w:r w:rsidRPr="000D4BB0">
        <w:rPr>
          <w:b/>
        </w:rPr>
        <w:t>Sequencing</w:t>
      </w:r>
    </w:p>
    <w:p w:rsidR="000D4BB0" w:rsidRDefault="000D4BB0" w:rsidP="000D4BB0">
      <w:pPr>
        <w:pStyle w:val="ManuscriptText"/>
      </w:pPr>
      <w:r>
        <w:t>1,510</w:t>
      </w:r>
      <w:r w:rsidRPr="002A74FF">
        <w:t xml:space="preserve"> DNA samples, including</w:t>
      </w:r>
      <w:r>
        <w:t xml:space="preserve"> 547 biological</w:t>
      </w:r>
      <w:r w:rsidRPr="002A74FF">
        <w:t xml:space="preserve"> replicates, were </w:t>
      </w:r>
      <w:r>
        <w:t xml:space="preserve">sequenced by </w:t>
      </w:r>
      <w:r w:rsidRPr="002A74FF">
        <w:t>the Earth Microbiome Project</w:t>
      </w:r>
      <w:r>
        <w:t xml:space="preserve"> according to their standard protocols </w:t>
      </w:r>
      <w:r>
        <w:fldChar w:fldCharType="begin" w:fldLock="1"/>
      </w:r>
      <w:r w:rsidR="004A12DC">
        <w:instrText>ADDIN CSL_CITATION { "citationItems" : [ { "id" : "ITEM-1", "itemData" : { "DOI" : "10.1038/ismej.2012.8", "ISBN" : "1751-7370 (Electronic)\\n1751-7362 (Linking)", "ISSN" : "1751-7362", "PMID" : "22402401", "abstract" : "DNA sequencing continues to decrease in cost with the Illumina HiSeq2000 generating up to 600 Gb of paired-end 100 base reads in a ten-day run. Here we present a protocol for community amplicon sequencing on the HiSeq2000 and MiSeq Illumina platforms, and apply that protocol to sequence 24 microbial communities from host-associated and free-living environments. A critical question as more sequencing platforms become available is whether biological conclusions derived on one platform are consistent with what would be derived on a different platform. We show that the protocol developed for these instruments successfully recaptures known biological results, and additionally that biological conclusions are consistent across sequencing platforms (the HiSeq2000 versus the MiSeq) and across the sequenced regions of amplicons.", "author" : [ { "dropping-particle" : "", "family" : "Caporaso", "given" : "J Gregory", "non-dropping-particle" : "", "parse-names" : false, "suffix" : "" }, { "dropping-particle" : "", "family" : "Lauber", "given" : "Christian L", "non-dropping-particle" : "", "parse-names" : false, "suffix" : "" }, { "dropping-particle" : "", "family" : "Walters", "given" : "William A", "non-dropping-particle" : "", "parse-names" : false, "suffix" : "" }, { "dropping-particle" : "", "family" : "Berg-Lyons", "given" : "Donna", "non-dropping-particle" : "", "parse-names" : false, "suffix" : "" }, { "dropping-particle" : "", "family" : "Huntley", "given" : "James", "non-dropping-particle" : "", "parse-names" : false, "suffix" : "" }, { "dropping-particle" : "", "family" : "Fierer", "given" : "Noah", "non-dropping-particle" : "", "parse-names" : false, "suffix" : "" }, { "dropping-particle" : "", "family" : "Owens", "given" : "Sarah M", "non-dropping-particle" : "", "parse-names" : false, "suffix" : "" }, { "dropping-particle" : "", "family" : "Betley", "given" : "Jason", "non-dropping-particle" : "", "parse-names" : false, "suffix" : "" }, { "dropping-particle" : "", "family" : "Fraser", "given" : "Louise", "non-dropping-particle" : "", "parse-names" : false, "suffix" : "" }, { "dropping-particle" : "", "family" : "Bauer", "given" : "Markus", "non-dropping-particle" : "", "parse-names" : false, "suffix" : "" }, { "dropping-particle" : "", "family" : "Gormley", "given" : "Niall", "non-dropping-particle" : "", "parse-names" : false, "suffix" : "" }, { "dropping-particle" : "", "family" : "Gilbert", "given" : "Jack A", "non-dropping-particle" : "", "parse-names" : false, "suffix" : "" }, { "dropping-particle" : "", "family" : "Smith", "given" : "Geoff", "non-dropping-particle" : "", "parse-names" : false, "suffix" : "" }, { "dropping-particle" : "", "family" : "Knight", "given" : "Rob", "non-dropping-particle" : "", "parse-names" : false, "suffix" : "" } ], "container-title" : "The ISME Journal", "id" : "ITEM-1", "issue" : "8", "issued" : { "date-parts" : [ [ "2012" ] ] }, "page" : "1621-1624", "publisher" : "Nature Publishing Group", "title" : "Ultra-high-throughput microbial community analysis on the Illumina HiSeq and MiSeq platforms", "type" : "article-journal", "volume" : "6" }, "uris" : [ "http://www.mendeley.com/documents/?uuid=87f374ea-e177-4036-9ccb-691b505c2f30" ] } ], "mendeley" : { "formattedCitation" : "(13)", "plainTextFormattedCitation" : "(13)", "previouslyFormattedCitation" : "(13)" }, "properties" : { "noteIndex" : 0 }, "schema" : "https://github.com/citation-style-language/schema/raw/master/csl-citation.json" }</w:instrText>
      </w:r>
      <w:r>
        <w:fldChar w:fldCharType="separate"/>
      </w:r>
      <w:r w:rsidR="00353516" w:rsidRPr="00353516">
        <w:rPr>
          <w:noProof/>
        </w:rPr>
        <w:t>(13)</w:t>
      </w:r>
      <w:r>
        <w:fldChar w:fldCharType="end"/>
      </w:r>
      <w:r w:rsidRPr="002A74FF">
        <w:t xml:space="preserve">. </w:t>
      </w:r>
      <w:r>
        <w:t>Briefly, t</w:t>
      </w:r>
      <w:r w:rsidRPr="002A74FF">
        <w:t>he V4 region was amplified a</w:t>
      </w:r>
      <w:r>
        <w:t xml:space="preserve">nd sequenced using Illumina </w:t>
      </w:r>
      <w:proofErr w:type="spellStart"/>
      <w:r>
        <w:t>HiSeq</w:t>
      </w:r>
      <w:proofErr w:type="spellEnd"/>
      <w:r>
        <w:t>, resulting in 77,517,398 total sequences with an average length of 150 base pairs</w:t>
      </w:r>
      <w:r w:rsidRPr="002A74FF">
        <w:t xml:space="preserve">. To reduce the number of erroneous sequences, QIIME’s </w:t>
      </w:r>
      <w:r>
        <w:t>“</w:t>
      </w:r>
      <w:proofErr w:type="spellStart"/>
      <w:r w:rsidRPr="002A74FF">
        <w:t>deblurring</w:t>
      </w:r>
      <w:proofErr w:type="spellEnd"/>
      <w:r>
        <w:t>”</w:t>
      </w:r>
      <w:r w:rsidRPr="002A74FF">
        <w:t xml:space="preserve"> algorithm for reducing sequence error in Illumina data was </w:t>
      </w:r>
      <w:r>
        <w:t>applied</w:t>
      </w:r>
      <w:r w:rsidRPr="002A74FF">
        <w:t xml:space="preserve"> </w:t>
      </w:r>
      <w:r>
        <w:t>(</w:t>
      </w:r>
      <w:hyperlink r:id="rId6" w:tgtFrame="_blank" w:history="1">
        <w:r>
          <w:rPr>
            <w:rStyle w:val="Hyperlink"/>
          </w:rPr>
          <w:t>https://github.com/biocore/deblur</w:t>
        </w:r>
      </w:hyperlink>
      <w:r>
        <w:t>, manuscript in preparation)</w:t>
      </w:r>
      <w:r w:rsidRPr="002A74FF">
        <w:t>.</w:t>
      </w:r>
      <w:r>
        <w:t xml:space="preserve"> Based on the sequencing error profile, this algorithm removes reads that are likely to be sequencing errors if those reads are both low in abundance and highly similar to a high abundance read. Reads occurring less than 25 times in the entire dataset were removed after </w:t>
      </w:r>
      <w:proofErr w:type="spellStart"/>
      <w:r>
        <w:t>deblurring</w:t>
      </w:r>
      <w:proofErr w:type="spellEnd"/>
      <w:r>
        <w:t>, leaving 9,856 unique sequences.</w:t>
      </w:r>
      <w:r w:rsidR="00B12E1C">
        <w:t xml:space="preserve"> These sequences are considered operational taxonomic units (OTUs).</w:t>
      </w:r>
    </w:p>
    <w:p w:rsidR="000D4BB0" w:rsidRDefault="000D4BB0" w:rsidP="000D4BB0">
      <w:pPr>
        <w:pStyle w:val="ManuscriptText"/>
      </w:pPr>
      <w:r>
        <w:t xml:space="preserve">570 </w:t>
      </w:r>
      <w:r w:rsidRPr="002A74FF">
        <w:t xml:space="preserve">sequences </w:t>
      </w:r>
      <w:r>
        <w:t xml:space="preserve">with long </w:t>
      </w:r>
      <w:proofErr w:type="spellStart"/>
      <w:r>
        <w:t>homopolymer</w:t>
      </w:r>
      <w:proofErr w:type="spellEnd"/>
      <w:r>
        <w:t xml:space="preserve"> runs</w:t>
      </w:r>
      <w:r w:rsidRPr="002A74FF">
        <w:t xml:space="preserve">, ambiguous base calls, </w:t>
      </w:r>
      <w:r>
        <w:t>or</w:t>
      </w:r>
      <w:r w:rsidRPr="002A74FF">
        <w:t xml:space="preserve"> incorrect</w:t>
      </w:r>
      <w:r>
        <w:t xml:space="preserve"> sequence lengths</w:t>
      </w:r>
      <w:r w:rsidRPr="002A74FF">
        <w:t xml:space="preserve"> were found and removed via </w:t>
      </w:r>
      <w:proofErr w:type="spellStart"/>
      <w:r w:rsidRPr="002A74FF">
        <w:t>mothur</w:t>
      </w:r>
      <w:proofErr w:type="spellEnd"/>
      <w:r>
        <w:t xml:space="preserve"> v1.34.3 </w:t>
      </w:r>
      <w:r>
        <w:fldChar w:fldCharType="begin" w:fldLock="1"/>
      </w:r>
      <w:r w:rsidR="004A12DC">
        <w:instrText>ADDIN CSL_CITATION { "citationItems" : [ { "id" : "ITEM-1", "itemData" : { "DOI" : "10.1128/AEM.01541-09", "ISBN" : "1098-5336 (Electronic)\\n0099-2240 (Linking)", "ISSN" : "00992240", "PMID" : "19801464", "abstract" : "mothur aims to be a comprehensive software package that allows users to use a single piece of software to analyze community sequence data. It builds upon previous tools to provide a flexible and powerful software package for analyzing sequencing data. As a case study, we used mothur to trim, screen, and align sequences; calculate distances; assign sequences to operational taxonomic units; and describe the alpha and beta diversity of eight marine samples previously characterized by pyrosequencing of 16S rRNA gene fragments. This analysis of more than 222,000 sequences was completed in less than 2 h with a laptop computer.", "author" : [ { "dropping-particle" : "", "family" : "Schloss", "given" : "Patrick D.", "non-dropping-particle" : "", "parse-names" : false, "suffix" : "" }, { "dropping-particle" : "", "family" : "Westcott", "given" : "Sarah L.", "non-dropping-particle" : "", "parse-names" : false, "suffix" : "" }, { "dropping-particle" : "", "family" : "Ryabin", "given" : "Thomas", "non-dropping-particle" : "", "parse-names" : false, "suffix" : "" }, { "dropping-particle" : "", "family" : "Hall", "given" : "Justine R.", "non-dropping-particle" : "", "parse-names" : false, "suffix" : "" }, { "dropping-particle" : "", "family" : "Hartmann", "given" : "Martin", "non-dropping-particle" : "", "parse-names" : false, "suffix" : "" }, { "dropping-particle" : "", "family" : "Hollister", "given" : "Emily B.", "non-dropping-particle" : "", "parse-names" : false, "suffix" : "" }, { "dropping-particle" : "", "family" : "Lesniewski", "given" : "Ryan A.", "non-dropping-particle" : "", "parse-names" : false, "suffix" : "" }, { "dropping-particle" : "", "family" : "Oakley", "given" : "Brian B.", "non-dropping-particle" : "", "parse-names" : false, "suffix" : "" }, { "dropping-particle" : "", "family" : "Parks", "given" : "Donovan H.", "non-dropping-particle" : "", "parse-names" : false, "suffix" : "" }, { "dropping-particle" : "", "family" : "Robinson", "given" : "Courtney J.", "non-dropping-particle" : "", "parse-names" : false, "suffix" : "" }, { "dropping-particle" : "", "family" : "Sahl", "given" : "Jason W.", "non-dropping-particle" : "", "parse-names" : false, "suffix" : "" }, { "dropping-particle" : "", "family" : "Stres", "given" : "Blaz", "non-dropping-particle" : "", "parse-names" : false, "suffix" : "" }, { "dropping-particle" : "", "family" : "Thallinger", "given" : "Gerhard G.", "non-dropping-particle" : "", "parse-names" : false, "suffix" : "" }, { "dropping-particle" : "", "family" : "Horn", "given" : "David J.", "non-dropping-particle" : "Van", "parse-names" : false, "suffix" : "" }, { "dropping-particle" : "", "family" : "Weber", "given" : "Carolyn F.", "non-dropping-particle" : "", "parse-names" : false, "suffix" : "" } ], "container-title" : "Applied and Environmental Microbiology", "id" : "ITEM-1", "issue" : "23", "issued" : { "date-parts" : [ [ "2009" ] ] }, "page" : "7537-7541", "title" : "Introducing mothur: Open-source, platform-independent, community-supported software for describing and comparing microbial communities", "type" : "article-journal", "volume" : "75" }, "uris" : [ "http://www.mendeley.com/documents/?uuid=a02e4b84-286f-49fa-a4c1-6d4b6bcbf53b" ] } ], "mendeley" : { "formattedCitation" : "(14)", "plainTextFormattedCitation" : "(14)", "previouslyFormattedCitation" : "(14)" }, "properties" : { "noteIndex" : 0 }, "schema" : "https://github.com/citation-style-language/schema/raw/master/csl-citation.json" }</w:instrText>
      </w:r>
      <w:r>
        <w:fldChar w:fldCharType="separate"/>
      </w:r>
      <w:r w:rsidR="00353516" w:rsidRPr="00353516">
        <w:rPr>
          <w:noProof/>
        </w:rPr>
        <w:t>(14)</w:t>
      </w:r>
      <w:r>
        <w:fldChar w:fldCharType="end"/>
      </w:r>
      <w:r>
        <w:t>. Thirty-three chimeras and 340 chloroplast sequences</w:t>
      </w:r>
      <w:r w:rsidRPr="002A74FF">
        <w:t xml:space="preserve"> </w:t>
      </w:r>
      <w:r>
        <w:t xml:space="preserve">(based on pre-clustering and classification with the </w:t>
      </w:r>
      <w:proofErr w:type="spellStart"/>
      <w:r>
        <w:t>Greengenes</w:t>
      </w:r>
      <w:proofErr w:type="spellEnd"/>
      <w:r>
        <w:t xml:space="preserve"> 16S database, May 2013) </w:t>
      </w:r>
      <w:r>
        <w:fldChar w:fldCharType="begin" w:fldLock="1"/>
      </w:r>
      <w:r w:rsidR="004A12DC">
        <w:instrText>ADDIN CSL_CITATION { "citationItems" : [ { "id" : "ITEM-1", "itemData" : { "DOI" : "10.1128/AEM.03006-05", "ISBN" : "0099-2240", "ISSN" : "00992240", "PMID" : "16820507", "abstract" : "A 16S rRNA gene database (http://greengenes.lbl.gov) addresses limitations of public repositories by providing chimera screening, standard alignment, and taxonomic classification using multiple published taxonomies. It was found that there is incongruent taxonomic nomenclature among curators even at the phylum level. Putative chimeras were identified in 3% of environmental sequences and in 0.2% of records derived from isolates. Environmental sequences were classified into 100 phylum-level lineages in the Archaea and Bacteria.", "author" : [ { "dropping-particle" : "", "family" : "DeSantis", "given" : "T. Z.", "non-dropping-particle" : "", "parse-names" : false, "suffix" : "" }, { "dropping-particle" : "", "family" : "Hugenholtz", "given" : "P.", "non-dropping-particle" : "", "parse-names" : false, "suffix" : "" }, { "dropping-particle" : "", "family" : "Larsen", "given" : "N.", "non-dropping-particle" : "", "parse-names" : false, "suffix" : "" }, { "dropping-particle" : "", "family" : "Rojas", "given" : "M.", "non-dropping-particle" : "", "parse-names" : false, "suffix" : "" }, { "dropping-particle" : "", "family" : "Brodie", "given" : "E. L.", "non-dropping-particle" : "", "parse-names" : false, "suffix" : "" }, { "dropping-particle" : "", "family" : "Keller", "given" : "K.", "non-dropping-particle" : "", "parse-names" : false, "suffix" : "" }, { "dropping-particle" : "", "family" : "Huber", "given" : "T.", "non-dropping-particle" : "", "parse-names" : false, "suffix" : "" }, { "dropping-particle" : "", "family" : "Dalevi", "given" : "D.", "non-dropping-particle" : "", "parse-names" : false, "suffix" : "" }, { "dropping-particle" : "", "family" : "Hu", "given" : "P.", "non-dropping-particle" : "", "parse-names" : false, "suffix" : "" }, { "dropping-particle" : "", "family" : "Andersen", "given" : "G. L.", "non-dropping-particle" : "", "parse-names" : false, "suffix" : "" } ], "container-title" : "Applied and Environmental Microbiology", "id" : "ITEM-1", "issue" : "7", "issued" : { "date-parts" : [ [ "2006" ] ] }, "page" : "5069-5072", "title" : "Greengenes, a chimera-checked 16S rRNA gene database and workbench compatible with ARB", "type" : "article-journal", "volume" : "72" }, "uris" : [ "http://www.mendeley.com/documents/?uuid=c0f3826e-9ad0-4a6e-9a2e-6f1b7d66e881" ] } ], "mendeley" : { "formattedCitation" : "(15)", "plainTextFormattedCitation" : "(15)", "previouslyFormattedCitation" : "(15)" }, "properties" : { "noteIndex" : 0 }, "schema" : "https://github.com/citation-style-language/schema/raw/master/csl-citation.json" }</w:instrText>
      </w:r>
      <w:r>
        <w:fldChar w:fldCharType="separate"/>
      </w:r>
      <w:r w:rsidR="00353516" w:rsidRPr="00353516">
        <w:rPr>
          <w:noProof/>
        </w:rPr>
        <w:t>(15)</w:t>
      </w:r>
      <w:r>
        <w:fldChar w:fldCharType="end"/>
      </w:r>
      <w:r>
        <w:t xml:space="preserve"> were removed</w:t>
      </w:r>
      <w:r w:rsidRPr="002A74FF">
        <w:t xml:space="preserve">. </w:t>
      </w:r>
      <w:r>
        <w:t xml:space="preserve">Samples were rarefied to 2,500 reads; samples with less than 2,500 reads were omitted, resulting in 1,387 remaining samples. </w:t>
      </w:r>
      <w:r w:rsidRPr="00E42826">
        <w:t>The rarefaction cutoff used was determined based on the results of simulation; 2,500 reads was chosen in order to maximize the number of samples retained, while maintaining sufficient quality for downstream analysis of diversity metrics.</w:t>
      </w:r>
    </w:p>
    <w:p w:rsidR="000D4BB0" w:rsidRPr="002A74FF" w:rsidRDefault="000D4BB0" w:rsidP="000D4BB0">
      <w:pPr>
        <w:pStyle w:val="ManuscriptText"/>
      </w:pPr>
      <w:r>
        <w:t>R</w:t>
      </w:r>
      <w:r w:rsidRPr="002A74FF">
        <w:t>ep</w:t>
      </w:r>
      <w:r>
        <w:t>resentative sequences for each OTU were classified in either</w:t>
      </w:r>
      <w:r w:rsidRPr="002A74FF">
        <w:t xml:space="preserve"> our</w:t>
      </w:r>
      <w:r>
        <w:t xml:space="preserve"> curated</w:t>
      </w:r>
      <w:r w:rsidRPr="002A74FF">
        <w:t xml:space="preserve"> freshwater database </w:t>
      </w:r>
      <w:r>
        <w:fldChar w:fldCharType="begin" w:fldLock="1"/>
      </w:r>
      <w:r w:rsidR="004A12DC">
        <w:instrText>ADDIN CSL_CITATION { "citationItems" : [ { "id" : "ITEM-1", "itemData" : { "DOI" : "10.1128/MMBR.00028-10", "ISBN" : "4618471271", "ISSN" : "1098-5557", "PMID" : "21372319", "abstract" : "Freshwater bacteria are at the hub of biogeochemical cycles and control water quality in lakes. Despite this, little is known about the identity and ecology of functionally significant lake bacteria. Molecular studies have identified many abundant lake bacteria, but there is a large variation in the taxonomic or phylogenetic breadths among the methods used for this exploration. Because of this, an inconsistent and overlapping naming structure has developed for freshwater bacteria, creating a significant obstacle to identifying coherent ecological traits among these groups. A discourse that unites the field is sorely needed. Here we present a new freshwater lake phylogeny constructed from all published 16S rRNA gene sequences from lake epilimnia and propose a unifying vocabulary to discuss freshwater taxa. With this new vocabulary in place, we review the current information on the ecology, ecophysiology, and distribution of lake bacteria and highlight newly identified phylotypes. In the second part of our review, we conduct meta-analyses on the compiled data, identifying distribution patterns for bacterial phylotypes among biomes and across environmental gradients in lakes. We conclude by emphasizing the role that this review can play in providing a coherent framework for future studies.", "author" : [ { "dropping-particle" : "", "family" : "Newton", "given" : "Ryan J", "non-dropping-particle" : "", "parse-names" : false, "suffix" : "" }, { "dropping-particle" : "", "family" : "Jones", "given" : "Stuart E", "non-dropping-particle" : "", "parse-names" : false, "suffix" : "" }, { "dropping-particle" : "", "family" : "Eiler", "given" : "Alexander", "non-dropping-particle" : "", "parse-names" : false, "suffix" : "" }, { "dropping-particle" : "", "family" : "McMahon", "given" : "Katherine D", "non-dropping-particle" : "", "parse-names" : false, "suffix" : "" }, { "dropping-particle" : "", "family" : "Bertilsson", "given" : "Stefan", "non-dropping-particle" : "", "parse-names" : false, "suffix" : "" } ], "container-title" : "Microbiology and Molecular Biology Reviews", "id" : "ITEM-1", "issue" : "1", "issued" : { "date-parts" : [ [ "2011", "3" ] ] }, "note" : "Field guide for freshwater bacterial taxa", "page" : "14-49", "title" : "A guide to the natural history of freshwater lake bacteria.", "type" : "article-journal", "volume" : "75" }, "uris" : [ "http://www.mendeley.com/documents/?uuid=fd97397b-4c94-4d2e-b0fc-6f93aa2f2196" ] } ], "mendeley" : { "formattedCitation" : "(16)", "plainTextFormattedCitation" : "(16)", "previouslyFormattedCitation" : "(16)" }, "properties" : { "noteIndex" : 0 }, "schema" : "https://github.com/citation-style-language/schema/raw/master/csl-citation.json" }</w:instrText>
      </w:r>
      <w:r>
        <w:fldChar w:fldCharType="separate"/>
      </w:r>
      <w:r w:rsidR="00353516" w:rsidRPr="00353516">
        <w:rPr>
          <w:noProof/>
        </w:rPr>
        <w:t>(16)</w:t>
      </w:r>
      <w:r>
        <w:fldChar w:fldCharType="end"/>
      </w:r>
      <w:r>
        <w:t xml:space="preserve"> or the </w:t>
      </w:r>
      <w:proofErr w:type="spellStart"/>
      <w:r>
        <w:t>Greengenes</w:t>
      </w:r>
      <w:proofErr w:type="spellEnd"/>
      <w:r>
        <w:t xml:space="preserve"> database based on the output of NCBI-BLAST (blast+ 2.2.3.1) </w:t>
      </w:r>
      <w:r w:rsidRPr="00F25490">
        <w:fldChar w:fldCharType="begin" w:fldLock="1"/>
      </w:r>
      <w:r w:rsidR="004A12DC">
        <w:instrText>ADDIN CSL_CITATION { "citationItems" : [ { "id" : "ITEM-1", "itemData" : { "DOI" : "Artn 421\\nDoi 10.1186/1471-2105-10-421", "ISBN" : "1471-2105", "ISSN" : "14712105", "PMID" : "20003500", "abstract" : "Background: 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 Results: We describe features and improvements of rewritten BLAST software and introduce new command-line applications. Long query sequences are broken into chunks for processing, in some cases leading to dramatically shorter run times. For long database sequences, it is possible to retrieve only the relevant parts of the sequence, reducing CPU time and memory usage for searches of short queries against databases of contigs or chromosomes. The program can now retrieve masking information for database sequences from the BLAST databases. A new modular software library can now access subject sequence data from arbitrary data sources. We introduce several new features, including strategy files that allow a user to save and reuse their favorite set of options. The strategy files can be uploaded to and downloaded from the NCBI BLAST web site. Conclusion: The new BLAST command-line applications, compared to the current BLAST tools, demonstrate substantial speed improvements for long queries as well as chromosome length database sequences. We have also improved the user interface of the command-line applications.", "author" : [ { "dropping-particle" : "", "family" : "Camacho", "given" : "C", "non-dropping-particle" : "", "parse-names" : false, "suffix" : "" }, { "dropping-particle" : "", "family" : "Coulouris", "given" : "G", "non-dropping-particle" : "", "parse-names" : false, "suffix" : "" }, { "dropping-particle" : "", "family" : "Avagyan", "given" : "V", "non-dropping-particle" : "", "parse-names" : false, "suffix" : "" }, { "dropping-particle" : "", "family" : "Ma", "given" : "N", "non-dropping-particle" : "", "parse-names" : false, "suffix" : "" }, { "dropping-particle" : "", "family" : "Papadopoulos", "given" : "J", "non-dropping-particle" : "", "parse-names" : false, "suffix" : "" }, { "dropping-particle" : "", "family" : "Bealer", "given" : "K", "non-dropping-particle" : "", "parse-names" : false, "suffix" : "" }, { "dropping-particle" : "", "family" : "Madden", "given" : "T L", "non-dropping-particle" : "", "parse-names" : false, "suffix" : "" } ], "container-title" : "BMC Bioinformatics", "id" : "ITEM-1", "issue" : "421", "issued" : { "date-parts" : [ [ "2009" ] ] }, "page" : "-", "title" : "BLAST plus : architecture and applications", "type" : "article-journal", "volume" : "10" }, "uris" : [ "http://www.mendeley.com/documents/?uuid=903dd26a-870a-4ccf-ab0f-296c21fd1ff4" ] } ], "mendeley" : { "formattedCitation" : "(17)", "plainTextFormattedCitation" : "(17)", "previouslyFormattedCitation" : "(17)" }, "properties" : { "noteIndex" : 0 }, "schema" : "https://github.com/citation-style-language/schema/raw/master/csl-citation.json" }</w:instrText>
      </w:r>
      <w:r w:rsidRPr="00F25490">
        <w:fldChar w:fldCharType="separate"/>
      </w:r>
      <w:r w:rsidR="00353516" w:rsidRPr="00353516">
        <w:rPr>
          <w:noProof/>
        </w:rPr>
        <w:t>(17)</w:t>
      </w:r>
      <w:r w:rsidRPr="00F25490">
        <w:fldChar w:fldCharType="end"/>
      </w:r>
      <w:r w:rsidRPr="002A74FF">
        <w:t>.</w:t>
      </w:r>
      <w:r>
        <w:t xml:space="preserve"> Representative sequences from each OTU were randomly chosen. The program </w:t>
      </w:r>
      <w:proofErr w:type="spellStart"/>
      <w:r>
        <w:t>blastn</w:t>
      </w:r>
      <w:proofErr w:type="spellEnd"/>
      <w:r>
        <w:t xml:space="preserve"> was </w:t>
      </w:r>
      <w:r>
        <w:lastRenderedPageBreak/>
        <w:t xml:space="preserve">used to compare representative sequences to full-length sequences in the freshwater database. OTUs matching the freshwater database with a percent identity greater than 98% were classified in that database, and remaining sequences were classified in the </w:t>
      </w:r>
      <w:proofErr w:type="spellStart"/>
      <w:r>
        <w:t>Greengenes</w:t>
      </w:r>
      <w:proofErr w:type="spellEnd"/>
      <w:r>
        <w:t xml:space="preserve"> database. Both classification steps were performed in </w:t>
      </w:r>
      <w:proofErr w:type="spellStart"/>
      <w:r>
        <w:t>mothur</w:t>
      </w:r>
      <w:proofErr w:type="spellEnd"/>
      <w:r>
        <w:t xml:space="preserve"> using the Wang method </w:t>
      </w:r>
      <w:r>
        <w:fldChar w:fldCharType="begin" w:fldLock="1"/>
      </w:r>
      <w:r w:rsidR="004A12DC">
        <w:instrText>ADDIN CSL_CITATION { "citationItems" : [ { "id" : "ITEM-1", "itemData" : { "DOI" : "10.1128/AEM.00062-07", "ISSN" : "0099-2240", "author" : [ { "dropping-particle" : "", "family" : "Wang", "given" : "Q.", "non-dropping-particle" : "", "parse-names" : false, "suffix" : "" }, { "dropping-particle" : "", "family" : "Garrity", "given" : "G. M.", "non-dropping-particle" : "", "parse-names" : false, "suffix" : "" }, { "dropping-particle" : "", "family" : "Tiedje", "given" : "J. M.", "non-dropping-particle" : "", "parse-names" : false, "suffix" : "" }, { "dropping-particle" : "", "family" : "Cole", "given" : "J. R.", "non-dropping-particle" : "", "parse-names" : false, "suffix" : "" } ], "container-title" : "Applied and Environmental Microbiology", "id" : "ITEM-1", "issue" : "16", "issued" : { "date-parts" : [ [ "2007" ] ] }, "page" : "5261-5267", "title" : "Naive Bayesian Classifier for Rapid Assignment of rRNA Sequences into the New Bacterial Taxonomy", "type" : "article-journal", "volume" : "73" }, "uris" : [ "http://www.mendeley.com/documents/?uuid=d7575550-e2cb-45cc-88d1-e1692a2269da" ] } ], "mendeley" : { "formattedCitation" : "(18)", "plainTextFormattedCitation" : "(18)", "previouslyFormattedCitation" : "(18)" }, "properties" : { "noteIndex" : 0 }, "schema" : "https://github.com/citation-style-language/schema/raw/master/csl-citation.json" }</w:instrText>
      </w:r>
      <w:r>
        <w:fldChar w:fldCharType="separate"/>
      </w:r>
      <w:r w:rsidR="00353516" w:rsidRPr="00353516">
        <w:rPr>
          <w:noProof/>
        </w:rPr>
        <w:t>(18)</w:t>
      </w:r>
      <w:r>
        <w:fldChar w:fldCharType="end"/>
      </w:r>
      <w:r>
        <w:t>, and classifications with less than 70% confidence were not included.</w:t>
      </w:r>
      <w:r w:rsidRPr="002A74FF">
        <w:t xml:space="preserve"> A detailed workflow for quality control and classification of our sequences is available </w:t>
      </w:r>
      <w:r>
        <w:t>at (</w:t>
      </w:r>
      <w:hyperlink r:id="rId7" w:tgtFrame="_blank" w:history="1">
        <w:r>
          <w:rPr>
            <w:rStyle w:val="Hyperlink"/>
          </w:rPr>
          <w:t>https://github.com/McMahonLab/16STaxAss</w:t>
        </w:r>
      </w:hyperlink>
      <w:r>
        <w:t xml:space="preserve"> ) (manuscript in prep).</w:t>
      </w:r>
    </w:p>
    <w:p w:rsidR="000D4BB0" w:rsidRPr="000D4BB0" w:rsidRDefault="000D4BB0" w:rsidP="000D4BB0">
      <w:pPr>
        <w:spacing w:line="480" w:lineRule="auto"/>
        <w:jc w:val="both"/>
        <w:rPr>
          <w:b/>
        </w:rPr>
      </w:pPr>
      <w:r w:rsidRPr="000D4BB0">
        <w:rPr>
          <w:b/>
        </w:rPr>
        <w:t>Statistics</w:t>
      </w:r>
    </w:p>
    <w:p w:rsidR="000D4BB0" w:rsidRPr="00B12E1C" w:rsidRDefault="000D4BB0" w:rsidP="00B12E1C">
      <w:pPr>
        <w:pStyle w:val="ManuscriptText"/>
      </w:pPr>
      <w:r>
        <w:t xml:space="preserve">Statistical </w:t>
      </w:r>
      <w:r w:rsidRPr="002A3F82">
        <w:t xml:space="preserve">analysis </w:t>
      </w:r>
      <w:r>
        <w:t xml:space="preserve">was performed </w:t>
      </w:r>
      <w:r w:rsidRPr="002A3F82">
        <w:t xml:space="preserve">in R </w:t>
      </w:r>
      <w:r>
        <w:t>v</w:t>
      </w:r>
      <w:r w:rsidRPr="002A3F82">
        <w:t>3.2.1</w:t>
      </w:r>
      <w:r>
        <w:t xml:space="preserve"> (R Development Core Team (2008). R: A language and environment for statistical computing.)</w:t>
      </w:r>
      <w:r w:rsidRPr="002A3F82">
        <w:t>.</w:t>
      </w:r>
      <w:r>
        <w:t xml:space="preserve"> </w:t>
      </w:r>
      <w:r w:rsidRPr="009C2E4C">
        <w:t xml:space="preserve">Similarity between samples was compared using </w:t>
      </w:r>
      <w:proofErr w:type="spellStart"/>
      <w:r w:rsidRPr="009C2E4C">
        <w:t>UniFrac</w:t>
      </w:r>
      <w:proofErr w:type="spellEnd"/>
      <w:r w:rsidRPr="009C2E4C">
        <w:t xml:space="preserve"> distances, as implement in “</w:t>
      </w:r>
      <w:proofErr w:type="spellStart"/>
      <w:r w:rsidRPr="009C2E4C">
        <w:t>phyloseq</w:t>
      </w:r>
      <w:proofErr w:type="spellEnd"/>
      <w:r w:rsidRPr="009C2E4C">
        <w:t>”</w:t>
      </w:r>
      <w:r>
        <w:t xml:space="preserve"> </w:t>
      </w:r>
      <w:r>
        <w:fldChar w:fldCharType="begin" w:fldLock="1"/>
      </w:r>
      <w:r w:rsidR="004A12DC">
        <w:instrText>ADDIN CSL_CITATION { "citationItems" : [ { "id" : "ITEM-1", "itemData" : { "DOI" : "10.1128/AEM.71.12.8228", "ISBN" : "0099-2240 (Print)\\n0099-2240 (Linking)", "ISSN" : "0099-2240", "PMID" : "16332807", "abstract" : "We introduce here a new method for computing differences between microbial communities based on phylogenetic information. This method, UniFrac, measures the phylogenetic distance between sets of taxa in a phylogenetic tree as the fraction of the branch length of the tree that leads to descendants from either one environment or the other, but not both. UniFrac can be used to determine whether communities are signifi- cantly different, to compare many communities simultaneously using clustering and ordination techniques, and to measure the relative contributions of different factors, such as chemistry and geography, to similarities between samples. We demonstrate the utility of UniFrac by applying it to published 16S rRNA gene libraries from cultured isolates and environmental clones of bacteria in marine sediment, water, and ice. Our results reveal that (i) cultured isolates from ice, water, and sediment resemble each other and environmental clone sequences from sea ice, but not environmental clone sequences from sediment and water; (ii) the geographical location does not correlate strongly with bacterial community differences in ice and sediment from the Arctic and Antarctic; and (iii) bacterial communities differ between terrestrially impacted seawater (whether polar or temperate) and warm oligotrophic seawater, whereas those in individual seawater samples are not more similar to each other than to those in sediment or ice samples. These results illustrate that UniFrac provides a new way of characterizing microbial communities, using the wealth of environmental rRNA sequences, and allows quantitative insight into the factors that underlie the distribution of lineages among environments.", "author" : [ { "dropping-particle" : "", "family" : "Lozupone", "given" : "Catherine", "non-dropping-particle" : "", "parse-names" : false, "suffix" : "" }, { "dropping-particle" : "", "family" : "Knight", "given" : "Rob", "non-dropping-particle" : "", "parse-names" : false, "suffix" : "" } ], "container-title" : "Applied and environmental microbiology", "id" : "ITEM-1", "issue" : "12", "issued" : { "date-parts" : [ [ "2005" ] ] }, "page" : "8228-8235", "title" : "UniFrac : a New Phylogenetic Method for Comparing Microbial Communities UniFrac : a New Phylogenetic Method for Comparing Microbial Communities", "type" : "article-journal", "volume" : "71" }, "uris" : [ "http://www.mendeley.com/documents/?uuid=b22c78f5-5406-442e-8eea-46f12ffa4d1a" ] } ], "mendeley" : { "formattedCitation" : "(19)", "plainTextFormattedCitation" : "(19)", "previouslyFormattedCitation" : "(19)" }, "properties" : { "noteIndex" : 0 }, "schema" : "https://github.com/citation-style-language/schema/raw/master/csl-citation.json" }</w:instrText>
      </w:r>
      <w:r>
        <w:fldChar w:fldCharType="separate"/>
      </w:r>
      <w:r w:rsidR="00353516" w:rsidRPr="00353516">
        <w:rPr>
          <w:noProof/>
        </w:rPr>
        <w:t>(19)</w:t>
      </w:r>
      <w:r>
        <w:fldChar w:fldCharType="end"/>
      </w:r>
      <w:r>
        <w:t xml:space="preserve"> (P.J. </w:t>
      </w:r>
      <w:proofErr w:type="spellStart"/>
      <w:r>
        <w:t>McMurdie</w:t>
      </w:r>
      <w:proofErr w:type="spellEnd"/>
      <w:r>
        <w:t xml:space="preserve"> and S. Holmes (2013). </w:t>
      </w:r>
      <w:proofErr w:type="spellStart"/>
      <w:r>
        <w:t>phyloseq</w:t>
      </w:r>
      <w:proofErr w:type="spellEnd"/>
      <w:r>
        <w:t xml:space="preserve">: An R Package for reproducible interactive analysis and graphic of microbiome census data). </w:t>
      </w:r>
      <w:r w:rsidRPr="009C2E4C">
        <w:t xml:space="preserve">Weighted and unweighted </w:t>
      </w:r>
      <w:proofErr w:type="spellStart"/>
      <w:r w:rsidRPr="009C2E4C">
        <w:t>Unifrac</w:t>
      </w:r>
      <w:proofErr w:type="spellEnd"/>
      <w:r w:rsidRPr="009C2E4C">
        <w:t xml:space="preserve"> distance was compared with Bray-Curtis Dissimilarity and </w:t>
      </w:r>
      <w:proofErr w:type="spellStart"/>
      <w:r w:rsidRPr="009C2E4C">
        <w:t>Jaccard</w:t>
      </w:r>
      <w:proofErr w:type="spellEnd"/>
      <w:r w:rsidRPr="009C2E4C">
        <w:t xml:space="preserve"> Similarit</w:t>
      </w:r>
      <w:r>
        <w:t xml:space="preserve">y, implemented in “vegan” (J. </w:t>
      </w:r>
      <w:proofErr w:type="spellStart"/>
      <w:r>
        <w:t>Oksanen</w:t>
      </w:r>
      <w:proofErr w:type="spellEnd"/>
      <w:proofErr w:type="gramStart"/>
      <w:r>
        <w:t>,.</w:t>
      </w:r>
      <w:proofErr w:type="gramEnd"/>
      <w:r>
        <w:t xml:space="preserve"> (2016). vegan: Community Ecology Package)</w:t>
      </w:r>
      <w:r w:rsidRPr="009C2E4C">
        <w:t xml:space="preserve">. Weighted </w:t>
      </w:r>
      <w:proofErr w:type="spellStart"/>
      <w:r w:rsidRPr="009C2E4C">
        <w:t>UniFrac</w:t>
      </w:r>
      <w:proofErr w:type="spellEnd"/>
      <w:r w:rsidRPr="009C2E4C">
        <w:t xml:space="preserve"> distances were chosen for principle coordinates analysis, performed by </w:t>
      </w:r>
      <w:proofErr w:type="spellStart"/>
      <w:proofErr w:type="gramStart"/>
      <w:r w:rsidRPr="009C2E4C">
        <w:t>betadisper</w:t>
      </w:r>
      <w:proofErr w:type="spellEnd"/>
      <w:r w:rsidRPr="009C2E4C">
        <w:t>(</w:t>
      </w:r>
      <w:proofErr w:type="gramEnd"/>
      <w:r w:rsidRPr="009C2E4C">
        <w:t xml:space="preserve">) in “vegan”, because it explained the greatest amount of variation in the first two axes.  Significant clustering by year in </w:t>
      </w:r>
      <w:proofErr w:type="spellStart"/>
      <w:r w:rsidRPr="009C2E4C">
        <w:t>PCoA</w:t>
      </w:r>
      <w:proofErr w:type="spellEnd"/>
      <w:r w:rsidRPr="009C2E4C">
        <w:t xml:space="preserve"> was tested using PERMANOVA with the function </w:t>
      </w:r>
      <w:proofErr w:type="spellStart"/>
      <w:proofErr w:type="gramStart"/>
      <w:r w:rsidRPr="009C2E4C">
        <w:t>adonis</w:t>
      </w:r>
      <w:proofErr w:type="spellEnd"/>
      <w:r w:rsidRPr="009C2E4C">
        <w:t>(</w:t>
      </w:r>
      <w:proofErr w:type="gramEnd"/>
      <w:r w:rsidRPr="009C2E4C">
        <w:t xml:space="preserve">) in “vegan.” </w:t>
      </w:r>
    </w:p>
    <w:p w:rsidR="000D4BB0" w:rsidRDefault="000D4BB0" w:rsidP="000D4BB0">
      <w:pPr>
        <w:pStyle w:val="ManuscriptText"/>
      </w:pPr>
      <w:r>
        <w:t>Indicator species analysis was performed using “</w:t>
      </w:r>
      <w:proofErr w:type="spellStart"/>
      <w:r>
        <w:t>indicspecies</w:t>
      </w:r>
      <w:proofErr w:type="spellEnd"/>
      <w:r>
        <w:t xml:space="preserve">” </w:t>
      </w:r>
      <w:r>
        <w:fldChar w:fldCharType="begin" w:fldLock="1"/>
      </w:r>
      <w:r w:rsidR="004A12DC">
        <w:instrText>ADDIN CSL_CITATION { "citationItems" : [ { "id" : "ITEM-1", "itemData" : { "DOI" : "10.1890/08-1823.1", "ISBN" : "0012-9658", "ISSN" : "0012-9658", "PMID" : "20120823", "abstract" : "Ecologists often face the task of studying the association between single species and one or several groups of sites representing habitat types, community types, or other categories. Besides characterizing the ecological preference of the species, the strength of the association usually presents a lot of interest for conservation biology, landscape mapping and management, and natural reserve design, among other applications. The indices most frequently employed to assess these relationships are the phi coefficient of association and the indicator value index (IndVal). We compare these two approaches by putting them into a broader framework of related measures, which includes several new indices. We present permutation tests to assess the statistical significance of species-site group associations and bootstrap methods for obtaining confidence intervals. Correlation measures, such as the phi coefficient, are more context-dependent than indicator values but allow focusing on the preference of the species. In contrast, the two components of an indicator value index directly assess the value of the species as a bioindicator because they can be interpreted as its positive predictive value and sensitivity. Ecologists should select the most appropriate index of association strength according to their objective and then compute confidence intervals to determine the precision of the estimate.", "author" : [ { "dropping-particle" : "", "family" : "C\u00e1ceres", "given" : "Miquel", "non-dropping-particle" : "De", "parse-names" : false, "suffix" : "" }, { "dropping-particle" : "", "family" : "Legendre", "given" : "Pierre", "non-dropping-particle" : "", "parse-names" : false, "suffix" : "" } ], "container-title" : "Ecology", "id" : "ITEM-1", "issue" : "12", "issued" : { "date-parts" : [ [ "2009" ] ] }, "page" : "3566\u20133574", "title" : "Associations between species and groups of sites: indices and statistical inference", "type" : "article-journal", "volume" : "90" }, "uris" : [ "http://www.mendeley.com/documents/?uuid=d1d4ef4d-7bc7-4b24-b78d-6010d613decb" ] } ], "mendeley" : { "formattedCitation" : "(20)", "plainTextFormattedCitation" : "(20)", "previouslyFormattedCitation" : "(20)" }, "properties" : { "noteIndex" : 0 }, "schema" : "https://github.com/citation-style-language/schema/raw/master/csl-citation.json" }</w:instrText>
      </w:r>
      <w:r>
        <w:fldChar w:fldCharType="separate"/>
      </w:r>
      <w:r w:rsidR="00353516" w:rsidRPr="00353516">
        <w:rPr>
          <w:noProof/>
        </w:rPr>
        <w:t>(20)</w:t>
      </w:r>
      <w:r>
        <w:fldChar w:fldCharType="end"/>
      </w:r>
      <w:r>
        <w:t xml:space="preserve">. Only taxa with read abundances in the top 25% of the entire dataset were used for this analysis. The group-normalized coefficient of correlation was chosen for this analysis because it measures both positive and negative habitat preferences and accounts for differences in the number of samples from each site. All taxonomic levels were included in this analysis to determine which level of resolution was the </w:t>
      </w:r>
      <w:r>
        <w:lastRenderedPageBreak/>
        <w:t xml:space="preserve">best indicator for each taxonomic group. </w:t>
      </w:r>
    </w:p>
    <w:p w:rsidR="000D4BB0" w:rsidRDefault="000D4BB0" w:rsidP="000D4BB0">
      <w:pPr>
        <w:pStyle w:val="ManuscriptText"/>
      </w:pPr>
      <w:r>
        <w:t>Plots were generated using “ggplot2” (Wickham. (2009). ggplot2: Elegant Graphics for Data Analysis). “reshape2” was used for data formatting (H. Wickham (2007). Reshaping Data with the reshape Package). Data and code from this study can be downloaded from</w:t>
      </w:r>
      <w:r w:rsidRPr="002A74FF">
        <w:t xml:space="preserve"> the R package “</w:t>
      </w:r>
      <w:proofErr w:type="spellStart"/>
      <w:r>
        <w:t>OTUtable</w:t>
      </w:r>
      <w:proofErr w:type="spellEnd"/>
      <w:r w:rsidRPr="002A74FF">
        <w:t>”</w:t>
      </w:r>
      <w:r>
        <w:t xml:space="preserve"> and the McMahon Lab GitHub repository “</w:t>
      </w:r>
      <w:proofErr w:type="spellStart"/>
      <w:r>
        <w:t>North_Temperate_Lakes-Microbial_Observatory</w:t>
      </w:r>
      <w:proofErr w:type="spellEnd"/>
      <w:r>
        <w:t>.”</w:t>
      </w:r>
    </w:p>
    <w:p w:rsidR="000D4BB0" w:rsidRPr="000D4BB0" w:rsidRDefault="000D4BB0" w:rsidP="000D4BB0">
      <w:pPr>
        <w:spacing w:line="480" w:lineRule="auto"/>
        <w:jc w:val="both"/>
      </w:pPr>
    </w:p>
    <w:p w:rsidR="004E4294" w:rsidRDefault="004E4294" w:rsidP="000D4BB0">
      <w:pPr>
        <w:pStyle w:val="Heading2"/>
        <w:spacing w:before="0" w:line="480" w:lineRule="auto"/>
        <w:jc w:val="both"/>
      </w:pPr>
      <w:r w:rsidRPr="004E4294">
        <w:t>Results</w:t>
      </w:r>
    </w:p>
    <w:p w:rsidR="004E63A7" w:rsidRPr="000D4BB0" w:rsidRDefault="004E63A7" w:rsidP="000D4BB0">
      <w:pPr>
        <w:spacing w:line="480" w:lineRule="auto"/>
        <w:jc w:val="both"/>
        <w:rPr>
          <w:b/>
        </w:rPr>
      </w:pPr>
      <w:r w:rsidRPr="000D4BB0">
        <w:rPr>
          <w:b/>
        </w:rPr>
        <w:t>Overview of community composition</w:t>
      </w:r>
    </w:p>
    <w:p w:rsidR="004E4294" w:rsidRDefault="004E4294" w:rsidP="000D4BB0">
      <w:pPr>
        <w:spacing w:line="480" w:lineRule="auto"/>
        <w:ind w:firstLine="720"/>
        <w:jc w:val="both"/>
      </w:pPr>
      <w:r w:rsidRPr="004E4294">
        <w:t>A multi-year time series</w:t>
      </w:r>
      <w:r>
        <w:t xml:space="preserve"> of 16S data from multiple lakes was used to investigate bacterial community dynamics over long time scales. </w:t>
      </w:r>
      <w:r w:rsidR="00C51B82">
        <w:t>8,795 OTUs were detected in 1,387</w:t>
      </w:r>
      <w:r>
        <w:t xml:space="preserve"> samples. In this time series, </w:t>
      </w:r>
      <w:proofErr w:type="spellStart"/>
      <w:r>
        <w:rPr>
          <w:i/>
        </w:rPr>
        <w:t>Proteobacteria</w:t>
      </w:r>
      <w:proofErr w:type="spellEnd"/>
      <w:r>
        <w:rPr>
          <w:i/>
        </w:rPr>
        <w:t xml:space="preserve">, </w:t>
      </w:r>
      <w:proofErr w:type="spellStart"/>
      <w:r>
        <w:rPr>
          <w:i/>
        </w:rPr>
        <w:t>Actinobacteria</w:t>
      </w:r>
      <w:proofErr w:type="spellEnd"/>
      <w:r>
        <w:rPr>
          <w:i/>
        </w:rPr>
        <w:t xml:space="preserve">, </w:t>
      </w:r>
      <w:proofErr w:type="spellStart"/>
      <w:r>
        <w:rPr>
          <w:i/>
        </w:rPr>
        <w:t>Bacteroidetes</w:t>
      </w:r>
      <w:proofErr w:type="spellEnd"/>
      <w:r>
        <w:rPr>
          <w:i/>
        </w:rPr>
        <w:t xml:space="preserve">, </w:t>
      </w:r>
      <w:r>
        <w:t xml:space="preserve">and </w:t>
      </w:r>
      <w:proofErr w:type="spellStart"/>
      <w:r>
        <w:rPr>
          <w:i/>
        </w:rPr>
        <w:t>Verrucomicrobia</w:t>
      </w:r>
      <w:proofErr w:type="spellEnd"/>
      <w:r>
        <w:rPr>
          <w:i/>
        </w:rPr>
        <w:t xml:space="preserve"> </w:t>
      </w:r>
      <w:r>
        <w:t xml:space="preserve">were the most abundant phyla. </w:t>
      </w:r>
      <w:r w:rsidR="00F87E83">
        <w:t>Within these phyla, OTU abundance is highly uneven</w:t>
      </w:r>
      <w:r>
        <w:t xml:space="preserve">. </w:t>
      </w:r>
      <w:r w:rsidR="00F87E83">
        <w:t>For example, m</w:t>
      </w:r>
      <w:r>
        <w:t xml:space="preserve">uch of the abundance of </w:t>
      </w:r>
      <w:proofErr w:type="spellStart"/>
      <w:r w:rsidR="00F87E83">
        <w:rPr>
          <w:i/>
        </w:rPr>
        <w:t>Proteobacteria</w:t>
      </w:r>
      <w:proofErr w:type="spellEnd"/>
      <w:r w:rsidR="00F87E83">
        <w:rPr>
          <w:i/>
        </w:rPr>
        <w:t xml:space="preserve"> </w:t>
      </w:r>
      <w:r>
        <w:t xml:space="preserve">can be attributed to OTUs belonging to the well-known freshwater groups </w:t>
      </w:r>
      <w:proofErr w:type="spellStart"/>
      <w:r>
        <w:rPr>
          <w:i/>
        </w:rPr>
        <w:t>Polynucleobacter</w:t>
      </w:r>
      <w:proofErr w:type="spellEnd"/>
      <w:r>
        <w:rPr>
          <w:i/>
        </w:rPr>
        <w:t xml:space="preserve"> </w:t>
      </w:r>
      <w:r>
        <w:t xml:space="preserve">and </w:t>
      </w:r>
      <w:proofErr w:type="spellStart"/>
      <w:r>
        <w:rPr>
          <w:i/>
        </w:rPr>
        <w:t>Limnohabitans</w:t>
      </w:r>
      <w:proofErr w:type="spellEnd"/>
      <w:r w:rsidR="00F87E83">
        <w:rPr>
          <w:i/>
        </w:rPr>
        <w:t xml:space="preserve">, </w:t>
      </w:r>
      <w:r w:rsidR="00F87E83">
        <w:t xml:space="preserve">and the freshwater clade </w:t>
      </w:r>
      <w:proofErr w:type="spellStart"/>
      <w:r w:rsidR="00F87E83">
        <w:t>acI</w:t>
      </w:r>
      <w:proofErr w:type="spellEnd"/>
      <w:r w:rsidR="00F87E83">
        <w:t xml:space="preserve"> contributes disproportionately to the observed abundance of </w:t>
      </w:r>
      <w:proofErr w:type="spellStart"/>
      <w:r w:rsidR="00F87E83">
        <w:rPr>
          <w:i/>
        </w:rPr>
        <w:t>Actinobacteria</w:t>
      </w:r>
      <w:proofErr w:type="spellEnd"/>
      <w:r>
        <w:t>.</w:t>
      </w:r>
      <w:r w:rsidR="00F87E83">
        <w:t xml:space="preserve"> </w:t>
      </w:r>
      <w:r>
        <w:t xml:space="preserve"> </w:t>
      </w:r>
      <w:r w:rsidR="00F87E83">
        <w:t xml:space="preserve">Unevenness is </w:t>
      </w:r>
      <w:r w:rsidR="00C51B82">
        <w:t>a recurring theme in this</w:t>
      </w:r>
      <w:r w:rsidR="00F87E83">
        <w:t xml:space="preserve"> dataset, which has a long rare tail of OTUs and trends driven largely by the most abundant OTUs.</w:t>
      </w:r>
    </w:p>
    <w:p w:rsidR="004E63A7" w:rsidRPr="000D4BB0" w:rsidRDefault="004E63A7" w:rsidP="000D4BB0">
      <w:pPr>
        <w:spacing w:line="480" w:lineRule="auto"/>
        <w:jc w:val="both"/>
        <w:rPr>
          <w:b/>
        </w:rPr>
      </w:pPr>
      <w:r w:rsidRPr="000D4BB0">
        <w:rPr>
          <w:b/>
        </w:rPr>
        <w:t>Clusters of community composition</w:t>
      </w:r>
    </w:p>
    <w:p w:rsidR="007D3071" w:rsidRDefault="009D61B5" w:rsidP="000D4BB0">
      <w:pPr>
        <w:spacing w:line="480" w:lineRule="auto"/>
        <w:ind w:firstLine="720"/>
        <w:jc w:val="both"/>
      </w:pPr>
      <w:r>
        <w:t xml:space="preserve">When differences in community composition are quantified using weighted </w:t>
      </w:r>
      <w:proofErr w:type="spellStart"/>
      <w:r>
        <w:t>UniFrac</w:t>
      </w:r>
      <w:proofErr w:type="spellEnd"/>
      <w:r>
        <w:t xml:space="preserve"> distance, several trends emerge. Communities from the </w:t>
      </w:r>
      <w:proofErr w:type="spellStart"/>
      <w:r>
        <w:t>epilimnion</w:t>
      </w:r>
      <w:proofErr w:type="spellEnd"/>
      <w:r>
        <w:t xml:space="preserve"> and </w:t>
      </w:r>
      <w:proofErr w:type="spellStart"/>
      <w:r>
        <w:t>hypolimnion</w:t>
      </w:r>
      <w:proofErr w:type="spellEnd"/>
      <w:r>
        <w:t xml:space="preserve"> layers are distinct</w:t>
      </w:r>
      <w:r w:rsidR="00C51B82">
        <w:t xml:space="preserve"> from each other</w:t>
      </w:r>
      <w:r>
        <w:t xml:space="preserve"> in all lakes. </w:t>
      </w:r>
      <w:proofErr w:type="spellStart"/>
      <w:r>
        <w:t>Epilimni</w:t>
      </w:r>
      <w:r w:rsidR="00C51B82">
        <w:t>a</w:t>
      </w:r>
      <w:proofErr w:type="spellEnd"/>
      <w:r w:rsidR="00C51B82">
        <w:t xml:space="preserve"> </w:t>
      </w:r>
      <w:r>
        <w:t xml:space="preserve">have a higher proportion of OTUs classified using </w:t>
      </w:r>
      <w:r>
        <w:lastRenderedPageBreak/>
        <w:t xml:space="preserve">the established freshwater taxonomy, while </w:t>
      </w:r>
      <w:proofErr w:type="spellStart"/>
      <w:r>
        <w:t>hypolimnion</w:t>
      </w:r>
      <w:proofErr w:type="spellEnd"/>
      <w:r>
        <w:t xml:space="preserve"> communities have more OTUs that cannot be classified past the family level. OTUs belonging to candidate phyla are more frequently observed in </w:t>
      </w:r>
      <w:proofErr w:type="spellStart"/>
      <w:r>
        <w:t>hypolimnia</w:t>
      </w:r>
      <w:proofErr w:type="spellEnd"/>
      <w:r w:rsidR="00FC3D22">
        <w:t>. These differ</w:t>
      </w:r>
      <w:r w:rsidR="00C51B82">
        <w:t>ences are less pronounced in lakes that mix frequently, and likely reflect the bias in</w:t>
      </w:r>
      <w:r w:rsidR="00FC3D22">
        <w:t xml:space="preserve"> freshwater microbial ecology to</w:t>
      </w:r>
      <w:r w:rsidR="00C51B82">
        <w:t>wards</w:t>
      </w:r>
      <w:r w:rsidR="00FC3D22">
        <w:t xml:space="preserve"> the surface waters of lakes. Within layers, mixing regime is the next </w:t>
      </w:r>
      <w:r w:rsidR="00C51B82">
        <w:t xml:space="preserve">driver </w:t>
      </w:r>
      <w:r w:rsidR="00FC3D22">
        <w:t xml:space="preserve">of community composition. This effect is stronger in </w:t>
      </w:r>
      <w:proofErr w:type="spellStart"/>
      <w:r w:rsidR="00FC3D22">
        <w:t>hypolimnia</w:t>
      </w:r>
      <w:proofErr w:type="spellEnd"/>
      <w:r w:rsidR="00FC3D22">
        <w:t xml:space="preserve">, which experience major changes in oxygen content during mixing events. </w:t>
      </w:r>
      <w:r w:rsidR="009760A9">
        <w:t xml:space="preserve">One exception is that Crystal Bog, a </w:t>
      </w:r>
      <w:proofErr w:type="spellStart"/>
      <w:r w:rsidR="009760A9">
        <w:t>polymictic</w:t>
      </w:r>
      <w:proofErr w:type="spellEnd"/>
      <w:r w:rsidR="009760A9">
        <w:t xml:space="preserve"> lake, clusters with other </w:t>
      </w:r>
      <w:proofErr w:type="spellStart"/>
      <w:r w:rsidR="009760A9">
        <w:t>polymictic</w:t>
      </w:r>
      <w:proofErr w:type="spellEnd"/>
      <w:r w:rsidR="009760A9">
        <w:t xml:space="preserve"> </w:t>
      </w:r>
      <w:proofErr w:type="spellStart"/>
      <w:r w:rsidR="009760A9">
        <w:t>hypolimnia</w:t>
      </w:r>
      <w:proofErr w:type="spellEnd"/>
      <w:r w:rsidR="009760A9">
        <w:t xml:space="preserve"> (West Sparkling Bog and Forestry Bog) in 2007, but appears more similar to dimictic </w:t>
      </w:r>
      <w:proofErr w:type="spellStart"/>
      <w:r w:rsidR="009760A9">
        <w:t>hypolimnia</w:t>
      </w:r>
      <w:proofErr w:type="spellEnd"/>
      <w:r w:rsidR="009760A9">
        <w:t xml:space="preserve"> in 2009. High resolution buoy data for Crystal Bog is available through the North Temperate Lakes Long Term Ecological Research Project, and this data shows that Crystal Bog mixed multiple times in 2007, but only twice in 2009. (Check 07 and 08 dates of NS points in the </w:t>
      </w:r>
      <w:proofErr w:type="spellStart"/>
      <w:r w:rsidR="009760A9">
        <w:t>polymictic</w:t>
      </w:r>
      <w:proofErr w:type="spellEnd"/>
      <w:r w:rsidR="009760A9">
        <w:t xml:space="preserve"> cluster)</w:t>
      </w:r>
    </w:p>
    <w:p w:rsidR="009D61B5" w:rsidRDefault="007D3071" w:rsidP="000D4BB0">
      <w:pPr>
        <w:spacing w:line="480" w:lineRule="auto"/>
        <w:ind w:firstLine="720"/>
        <w:jc w:val="both"/>
      </w:pPr>
      <w:r>
        <w:t xml:space="preserve">The stark contrast between years in Crystal Bog is mirrored to a lesser extent in the other lakes in this study. Each year of sampling from the same lake is unique and distinct, particularly in </w:t>
      </w:r>
      <w:proofErr w:type="spellStart"/>
      <w:r>
        <w:t>hypolimnia</w:t>
      </w:r>
      <w:proofErr w:type="spellEnd"/>
      <w:r>
        <w:t>. While the change in Crystal Bog can be attributed to mixing frequency, the reasons for this trend in other lakes is less clear. Some possible drivers could include climatic factors, landscape level events, differences in geography, or stochastic community assembly.</w:t>
      </w:r>
    </w:p>
    <w:p w:rsidR="009D61B5" w:rsidRDefault="00EC77B7" w:rsidP="00EC77B7">
      <w:pPr>
        <w:spacing w:line="480" w:lineRule="auto"/>
        <w:ind w:firstLine="720"/>
        <w:jc w:val="center"/>
      </w:pPr>
      <w:r>
        <w:rPr>
          <w:noProof/>
        </w:rPr>
        <w:lastRenderedPageBreak/>
        <w:drawing>
          <wp:inline distT="0" distB="0" distL="0" distR="0">
            <wp:extent cx="3810000" cy="53788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1.png"/>
                    <pic:cNvPicPr/>
                  </pic:nvPicPr>
                  <pic:blipFill rotWithShape="1">
                    <a:blip r:embed="rId8">
                      <a:extLst>
                        <a:ext uri="{28A0092B-C50C-407E-A947-70E740481C1C}">
                          <a14:useLocalDpi xmlns:a14="http://schemas.microsoft.com/office/drawing/2010/main" val="0"/>
                        </a:ext>
                      </a:extLst>
                    </a:blip>
                    <a:srcRect t="15339" b="28327"/>
                    <a:stretch/>
                  </pic:blipFill>
                  <pic:spPr bwMode="auto">
                    <a:xfrm>
                      <a:off x="0" y="0"/>
                      <a:ext cx="3821706" cy="5395350"/>
                    </a:xfrm>
                    <a:prstGeom prst="rect">
                      <a:avLst/>
                    </a:prstGeom>
                    <a:ln>
                      <a:noFill/>
                    </a:ln>
                    <a:extLst>
                      <a:ext uri="{53640926-AAD7-44D8-BBD7-CCE9431645EC}">
                        <a14:shadowObscured xmlns:a14="http://schemas.microsoft.com/office/drawing/2010/main"/>
                      </a:ext>
                    </a:extLst>
                  </pic:spPr>
                </pic:pic>
              </a:graphicData>
            </a:graphic>
          </wp:inline>
        </w:drawing>
      </w:r>
    </w:p>
    <w:p w:rsidR="009D61B5" w:rsidRDefault="007D3071" w:rsidP="000D4BB0">
      <w:pPr>
        <w:spacing w:line="240" w:lineRule="auto"/>
        <w:jc w:val="both"/>
      </w:pPr>
      <w:r w:rsidRPr="007D3071">
        <w:rPr>
          <w:b/>
        </w:rPr>
        <w:t xml:space="preserve">Figure 1. Principal components analysis based on weighted </w:t>
      </w:r>
      <w:proofErr w:type="spellStart"/>
      <w:r w:rsidRPr="007D3071">
        <w:rPr>
          <w:b/>
        </w:rPr>
        <w:t>UniFrac</w:t>
      </w:r>
      <w:proofErr w:type="spellEnd"/>
      <w:r w:rsidRPr="007D3071">
        <w:rPr>
          <w:b/>
        </w:rPr>
        <w:t xml:space="preserve"> distance of samples split by layer.</w:t>
      </w:r>
      <w:r>
        <w:t xml:space="preserve"> Clustering by</w:t>
      </w:r>
      <w:r w:rsidR="000D4BB0">
        <w:t xml:space="preserve"> lake,</w:t>
      </w:r>
      <w:r>
        <w:t xml:space="preserve"> mixi</w:t>
      </w:r>
      <w:r w:rsidR="000D4BB0">
        <w:t>ng regime, and year are observed are observed in both layers, although the effect is stronge</w:t>
      </w:r>
      <w:r w:rsidR="00EC77B7">
        <w:t xml:space="preserve">r in </w:t>
      </w:r>
      <w:proofErr w:type="spellStart"/>
      <w:r w:rsidR="00EC77B7">
        <w:t>hypolimnia</w:t>
      </w:r>
      <w:proofErr w:type="spellEnd"/>
      <w:r w:rsidR="00EC77B7">
        <w:t xml:space="preserve"> (r</w:t>
      </w:r>
      <w:r w:rsidR="00EC77B7" w:rsidRPr="00EC77B7">
        <w:rPr>
          <w:vertAlign w:val="superscript"/>
        </w:rPr>
        <w:t>2</w:t>
      </w:r>
      <w:r w:rsidR="00EC77B7">
        <w:t xml:space="preserve"> = 0.34 by lake and 0.20 by regime in </w:t>
      </w:r>
      <w:proofErr w:type="spellStart"/>
      <w:r w:rsidR="00EC77B7">
        <w:t>epilimnia</w:t>
      </w:r>
      <w:proofErr w:type="spellEnd"/>
      <w:r w:rsidR="00EC77B7">
        <w:t>, r</w:t>
      </w:r>
      <w:r w:rsidR="00EC77B7" w:rsidRPr="00EC77B7">
        <w:rPr>
          <w:vertAlign w:val="superscript"/>
        </w:rPr>
        <w:t>2</w:t>
      </w:r>
      <w:r w:rsidR="00EC77B7">
        <w:t xml:space="preserve"> = 0.49 by lake and 0.22 in </w:t>
      </w:r>
      <w:proofErr w:type="spellStart"/>
      <w:r w:rsidR="00EC77B7">
        <w:t>hypolimnia</w:t>
      </w:r>
      <w:proofErr w:type="spellEnd"/>
      <w:r w:rsidR="00EC77B7">
        <w:t>, all significant at p &lt; 0.05)</w:t>
      </w:r>
      <w:r w:rsidR="000D4BB0">
        <w:t>. This suggests that environmental filtering is occurring based on parameters unique to each site.</w:t>
      </w:r>
    </w:p>
    <w:p w:rsidR="007D3071" w:rsidRDefault="007D3071" w:rsidP="000D4BB0">
      <w:pPr>
        <w:spacing w:line="480" w:lineRule="auto"/>
        <w:jc w:val="both"/>
      </w:pPr>
    </w:p>
    <w:p w:rsidR="00EC77B7" w:rsidRDefault="00EC77B7" w:rsidP="000D4BB0">
      <w:pPr>
        <w:spacing w:line="480" w:lineRule="auto"/>
        <w:jc w:val="both"/>
      </w:pPr>
    </w:p>
    <w:p w:rsidR="00EC77B7" w:rsidRDefault="00EC77B7" w:rsidP="000D4BB0">
      <w:pPr>
        <w:spacing w:line="480" w:lineRule="auto"/>
        <w:jc w:val="both"/>
      </w:pPr>
    </w:p>
    <w:p w:rsidR="00EC77B7" w:rsidRDefault="00EC77B7" w:rsidP="000D4BB0">
      <w:pPr>
        <w:spacing w:line="480" w:lineRule="auto"/>
        <w:jc w:val="both"/>
      </w:pPr>
    </w:p>
    <w:p w:rsidR="004E63A7" w:rsidRPr="000D4BB0" w:rsidRDefault="004E63A7" w:rsidP="000D4BB0">
      <w:pPr>
        <w:spacing w:line="480" w:lineRule="auto"/>
        <w:jc w:val="both"/>
        <w:rPr>
          <w:b/>
        </w:rPr>
      </w:pPr>
      <w:r w:rsidRPr="000D4BB0">
        <w:rPr>
          <w:b/>
        </w:rPr>
        <w:lastRenderedPageBreak/>
        <w:t>Indicator taxa</w:t>
      </w:r>
    </w:p>
    <w:p w:rsidR="007D3071" w:rsidRDefault="007D3071" w:rsidP="000D4BB0">
      <w:pPr>
        <w:spacing w:line="480" w:lineRule="auto"/>
        <w:jc w:val="both"/>
      </w:pPr>
      <w:r>
        <w:tab/>
        <w:t>To further investig</w:t>
      </w:r>
      <w:r w:rsidR="007F5BF0">
        <w:t xml:space="preserve">ate potential drivers of the differences in community composition between mixing regime, we performed indicator analysis </w:t>
      </w:r>
      <w:r w:rsidR="004E63A7">
        <w:t>(Table 2)</w:t>
      </w:r>
      <w:r w:rsidR="007F5BF0">
        <w:t>. This technique identifies taxa that are found significantly more often in one group of samples than another</w:t>
      </w:r>
      <w:r w:rsidR="00AA6F0D">
        <w:t>; in this case, the groups were defined by layer and mixing regime</w:t>
      </w:r>
      <w:r w:rsidR="007F5BF0">
        <w:t xml:space="preserve">. </w:t>
      </w:r>
      <w:r w:rsidR="00C229E2">
        <w:t xml:space="preserve">There is substantial overlap between the indicator taxa of </w:t>
      </w:r>
      <w:proofErr w:type="spellStart"/>
      <w:r w:rsidR="00C229E2">
        <w:t>polymictic</w:t>
      </w:r>
      <w:proofErr w:type="spellEnd"/>
      <w:r w:rsidR="00C229E2">
        <w:t xml:space="preserve"> </w:t>
      </w:r>
      <w:proofErr w:type="spellStart"/>
      <w:r w:rsidR="00C229E2">
        <w:t>epilimnia</w:t>
      </w:r>
      <w:proofErr w:type="spellEnd"/>
      <w:r w:rsidR="00C229E2">
        <w:t xml:space="preserve"> and </w:t>
      </w:r>
      <w:proofErr w:type="spellStart"/>
      <w:r w:rsidR="00C229E2">
        <w:t>hypolimnia</w:t>
      </w:r>
      <w:proofErr w:type="spellEnd"/>
      <w:r w:rsidR="00C229E2">
        <w:t xml:space="preserve">, which makes sense as this group is defined by high mixing frequency. </w:t>
      </w:r>
      <w:r w:rsidR="004E63A7">
        <w:t>The presence of taxa endemic to each mixing regime likely reflects the environmental filtering taking place in these ecosystems.</w:t>
      </w:r>
    </w:p>
    <w:p w:rsidR="00571E5F" w:rsidRPr="000D4BB0" w:rsidRDefault="00571E5F" w:rsidP="00571E5F">
      <w:pPr>
        <w:spacing w:line="480" w:lineRule="auto"/>
        <w:jc w:val="both"/>
        <w:rPr>
          <w:b/>
        </w:rPr>
      </w:pPr>
      <w:r w:rsidRPr="000D4BB0">
        <w:rPr>
          <w:b/>
        </w:rPr>
        <w:t>Seasonal trends</w:t>
      </w:r>
    </w:p>
    <w:p w:rsidR="00571E5F" w:rsidRDefault="00571E5F" w:rsidP="00571E5F">
      <w:pPr>
        <w:spacing w:line="480" w:lineRule="auto"/>
        <w:jc w:val="both"/>
      </w:pPr>
      <w:r>
        <w:tab/>
        <w:t xml:space="preserve">Despite distinct community compositions each year, there are high level seasonal trends. Both biodiversity and evenness increase over time while stratification is in place (supplemental). Sharp decreases in both of these community properties are observed during the well-sampled Trout Bog 2007 fall mixing event and the North Sparkling Bog artificial mixing event. At the phylum level, the abundance of </w:t>
      </w:r>
      <w:proofErr w:type="spellStart"/>
      <w:r>
        <w:rPr>
          <w:i/>
        </w:rPr>
        <w:t>Proteobacteria</w:t>
      </w:r>
      <w:proofErr w:type="spellEnd"/>
      <w:r>
        <w:rPr>
          <w:i/>
        </w:rPr>
        <w:t xml:space="preserve"> </w:t>
      </w:r>
      <w:r>
        <w:t xml:space="preserve">is particularly high in the few winter samples in this dataset and during mixing events. After spring stratification, the abundance of </w:t>
      </w:r>
      <w:proofErr w:type="spellStart"/>
      <w:r>
        <w:rPr>
          <w:i/>
        </w:rPr>
        <w:t>Proteobacteria</w:t>
      </w:r>
      <w:proofErr w:type="spellEnd"/>
      <w:r>
        <w:rPr>
          <w:i/>
        </w:rPr>
        <w:t xml:space="preserve"> </w:t>
      </w:r>
      <w:r>
        <w:t xml:space="preserve">decreases as the abundances of other phyla increase. Because this is relative abundance data, this trend may reflect the observed increase in biodiversity over time, and the survivability of dominant </w:t>
      </w:r>
      <w:proofErr w:type="spellStart"/>
      <w:r>
        <w:t>Proteobacterial</w:t>
      </w:r>
      <w:proofErr w:type="spellEnd"/>
      <w:r>
        <w:t xml:space="preserve"> groups </w:t>
      </w:r>
      <w:proofErr w:type="spellStart"/>
      <w:r>
        <w:rPr>
          <w:i/>
        </w:rPr>
        <w:t>Polynucleobacter</w:t>
      </w:r>
      <w:proofErr w:type="spellEnd"/>
      <w:r>
        <w:rPr>
          <w:i/>
        </w:rPr>
        <w:t xml:space="preserve"> </w:t>
      </w:r>
      <w:r>
        <w:t xml:space="preserve">and </w:t>
      </w:r>
      <w:proofErr w:type="spellStart"/>
      <w:r>
        <w:rPr>
          <w:i/>
        </w:rPr>
        <w:t>Limnohabitans</w:t>
      </w:r>
      <w:proofErr w:type="spellEnd"/>
      <w:r>
        <w:rPr>
          <w:i/>
        </w:rPr>
        <w:t xml:space="preserve"> </w:t>
      </w:r>
      <w:r>
        <w:t>during the ice-on period of the year.</w:t>
      </w:r>
    </w:p>
    <w:p w:rsidR="00571E5F" w:rsidRDefault="00571E5F" w:rsidP="009C3131">
      <w:pPr>
        <w:spacing w:line="240" w:lineRule="auto"/>
        <w:jc w:val="both"/>
      </w:pPr>
    </w:p>
    <w:p w:rsidR="00571E5F" w:rsidRPr="00571E5F" w:rsidRDefault="00571E5F" w:rsidP="009C3131">
      <w:pPr>
        <w:spacing w:line="240" w:lineRule="auto"/>
        <w:jc w:val="both"/>
      </w:pPr>
      <w:r>
        <w:rPr>
          <w:b/>
        </w:rPr>
        <w:t xml:space="preserve">Table 2. Indicator taxa of layers and mixing regimes. </w:t>
      </w:r>
      <w:r>
        <w:t>Indicator analysis was used to identify taxa with a preference for sites defined by layer and mixing regime. OTUs were grouped into higher taxonomic levels, and all levels were used for this analysis at once. The lowest classification of each indicator taxa is reported below.</w:t>
      </w:r>
    </w:p>
    <w:p w:rsidR="00571E5F" w:rsidRDefault="00571E5F" w:rsidP="009C3131">
      <w:pPr>
        <w:spacing w:line="240" w:lineRule="auto"/>
        <w:jc w:val="both"/>
        <w:rPr>
          <w:b/>
        </w:rPr>
      </w:pPr>
    </w:p>
    <w:tbl>
      <w:tblPr>
        <w:tblStyle w:val="TableGrid"/>
        <w:tblpPr w:leftFromText="180" w:rightFromText="180" w:vertAnchor="page" w:horzAnchor="margin" w:tblpXSpec="center" w:tblpY="616"/>
        <w:tblW w:w="11790" w:type="dxa"/>
        <w:tblLayout w:type="fixed"/>
        <w:tblCellMar>
          <w:left w:w="115" w:type="dxa"/>
          <w:right w:w="115" w:type="dxa"/>
        </w:tblCellMar>
        <w:tblLook w:val="04A0" w:firstRow="1" w:lastRow="0" w:firstColumn="1" w:lastColumn="0" w:noHBand="0" w:noVBand="1"/>
      </w:tblPr>
      <w:tblGrid>
        <w:gridCol w:w="5935"/>
        <w:gridCol w:w="5855"/>
      </w:tblGrid>
      <w:tr w:rsidR="00571E5F" w:rsidTr="00571E5F">
        <w:trPr>
          <w:trHeight w:val="296"/>
        </w:trPr>
        <w:tc>
          <w:tcPr>
            <w:tcW w:w="5935" w:type="dxa"/>
            <w:shd w:val="clear" w:color="auto" w:fill="E7E6E6" w:themeFill="background2"/>
          </w:tcPr>
          <w:p w:rsidR="00571E5F" w:rsidRPr="00571E5F" w:rsidRDefault="00571E5F" w:rsidP="00571E5F">
            <w:pPr>
              <w:jc w:val="center"/>
              <w:rPr>
                <w:rFonts w:ascii="Nirmala UI Semilight" w:hAnsi="Nirmala UI Semilight" w:cs="Nirmala UI Semilight"/>
                <w:b/>
                <w:sz w:val="20"/>
                <w:szCs w:val="20"/>
              </w:rPr>
            </w:pPr>
            <w:proofErr w:type="spellStart"/>
            <w:r w:rsidRPr="00571E5F">
              <w:rPr>
                <w:rFonts w:ascii="Nirmala UI Semilight" w:hAnsi="Nirmala UI Semilight" w:cs="Nirmala UI Semilight"/>
                <w:b/>
                <w:sz w:val="20"/>
                <w:szCs w:val="20"/>
              </w:rPr>
              <w:lastRenderedPageBreak/>
              <w:t>Polymictic</w:t>
            </w:r>
            <w:proofErr w:type="spellEnd"/>
            <w:r w:rsidRPr="00571E5F">
              <w:rPr>
                <w:rFonts w:ascii="Nirmala UI Semilight" w:hAnsi="Nirmala UI Semilight" w:cs="Nirmala UI Semilight"/>
                <w:b/>
                <w:sz w:val="20"/>
                <w:szCs w:val="20"/>
              </w:rPr>
              <w:t xml:space="preserve"> </w:t>
            </w:r>
            <w:proofErr w:type="spellStart"/>
            <w:r w:rsidRPr="00571E5F">
              <w:rPr>
                <w:rFonts w:ascii="Nirmala UI Semilight" w:hAnsi="Nirmala UI Semilight" w:cs="Nirmala UI Semilight"/>
                <w:b/>
                <w:sz w:val="20"/>
                <w:szCs w:val="20"/>
              </w:rPr>
              <w:t>epilimnia</w:t>
            </w:r>
            <w:proofErr w:type="spellEnd"/>
          </w:p>
        </w:tc>
        <w:tc>
          <w:tcPr>
            <w:tcW w:w="5855" w:type="dxa"/>
            <w:shd w:val="clear" w:color="auto" w:fill="E7E6E6" w:themeFill="background2"/>
          </w:tcPr>
          <w:p w:rsidR="00571E5F" w:rsidRPr="00571E5F" w:rsidRDefault="00571E5F" w:rsidP="00571E5F">
            <w:pPr>
              <w:jc w:val="center"/>
              <w:rPr>
                <w:b/>
                <w:sz w:val="20"/>
                <w:szCs w:val="20"/>
              </w:rPr>
            </w:pPr>
            <w:proofErr w:type="spellStart"/>
            <w:r w:rsidRPr="00571E5F">
              <w:rPr>
                <w:rFonts w:ascii="Nirmala UI Semilight" w:hAnsi="Nirmala UI Semilight" w:cs="Nirmala UI Semilight"/>
                <w:b/>
                <w:sz w:val="20"/>
                <w:szCs w:val="20"/>
              </w:rPr>
              <w:t>Polymictic</w:t>
            </w:r>
            <w:proofErr w:type="spellEnd"/>
            <w:r w:rsidRPr="00571E5F">
              <w:rPr>
                <w:rFonts w:ascii="Nirmala UI Semilight" w:hAnsi="Nirmala UI Semilight" w:cs="Nirmala UI Semilight"/>
                <w:b/>
                <w:sz w:val="20"/>
                <w:szCs w:val="20"/>
              </w:rPr>
              <w:t xml:space="preserve"> </w:t>
            </w:r>
            <w:proofErr w:type="spellStart"/>
            <w:r w:rsidRPr="00571E5F">
              <w:rPr>
                <w:rFonts w:ascii="Nirmala UI Semilight" w:hAnsi="Nirmala UI Semilight" w:cs="Nirmala UI Semilight"/>
                <w:b/>
                <w:sz w:val="20"/>
                <w:szCs w:val="20"/>
              </w:rPr>
              <w:t>hypolimnia</w:t>
            </w:r>
            <w:proofErr w:type="spellEnd"/>
          </w:p>
        </w:tc>
      </w:tr>
      <w:tr w:rsidR="00571E5F" w:rsidTr="00571E5F">
        <w:tc>
          <w:tcPr>
            <w:tcW w:w="5935" w:type="dxa"/>
          </w:tcPr>
          <w:p w:rsidR="00571E5F" w:rsidRPr="00571E5F" w:rsidRDefault="00571E5F" w:rsidP="00571E5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Nirmala UI Semilight" w:eastAsia="Times New Roman" w:hAnsi="Nirmala UI Semilight" w:cs="Nirmala UI Semilight"/>
                <w:sz w:val="19"/>
                <w:szCs w:val="19"/>
              </w:rPr>
            </w:pPr>
            <w:proofErr w:type="spellStart"/>
            <w:r w:rsidRPr="00571E5F">
              <w:rPr>
                <w:rFonts w:ascii="Nirmala UI Semilight" w:eastAsia="Times New Roman" w:hAnsi="Nirmala UI Semilight" w:cs="Nirmala UI Semilight"/>
                <w:sz w:val="19"/>
                <w:szCs w:val="19"/>
              </w:rPr>
              <w:t>Actinobacteria;Actinobacteria</w:t>
            </w:r>
            <w:proofErr w:type="spellEnd"/>
            <w:r w:rsidRPr="00571E5F">
              <w:rPr>
                <w:rFonts w:ascii="Nirmala UI Semilight" w:eastAsia="Times New Roman" w:hAnsi="Nirmala UI Semilight" w:cs="Nirmala UI Semilight"/>
                <w:sz w:val="19"/>
                <w:szCs w:val="19"/>
              </w:rPr>
              <w:t>; Actinomycetales;acI;acI-B;acI-B3</w:t>
            </w:r>
          </w:p>
          <w:p w:rsidR="00571E5F" w:rsidRPr="00571E5F" w:rsidRDefault="00571E5F" w:rsidP="00571E5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Nirmala UI Semilight" w:eastAsia="Times New Roman" w:hAnsi="Nirmala UI Semilight" w:cs="Nirmala UI Semilight"/>
                <w:sz w:val="19"/>
                <w:szCs w:val="19"/>
              </w:rPr>
            </w:pPr>
            <w:proofErr w:type="spellStart"/>
            <w:r w:rsidRPr="00571E5F">
              <w:rPr>
                <w:rFonts w:ascii="Nirmala UI Semilight" w:eastAsia="Times New Roman" w:hAnsi="Nirmala UI Semilight" w:cs="Nirmala UI Semilight"/>
                <w:sz w:val="19"/>
                <w:szCs w:val="19"/>
              </w:rPr>
              <w:t>Verrucomicrobia;Spartobacteria</w:t>
            </w:r>
            <w:proofErr w:type="spellEnd"/>
            <w:r w:rsidRPr="00571E5F">
              <w:rPr>
                <w:rFonts w:ascii="Nirmala UI Semilight" w:eastAsia="Times New Roman" w:hAnsi="Nirmala UI Semilight" w:cs="Nirmala UI Semilight"/>
                <w:sz w:val="19"/>
                <w:szCs w:val="19"/>
              </w:rPr>
              <w:t xml:space="preserve">; </w:t>
            </w:r>
            <w:proofErr w:type="spellStart"/>
            <w:r w:rsidRPr="00571E5F">
              <w:rPr>
                <w:rFonts w:ascii="Nirmala UI Semilight" w:eastAsia="Times New Roman" w:hAnsi="Nirmala UI Semilight" w:cs="Nirmala UI Semilight"/>
                <w:sz w:val="19"/>
                <w:szCs w:val="19"/>
              </w:rPr>
              <w:t>Chthoniobacterales;verI-A</w:t>
            </w:r>
            <w:proofErr w:type="spellEnd"/>
          </w:p>
          <w:p w:rsidR="00571E5F" w:rsidRPr="00571E5F" w:rsidRDefault="00571E5F" w:rsidP="00571E5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Nirmala UI Semilight" w:eastAsia="Times New Roman" w:hAnsi="Nirmala UI Semilight" w:cs="Nirmala UI Semilight"/>
                <w:sz w:val="19"/>
                <w:szCs w:val="19"/>
              </w:rPr>
            </w:pPr>
            <w:r w:rsidRPr="00571E5F">
              <w:rPr>
                <w:rFonts w:ascii="Nirmala UI Semilight" w:eastAsia="Times New Roman" w:hAnsi="Nirmala UI Semilight" w:cs="Nirmala UI Semilight"/>
                <w:sz w:val="19"/>
                <w:szCs w:val="19"/>
              </w:rPr>
              <w:t>Proteobacteria;Betaproteobacteria;Burkholderiales;betI;betI-A;Lhab-A4</w:t>
            </w:r>
          </w:p>
          <w:p w:rsidR="00571E5F" w:rsidRPr="00571E5F" w:rsidRDefault="00571E5F" w:rsidP="00571E5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Nirmala UI Semilight" w:eastAsia="Times New Roman" w:hAnsi="Nirmala UI Semilight" w:cs="Nirmala UI Semilight"/>
                <w:sz w:val="19"/>
                <w:szCs w:val="19"/>
              </w:rPr>
            </w:pPr>
            <w:proofErr w:type="spellStart"/>
            <w:r w:rsidRPr="00571E5F">
              <w:rPr>
                <w:rFonts w:ascii="Nirmala UI Semilight" w:eastAsia="Times New Roman" w:hAnsi="Nirmala UI Semilight" w:cs="Nirmala UI Semilight"/>
                <w:sz w:val="19"/>
                <w:szCs w:val="19"/>
              </w:rPr>
              <w:t>Proteobacteria;Betaproteobacteria;Methylophilales</w:t>
            </w:r>
            <w:proofErr w:type="spellEnd"/>
          </w:p>
          <w:p w:rsidR="00571E5F" w:rsidRPr="00571E5F" w:rsidRDefault="00571E5F" w:rsidP="00571E5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Nirmala UI Semilight" w:eastAsia="Times New Roman" w:hAnsi="Nirmala UI Semilight" w:cs="Nirmala UI Semilight"/>
                <w:sz w:val="19"/>
                <w:szCs w:val="19"/>
              </w:rPr>
            </w:pPr>
            <w:r w:rsidRPr="00571E5F">
              <w:rPr>
                <w:rFonts w:ascii="Nirmala UI Semilight" w:eastAsia="Times New Roman" w:hAnsi="Nirmala UI Semilight" w:cs="Nirmala UI Semilight"/>
                <w:sz w:val="19"/>
                <w:szCs w:val="19"/>
              </w:rPr>
              <w:t>Actinobacteria;Actinobacteria;Actinomycetales;acI;acI-B;acI-B3</w:t>
            </w:r>
          </w:p>
          <w:p w:rsidR="00571E5F" w:rsidRPr="00571E5F" w:rsidRDefault="00571E5F" w:rsidP="00571E5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Nirmala UI Semilight" w:eastAsia="Times New Roman" w:hAnsi="Nirmala UI Semilight" w:cs="Nirmala UI Semilight"/>
                <w:sz w:val="19"/>
                <w:szCs w:val="19"/>
              </w:rPr>
            </w:pPr>
            <w:proofErr w:type="spellStart"/>
            <w:r w:rsidRPr="00571E5F">
              <w:rPr>
                <w:rFonts w:ascii="Nirmala UI Semilight" w:eastAsia="Times New Roman" w:hAnsi="Nirmala UI Semilight" w:cs="Nirmala UI Semilight"/>
                <w:sz w:val="19"/>
                <w:szCs w:val="19"/>
              </w:rPr>
              <w:t>Proteobacteria;Betaproteobacteria;Burkholderiales;betI;betI-A</w:t>
            </w:r>
            <w:proofErr w:type="spellEnd"/>
          </w:p>
          <w:p w:rsidR="00571E5F" w:rsidRPr="00571E5F" w:rsidRDefault="00571E5F" w:rsidP="00571E5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Nirmala UI Semilight" w:eastAsia="Times New Roman" w:hAnsi="Nirmala UI Semilight" w:cs="Nirmala UI Semilight"/>
                <w:sz w:val="19"/>
                <w:szCs w:val="19"/>
              </w:rPr>
            </w:pPr>
            <w:proofErr w:type="spellStart"/>
            <w:r w:rsidRPr="00571E5F">
              <w:rPr>
                <w:rFonts w:ascii="Nirmala UI Semilight" w:eastAsia="Times New Roman" w:hAnsi="Nirmala UI Semilight" w:cs="Nirmala UI Semilight"/>
                <w:sz w:val="19"/>
                <w:szCs w:val="19"/>
              </w:rPr>
              <w:t>Verrucomicrobia;Spartobacteria</w:t>
            </w:r>
            <w:proofErr w:type="spellEnd"/>
          </w:p>
          <w:p w:rsidR="00571E5F" w:rsidRPr="00571E5F" w:rsidRDefault="00571E5F" w:rsidP="00571E5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Nirmala UI Semilight" w:eastAsia="Times New Roman" w:hAnsi="Nirmala UI Semilight" w:cs="Nirmala UI Semilight"/>
                <w:sz w:val="19"/>
                <w:szCs w:val="19"/>
              </w:rPr>
            </w:pPr>
            <w:r w:rsidRPr="00571E5F">
              <w:rPr>
                <w:rFonts w:ascii="Nirmala UI Semilight" w:eastAsia="Times New Roman" w:hAnsi="Nirmala UI Semilight" w:cs="Nirmala UI Semilight"/>
                <w:sz w:val="19"/>
                <w:szCs w:val="19"/>
              </w:rPr>
              <w:t>Actinobacteria;Actinobacteria;ActinomycetalesMycobacteriaceae;Mycobacterium</w:t>
            </w:r>
          </w:p>
          <w:p w:rsidR="00571E5F" w:rsidRPr="00571E5F" w:rsidRDefault="00571E5F" w:rsidP="00571E5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Nirmala UI Semilight" w:eastAsia="Times New Roman" w:hAnsi="Nirmala UI Semilight" w:cs="Nirmala UI Semilight"/>
                <w:sz w:val="19"/>
                <w:szCs w:val="19"/>
              </w:rPr>
            </w:pPr>
            <w:proofErr w:type="spellStart"/>
            <w:r w:rsidRPr="00571E5F">
              <w:rPr>
                <w:rFonts w:ascii="Nirmala UI Semilight" w:eastAsia="Times New Roman" w:hAnsi="Nirmala UI Semilight" w:cs="Nirmala UI Semilight"/>
                <w:sz w:val="19"/>
                <w:szCs w:val="19"/>
              </w:rPr>
              <w:t>Actinobacteria;Actinobacteria;Actinomycetales;acI</w:t>
            </w:r>
            <w:proofErr w:type="spellEnd"/>
          </w:p>
          <w:p w:rsidR="00571E5F" w:rsidRPr="00571E5F" w:rsidRDefault="00571E5F" w:rsidP="00571E5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Nirmala UI Semilight" w:eastAsia="Times New Roman" w:hAnsi="Nirmala UI Semilight" w:cs="Nirmala UI Semilight"/>
                <w:sz w:val="19"/>
                <w:szCs w:val="19"/>
              </w:rPr>
            </w:pPr>
            <w:r w:rsidRPr="00571E5F">
              <w:rPr>
                <w:rFonts w:ascii="Nirmala UI Semilight" w:eastAsia="Times New Roman" w:hAnsi="Nirmala UI Semilight" w:cs="Nirmala UI Semilight"/>
                <w:sz w:val="19"/>
                <w:szCs w:val="19"/>
              </w:rPr>
              <w:t>Proteobacteria;Betaproteobacteria;Burkholderiales;betII;Pnec;PnecC</w:t>
            </w:r>
          </w:p>
        </w:tc>
        <w:tc>
          <w:tcPr>
            <w:tcW w:w="5855" w:type="dxa"/>
          </w:tcPr>
          <w:p w:rsidR="00571E5F" w:rsidRPr="00571E5F" w:rsidRDefault="00571E5F" w:rsidP="00571E5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rmala UI Semilight" w:eastAsia="Times New Roman" w:hAnsi="Nirmala UI Semilight" w:cs="Nirmala UI Semilight"/>
                <w:sz w:val="19"/>
                <w:szCs w:val="19"/>
              </w:rPr>
            </w:pPr>
            <w:proofErr w:type="spellStart"/>
            <w:r w:rsidRPr="00571E5F">
              <w:rPr>
                <w:rFonts w:ascii="Nirmala UI Semilight" w:eastAsia="Times New Roman" w:hAnsi="Nirmala UI Semilight" w:cs="Nirmala UI Semilight"/>
                <w:sz w:val="19"/>
                <w:szCs w:val="19"/>
              </w:rPr>
              <w:t>Actinobacteria;Actinobacteria;Actinomycetales</w:t>
            </w:r>
            <w:proofErr w:type="spellEnd"/>
          </w:p>
          <w:p w:rsidR="00571E5F" w:rsidRPr="00571E5F" w:rsidRDefault="00571E5F" w:rsidP="00571E5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rmala UI Semilight" w:eastAsia="Times New Roman" w:hAnsi="Nirmala UI Semilight" w:cs="Nirmala UI Semilight"/>
                <w:sz w:val="19"/>
                <w:szCs w:val="19"/>
              </w:rPr>
            </w:pPr>
            <w:proofErr w:type="spellStart"/>
            <w:r w:rsidRPr="00571E5F">
              <w:rPr>
                <w:rFonts w:ascii="Nirmala UI Semilight" w:eastAsia="Times New Roman" w:hAnsi="Nirmala UI Semilight" w:cs="Nirmala UI Semilight"/>
                <w:sz w:val="19"/>
                <w:szCs w:val="19"/>
              </w:rPr>
              <w:t>Actinobacteria</w:t>
            </w:r>
            <w:proofErr w:type="spellEnd"/>
          </w:p>
          <w:p w:rsidR="00571E5F" w:rsidRPr="00571E5F" w:rsidRDefault="00571E5F" w:rsidP="00571E5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rmala UI Semilight" w:eastAsia="Times New Roman" w:hAnsi="Nirmala UI Semilight" w:cs="Nirmala UI Semilight"/>
                <w:sz w:val="19"/>
                <w:szCs w:val="19"/>
              </w:rPr>
            </w:pPr>
            <w:proofErr w:type="spellStart"/>
            <w:r w:rsidRPr="00571E5F">
              <w:rPr>
                <w:rFonts w:ascii="Nirmala UI Semilight" w:eastAsia="Times New Roman" w:hAnsi="Nirmala UI Semilight" w:cs="Nirmala UI Semilight"/>
                <w:sz w:val="19"/>
                <w:szCs w:val="19"/>
              </w:rPr>
              <w:t>Proteobacteria</w:t>
            </w:r>
            <w:proofErr w:type="spellEnd"/>
            <w:r w:rsidRPr="00571E5F">
              <w:rPr>
                <w:rFonts w:ascii="Nirmala UI Semilight" w:eastAsia="Times New Roman" w:hAnsi="Nirmala UI Semilight" w:cs="Nirmala UI Semilight"/>
                <w:sz w:val="19"/>
                <w:szCs w:val="19"/>
              </w:rPr>
              <w:t>;_</w:t>
            </w:r>
            <w:proofErr w:type="spellStart"/>
            <w:r w:rsidRPr="00571E5F">
              <w:rPr>
                <w:rFonts w:ascii="Nirmala UI Semilight" w:eastAsia="Times New Roman" w:hAnsi="Nirmala UI Semilight" w:cs="Nirmala UI Semilight"/>
                <w:sz w:val="19"/>
                <w:szCs w:val="19"/>
              </w:rPr>
              <w:t>Betaproteobacteria;Burkholderiales;betI;betI-A</w:t>
            </w:r>
            <w:proofErr w:type="spellEnd"/>
          </w:p>
          <w:p w:rsidR="00571E5F" w:rsidRPr="00571E5F" w:rsidRDefault="00571E5F" w:rsidP="00571E5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rmala UI Semilight" w:eastAsia="Times New Roman" w:hAnsi="Nirmala UI Semilight" w:cs="Nirmala UI Semilight"/>
                <w:sz w:val="19"/>
                <w:szCs w:val="19"/>
              </w:rPr>
            </w:pPr>
            <w:proofErr w:type="spellStart"/>
            <w:r w:rsidRPr="00571E5F">
              <w:rPr>
                <w:rFonts w:ascii="Nirmala UI Semilight" w:eastAsia="Times New Roman" w:hAnsi="Nirmala UI Semilight" w:cs="Nirmala UI Semilight"/>
                <w:sz w:val="19"/>
                <w:szCs w:val="19"/>
              </w:rPr>
              <w:t>Verrucomicrobia;Spartobacteria;Chthoniobacterales;verI-A</w:t>
            </w:r>
            <w:proofErr w:type="spellEnd"/>
          </w:p>
          <w:p w:rsidR="00571E5F" w:rsidRPr="00571E5F" w:rsidRDefault="00571E5F" w:rsidP="00571E5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rmala UI Semilight" w:eastAsia="Times New Roman" w:hAnsi="Nirmala UI Semilight" w:cs="Nirmala UI Semilight"/>
                <w:sz w:val="19"/>
                <w:szCs w:val="19"/>
              </w:rPr>
            </w:pPr>
            <w:proofErr w:type="spellStart"/>
            <w:r w:rsidRPr="00571E5F">
              <w:rPr>
                <w:rFonts w:ascii="Nirmala UI Semilight" w:eastAsia="Times New Roman" w:hAnsi="Nirmala UI Semilight" w:cs="Nirmala UI Semilight"/>
                <w:sz w:val="19"/>
                <w:szCs w:val="19"/>
              </w:rPr>
              <w:t>Bacteroidetes;Saprospirae</w:t>
            </w:r>
            <w:proofErr w:type="spellEnd"/>
          </w:p>
          <w:p w:rsidR="00571E5F" w:rsidRPr="00571E5F" w:rsidRDefault="00571E5F" w:rsidP="00571E5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rmala UI Semilight" w:eastAsia="Times New Roman" w:hAnsi="Nirmala UI Semilight" w:cs="Nirmala UI Semilight"/>
                <w:sz w:val="19"/>
                <w:szCs w:val="19"/>
              </w:rPr>
            </w:pPr>
            <w:proofErr w:type="spellStart"/>
            <w:r w:rsidRPr="00571E5F">
              <w:rPr>
                <w:rFonts w:ascii="Nirmala UI Semilight" w:eastAsia="Times New Roman" w:hAnsi="Nirmala UI Semilight" w:cs="Nirmala UI Semilight"/>
                <w:sz w:val="19"/>
                <w:szCs w:val="19"/>
              </w:rPr>
              <w:t>Proteobacteria;Alphaproteobacteria;Rhizobiales</w:t>
            </w:r>
            <w:proofErr w:type="spellEnd"/>
          </w:p>
          <w:p w:rsidR="00571E5F" w:rsidRPr="00571E5F" w:rsidRDefault="00571E5F" w:rsidP="00571E5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rmala UI Semilight" w:eastAsia="Times New Roman" w:hAnsi="Nirmala UI Semilight" w:cs="Nirmala UI Semilight"/>
                <w:sz w:val="19"/>
                <w:szCs w:val="19"/>
              </w:rPr>
            </w:pPr>
            <w:r w:rsidRPr="00571E5F">
              <w:rPr>
                <w:rFonts w:ascii="Nirmala UI Semilight" w:eastAsia="Times New Roman" w:hAnsi="Nirmala UI Semilight" w:cs="Nirmala UI Semilight"/>
                <w:sz w:val="19"/>
                <w:szCs w:val="19"/>
              </w:rPr>
              <w:t>Proteobacteria;Betaproteobacteria;Burkholderiales;betII;Pnec;PnecC</w:t>
            </w:r>
          </w:p>
          <w:p w:rsidR="00571E5F" w:rsidRPr="00571E5F" w:rsidRDefault="00571E5F" w:rsidP="00571E5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rmala UI Semilight" w:eastAsia="Times New Roman" w:hAnsi="Nirmala UI Semilight" w:cs="Nirmala UI Semilight"/>
                <w:sz w:val="19"/>
                <w:szCs w:val="19"/>
              </w:rPr>
            </w:pPr>
            <w:proofErr w:type="spellStart"/>
            <w:r w:rsidRPr="00571E5F">
              <w:rPr>
                <w:rFonts w:ascii="Nirmala UI Semilight" w:eastAsia="Times New Roman" w:hAnsi="Nirmala UI Semilight" w:cs="Nirmala UI Semilight"/>
                <w:sz w:val="19"/>
                <w:szCs w:val="19"/>
              </w:rPr>
              <w:t>Actinobacteria;Acidimicrobiia;Acidimicrobiales</w:t>
            </w:r>
            <w:proofErr w:type="spellEnd"/>
          </w:p>
          <w:p w:rsidR="00571E5F" w:rsidRPr="00571E5F" w:rsidRDefault="00571E5F" w:rsidP="00571E5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rmala UI Semilight" w:eastAsia="Times New Roman" w:hAnsi="Nirmala UI Semilight" w:cs="Nirmala UI Semilight"/>
                <w:sz w:val="19"/>
                <w:szCs w:val="19"/>
              </w:rPr>
            </w:pPr>
            <w:proofErr w:type="spellStart"/>
            <w:r w:rsidRPr="00571E5F">
              <w:rPr>
                <w:rFonts w:ascii="Nirmala UI Semilight" w:eastAsia="Times New Roman" w:hAnsi="Nirmala UI Semilight" w:cs="Nirmala UI Semilight"/>
                <w:sz w:val="19"/>
                <w:szCs w:val="19"/>
              </w:rPr>
              <w:t>Actinobacteria;Acidimicrobiia;Acidimicrobiales</w:t>
            </w:r>
            <w:proofErr w:type="spellEnd"/>
          </w:p>
          <w:p w:rsidR="00571E5F" w:rsidRPr="00571E5F" w:rsidRDefault="00571E5F" w:rsidP="00571E5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rmala UI Semilight" w:eastAsia="Times New Roman" w:hAnsi="Nirmala UI Semilight" w:cs="Nirmala UI Semilight"/>
                <w:sz w:val="19"/>
                <w:szCs w:val="19"/>
              </w:rPr>
            </w:pPr>
            <w:proofErr w:type="spellStart"/>
            <w:r w:rsidRPr="00571E5F">
              <w:rPr>
                <w:rFonts w:ascii="Nirmala UI Semilight" w:eastAsia="Times New Roman" w:hAnsi="Nirmala UI Semilight" w:cs="Nirmala UI Semilight"/>
                <w:sz w:val="19"/>
                <w:szCs w:val="19"/>
              </w:rPr>
              <w:t>Proteobacteria;Alphaproteobacteria</w:t>
            </w:r>
            <w:proofErr w:type="spellEnd"/>
          </w:p>
        </w:tc>
      </w:tr>
      <w:tr w:rsidR="00571E5F" w:rsidTr="00571E5F">
        <w:trPr>
          <w:trHeight w:val="188"/>
        </w:trPr>
        <w:tc>
          <w:tcPr>
            <w:tcW w:w="5935" w:type="dxa"/>
            <w:shd w:val="clear" w:color="auto" w:fill="E7E6E6" w:themeFill="background2"/>
          </w:tcPr>
          <w:p w:rsidR="00571E5F" w:rsidRPr="00571E5F" w:rsidRDefault="00571E5F" w:rsidP="00571E5F">
            <w:pPr>
              <w:jc w:val="center"/>
              <w:rPr>
                <w:b/>
                <w:sz w:val="20"/>
                <w:szCs w:val="20"/>
              </w:rPr>
            </w:pPr>
            <w:r w:rsidRPr="00571E5F">
              <w:rPr>
                <w:rFonts w:ascii="Nirmala UI Semilight" w:hAnsi="Nirmala UI Semilight" w:cs="Nirmala UI Semilight"/>
                <w:b/>
                <w:sz w:val="20"/>
                <w:szCs w:val="20"/>
              </w:rPr>
              <w:t xml:space="preserve">Dimictic </w:t>
            </w:r>
            <w:proofErr w:type="spellStart"/>
            <w:r w:rsidRPr="00571E5F">
              <w:rPr>
                <w:rFonts w:ascii="Nirmala UI Semilight" w:hAnsi="Nirmala UI Semilight" w:cs="Nirmala UI Semilight"/>
                <w:b/>
                <w:sz w:val="20"/>
                <w:szCs w:val="20"/>
              </w:rPr>
              <w:t>epilimnia</w:t>
            </w:r>
            <w:proofErr w:type="spellEnd"/>
          </w:p>
        </w:tc>
        <w:tc>
          <w:tcPr>
            <w:tcW w:w="5855" w:type="dxa"/>
            <w:shd w:val="clear" w:color="auto" w:fill="E7E6E6" w:themeFill="background2"/>
          </w:tcPr>
          <w:p w:rsidR="00571E5F" w:rsidRPr="00571E5F" w:rsidRDefault="00571E5F" w:rsidP="00571E5F">
            <w:pPr>
              <w:jc w:val="center"/>
              <w:rPr>
                <w:b/>
                <w:sz w:val="20"/>
                <w:szCs w:val="20"/>
              </w:rPr>
            </w:pPr>
            <w:r w:rsidRPr="00571E5F">
              <w:rPr>
                <w:rFonts w:ascii="Nirmala UI Semilight" w:hAnsi="Nirmala UI Semilight" w:cs="Nirmala UI Semilight"/>
                <w:b/>
                <w:sz w:val="20"/>
                <w:szCs w:val="20"/>
              </w:rPr>
              <w:t xml:space="preserve">Dimictic </w:t>
            </w:r>
            <w:proofErr w:type="spellStart"/>
            <w:r w:rsidRPr="00571E5F">
              <w:rPr>
                <w:rFonts w:ascii="Nirmala UI Semilight" w:hAnsi="Nirmala UI Semilight" w:cs="Nirmala UI Semilight"/>
                <w:b/>
                <w:sz w:val="20"/>
                <w:szCs w:val="20"/>
              </w:rPr>
              <w:t>hypolimnia</w:t>
            </w:r>
            <w:proofErr w:type="spellEnd"/>
          </w:p>
        </w:tc>
      </w:tr>
      <w:tr w:rsidR="00571E5F" w:rsidTr="00571E5F">
        <w:tc>
          <w:tcPr>
            <w:tcW w:w="5935" w:type="dxa"/>
          </w:tcPr>
          <w:p w:rsidR="00571E5F" w:rsidRPr="00571E5F" w:rsidRDefault="00571E5F" w:rsidP="00571E5F">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rmala UI Semilight" w:eastAsia="Times New Roman" w:hAnsi="Nirmala UI Semilight" w:cs="Nirmala UI Semilight"/>
                <w:sz w:val="19"/>
                <w:szCs w:val="19"/>
              </w:rPr>
            </w:pPr>
            <w:proofErr w:type="spellStart"/>
            <w:r w:rsidRPr="00571E5F">
              <w:rPr>
                <w:rFonts w:ascii="Nirmala UI Semilight" w:eastAsia="Times New Roman" w:hAnsi="Nirmala UI Semilight" w:cs="Nirmala UI Semilight"/>
                <w:sz w:val="19"/>
                <w:szCs w:val="19"/>
              </w:rPr>
              <w:t>Proteobacteria;Betaproteobacteria;Methylophilales</w:t>
            </w:r>
            <w:proofErr w:type="spellEnd"/>
          </w:p>
          <w:p w:rsidR="00571E5F" w:rsidRPr="00571E5F" w:rsidRDefault="00571E5F" w:rsidP="00571E5F">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rmala UI Semilight" w:eastAsia="Times New Roman" w:hAnsi="Nirmala UI Semilight" w:cs="Nirmala UI Semilight"/>
                <w:sz w:val="19"/>
                <w:szCs w:val="19"/>
              </w:rPr>
            </w:pPr>
            <w:proofErr w:type="spellStart"/>
            <w:r w:rsidRPr="00571E5F">
              <w:rPr>
                <w:rFonts w:ascii="Nirmala UI Semilight" w:eastAsia="Times New Roman" w:hAnsi="Nirmala UI Semilight" w:cs="Nirmala UI Semilight"/>
                <w:sz w:val="19"/>
                <w:szCs w:val="19"/>
              </w:rPr>
              <w:t>Actinobacteria;Acidimicrobiia;Acidimicrobiales;acV</w:t>
            </w:r>
            <w:proofErr w:type="spellEnd"/>
          </w:p>
          <w:p w:rsidR="00571E5F" w:rsidRPr="00571E5F" w:rsidRDefault="00571E5F" w:rsidP="00571E5F">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rmala UI Semilight" w:eastAsia="Times New Roman" w:hAnsi="Nirmala UI Semilight" w:cs="Nirmala UI Semilight"/>
                <w:sz w:val="19"/>
                <w:szCs w:val="19"/>
              </w:rPr>
            </w:pPr>
            <w:r w:rsidRPr="00571E5F">
              <w:rPr>
                <w:rFonts w:ascii="Nirmala UI Semilight" w:eastAsia="Times New Roman" w:hAnsi="Nirmala UI Semilight" w:cs="Nirmala UI Semilight"/>
                <w:sz w:val="19"/>
                <w:szCs w:val="19"/>
              </w:rPr>
              <w:t>Actinobacteria;Actinobacteria;Actinomycetales;acI;acI-B;acI-B2</w:t>
            </w:r>
          </w:p>
          <w:p w:rsidR="00571E5F" w:rsidRPr="00571E5F" w:rsidRDefault="00571E5F" w:rsidP="00571E5F">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rmala UI Semilight" w:eastAsia="Times New Roman" w:hAnsi="Nirmala UI Semilight" w:cs="Nirmala UI Semilight"/>
                <w:sz w:val="19"/>
                <w:szCs w:val="19"/>
              </w:rPr>
            </w:pPr>
            <w:proofErr w:type="spellStart"/>
            <w:r w:rsidRPr="00571E5F">
              <w:rPr>
                <w:rFonts w:ascii="Nirmala UI Semilight" w:eastAsia="Times New Roman" w:hAnsi="Nirmala UI Semilight" w:cs="Nirmala UI Semilight"/>
                <w:sz w:val="19"/>
                <w:szCs w:val="19"/>
              </w:rPr>
              <w:t>Bacteroidetes;Saprospirae;Saprospirales;Chitinophagaceae</w:t>
            </w:r>
            <w:proofErr w:type="spellEnd"/>
          </w:p>
          <w:p w:rsidR="00571E5F" w:rsidRPr="00571E5F" w:rsidRDefault="00571E5F" w:rsidP="00571E5F">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rmala UI Semilight" w:eastAsia="Times New Roman" w:hAnsi="Nirmala UI Semilight" w:cs="Nirmala UI Semilight"/>
                <w:sz w:val="19"/>
                <w:szCs w:val="19"/>
              </w:rPr>
            </w:pPr>
            <w:r w:rsidRPr="00571E5F">
              <w:rPr>
                <w:rFonts w:ascii="Nirmala UI Semilight" w:eastAsia="Times New Roman" w:hAnsi="Nirmala UI Semilight" w:cs="Nirmala UI Semilight"/>
                <w:sz w:val="19"/>
                <w:szCs w:val="19"/>
              </w:rPr>
              <w:t>Bacteroidetes;Sphingobacteriia;Sphingobacteriales;bacVI;bacVI-A;Muci</w:t>
            </w:r>
          </w:p>
          <w:p w:rsidR="00571E5F" w:rsidRPr="00571E5F" w:rsidRDefault="00571E5F" w:rsidP="00571E5F">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rmala UI Semilight" w:eastAsia="Times New Roman" w:hAnsi="Nirmala UI Semilight" w:cs="Nirmala UI Semilight"/>
                <w:sz w:val="19"/>
                <w:szCs w:val="19"/>
              </w:rPr>
            </w:pPr>
            <w:r w:rsidRPr="00571E5F">
              <w:rPr>
                <w:rFonts w:ascii="Nirmala UI Semilight" w:eastAsia="Times New Roman" w:hAnsi="Nirmala UI Semilight" w:cs="Nirmala UI Semilight"/>
                <w:sz w:val="19"/>
                <w:szCs w:val="19"/>
              </w:rPr>
              <w:t>Proteobacteria;Betaproteobacteria;Burkholderiales;betI;betI-B;Rhodo</w:t>
            </w:r>
          </w:p>
          <w:p w:rsidR="00571E5F" w:rsidRPr="00571E5F" w:rsidRDefault="00571E5F" w:rsidP="00571E5F">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rmala UI Semilight" w:eastAsia="Times New Roman" w:hAnsi="Nirmala UI Semilight" w:cs="Nirmala UI Semilight"/>
                <w:sz w:val="19"/>
                <w:szCs w:val="19"/>
              </w:rPr>
            </w:pPr>
            <w:proofErr w:type="spellStart"/>
            <w:r w:rsidRPr="00571E5F">
              <w:rPr>
                <w:rFonts w:ascii="Nirmala UI Semilight" w:eastAsia="Times New Roman" w:hAnsi="Nirmala UI Semilight" w:cs="Nirmala UI Semilight"/>
                <w:sz w:val="19"/>
                <w:szCs w:val="19"/>
              </w:rPr>
              <w:t>Acidobacteria</w:t>
            </w:r>
            <w:proofErr w:type="spellEnd"/>
          </w:p>
          <w:p w:rsidR="00571E5F" w:rsidRPr="00571E5F" w:rsidRDefault="00571E5F" w:rsidP="00571E5F">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rmala UI Semilight" w:eastAsia="Times New Roman" w:hAnsi="Nirmala UI Semilight" w:cs="Nirmala UI Semilight"/>
                <w:sz w:val="19"/>
                <w:szCs w:val="19"/>
              </w:rPr>
            </w:pPr>
            <w:proofErr w:type="spellStart"/>
            <w:r w:rsidRPr="00571E5F">
              <w:rPr>
                <w:rFonts w:ascii="Nirmala UI Semilight" w:eastAsia="Times New Roman" w:hAnsi="Nirmala UI Semilight" w:cs="Nirmala UI Semilight"/>
                <w:sz w:val="19"/>
                <w:szCs w:val="19"/>
              </w:rPr>
              <w:t>Proteobacteria;Alphaproteobacteria;Rickettsiales;Rickettsiaceae</w:t>
            </w:r>
            <w:proofErr w:type="spellEnd"/>
          </w:p>
          <w:p w:rsidR="00571E5F" w:rsidRPr="00571E5F" w:rsidRDefault="00571E5F" w:rsidP="00571E5F">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rmala UI Semilight" w:eastAsia="Times New Roman" w:hAnsi="Nirmala UI Semilight" w:cs="Nirmala UI Semilight"/>
                <w:sz w:val="19"/>
                <w:szCs w:val="19"/>
              </w:rPr>
            </w:pPr>
            <w:proofErr w:type="spellStart"/>
            <w:r w:rsidRPr="00571E5F">
              <w:rPr>
                <w:rFonts w:ascii="Nirmala UI Semilight" w:eastAsia="Times New Roman" w:hAnsi="Nirmala UI Semilight" w:cs="Nirmala UI Semilight"/>
                <w:sz w:val="19"/>
                <w:szCs w:val="19"/>
              </w:rPr>
              <w:t>Chlorobi;Chlorobia</w:t>
            </w:r>
            <w:proofErr w:type="spellEnd"/>
          </w:p>
          <w:p w:rsidR="00571E5F" w:rsidRPr="00571E5F" w:rsidRDefault="00571E5F" w:rsidP="00571E5F">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rmala UI Semilight" w:eastAsia="Times New Roman" w:hAnsi="Nirmala UI Semilight" w:cs="Nirmala UI Semilight"/>
                <w:sz w:val="19"/>
                <w:szCs w:val="19"/>
              </w:rPr>
            </w:pPr>
            <w:proofErr w:type="spellStart"/>
            <w:r w:rsidRPr="00571E5F">
              <w:rPr>
                <w:rFonts w:ascii="Nirmala UI Semilight" w:eastAsia="Times New Roman" w:hAnsi="Nirmala UI Semilight" w:cs="Nirmala UI Semilight"/>
                <w:sz w:val="19"/>
                <w:szCs w:val="19"/>
              </w:rPr>
              <w:t>Proteobacteria;Alphaproteobacteria;Rickettsiales;Rickettsiaceae</w:t>
            </w:r>
            <w:proofErr w:type="spellEnd"/>
          </w:p>
        </w:tc>
        <w:tc>
          <w:tcPr>
            <w:tcW w:w="5855" w:type="dxa"/>
          </w:tcPr>
          <w:p w:rsidR="00571E5F" w:rsidRPr="00571E5F" w:rsidRDefault="00571E5F" w:rsidP="00571E5F">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rmala UI Semilight" w:eastAsia="Times New Roman" w:hAnsi="Nirmala UI Semilight" w:cs="Nirmala UI Semilight"/>
                <w:sz w:val="19"/>
                <w:szCs w:val="19"/>
              </w:rPr>
            </w:pPr>
            <w:proofErr w:type="spellStart"/>
            <w:r w:rsidRPr="00571E5F">
              <w:rPr>
                <w:rFonts w:ascii="Nirmala UI Semilight" w:eastAsia="Times New Roman" w:hAnsi="Nirmala UI Semilight" w:cs="Nirmala UI Semilight"/>
                <w:sz w:val="19"/>
                <w:szCs w:val="19"/>
              </w:rPr>
              <w:t>Acidobacteria;Holophagae;Holophagales;Holophagaceae</w:t>
            </w:r>
            <w:proofErr w:type="spellEnd"/>
          </w:p>
          <w:p w:rsidR="00571E5F" w:rsidRPr="00571E5F" w:rsidRDefault="00571E5F" w:rsidP="00571E5F">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rmala UI Semilight" w:eastAsia="Times New Roman" w:hAnsi="Nirmala UI Semilight" w:cs="Nirmala UI Semilight"/>
                <w:sz w:val="19"/>
                <w:szCs w:val="19"/>
              </w:rPr>
            </w:pPr>
            <w:proofErr w:type="spellStart"/>
            <w:r w:rsidRPr="00571E5F">
              <w:rPr>
                <w:rFonts w:ascii="Nirmala UI Semilight" w:eastAsia="Times New Roman" w:hAnsi="Nirmala UI Semilight" w:cs="Nirmala UI Semilight"/>
                <w:sz w:val="19"/>
                <w:szCs w:val="19"/>
              </w:rPr>
              <w:t>Acidobacteria</w:t>
            </w:r>
            <w:proofErr w:type="spellEnd"/>
          </w:p>
          <w:p w:rsidR="00571E5F" w:rsidRPr="00571E5F" w:rsidRDefault="00571E5F" w:rsidP="00571E5F">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rmala UI Semilight" w:eastAsia="Times New Roman" w:hAnsi="Nirmala UI Semilight" w:cs="Nirmala UI Semilight"/>
                <w:sz w:val="19"/>
                <w:szCs w:val="19"/>
              </w:rPr>
            </w:pPr>
            <w:r w:rsidRPr="00571E5F">
              <w:rPr>
                <w:rFonts w:ascii="Nirmala UI Semilight" w:eastAsia="Times New Roman" w:hAnsi="Nirmala UI Semilight" w:cs="Nirmala UI Semilight"/>
                <w:sz w:val="19"/>
                <w:szCs w:val="19"/>
              </w:rPr>
              <w:t>Proteobacteria;Betaproteobacteria;Burkholderiales;betII;Pnec;PnecC</w:t>
            </w:r>
          </w:p>
          <w:p w:rsidR="00571E5F" w:rsidRPr="00571E5F" w:rsidRDefault="00571E5F" w:rsidP="00571E5F">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rmala UI Semilight" w:eastAsia="Times New Roman" w:hAnsi="Nirmala UI Semilight" w:cs="Nirmala UI Semilight"/>
                <w:sz w:val="19"/>
                <w:szCs w:val="19"/>
              </w:rPr>
            </w:pPr>
            <w:proofErr w:type="spellStart"/>
            <w:r w:rsidRPr="00571E5F">
              <w:rPr>
                <w:rFonts w:ascii="Nirmala UI Semilight" w:eastAsia="Times New Roman" w:hAnsi="Nirmala UI Semilight" w:cs="Nirmala UI Semilight"/>
                <w:sz w:val="19"/>
                <w:szCs w:val="19"/>
              </w:rPr>
              <w:t>Proteobacteria;Betaproteobacteria;Methylophilales</w:t>
            </w:r>
            <w:proofErr w:type="spellEnd"/>
          </w:p>
          <w:p w:rsidR="00571E5F" w:rsidRPr="00571E5F" w:rsidRDefault="00571E5F" w:rsidP="00571E5F">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rmala UI Semilight" w:eastAsia="Times New Roman" w:hAnsi="Nirmala UI Semilight" w:cs="Nirmala UI Semilight"/>
                <w:sz w:val="19"/>
                <w:szCs w:val="19"/>
              </w:rPr>
            </w:pPr>
            <w:r w:rsidRPr="00571E5F">
              <w:rPr>
                <w:rFonts w:ascii="Nirmala UI Semilight" w:eastAsia="Times New Roman" w:hAnsi="Nirmala UI Semilight" w:cs="Nirmala UI Semilight"/>
                <w:sz w:val="19"/>
                <w:szCs w:val="19"/>
              </w:rPr>
              <w:t>Verrucomicrobia;Pedosphaerae;Pedosphaerales;Ellin515</w:t>
            </w:r>
          </w:p>
          <w:p w:rsidR="00571E5F" w:rsidRPr="00571E5F" w:rsidRDefault="00571E5F" w:rsidP="00571E5F">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rmala UI Semilight" w:eastAsia="Times New Roman" w:hAnsi="Nirmala UI Semilight" w:cs="Nirmala UI Semilight"/>
                <w:sz w:val="19"/>
                <w:szCs w:val="19"/>
              </w:rPr>
            </w:pPr>
            <w:proofErr w:type="spellStart"/>
            <w:r w:rsidRPr="00571E5F">
              <w:rPr>
                <w:rFonts w:ascii="Nirmala UI Semilight" w:eastAsia="Times New Roman" w:hAnsi="Nirmala UI Semilight" w:cs="Nirmala UI Semilight"/>
                <w:sz w:val="19"/>
                <w:szCs w:val="19"/>
              </w:rPr>
              <w:t>Proteobacteria;Betaproteobacteria</w:t>
            </w:r>
            <w:proofErr w:type="spellEnd"/>
          </w:p>
          <w:p w:rsidR="00571E5F" w:rsidRPr="00571E5F" w:rsidRDefault="00571E5F" w:rsidP="00571E5F">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rmala UI Semilight" w:eastAsia="Times New Roman" w:hAnsi="Nirmala UI Semilight" w:cs="Nirmala UI Semilight"/>
                <w:sz w:val="19"/>
                <w:szCs w:val="19"/>
              </w:rPr>
            </w:pPr>
            <w:r w:rsidRPr="00571E5F">
              <w:rPr>
                <w:rFonts w:ascii="Nirmala UI Semilight" w:eastAsia="Times New Roman" w:hAnsi="Nirmala UI Semilight" w:cs="Nirmala UI Semilight"/>
                <w:sz w:val="19"/>
                <w:szCs w:val="19"/>
              </w:rPr>
              <w:t>Proteobacteria;Deltaproteobacteria;Desulfobacterales;Desulfobulbaceae;Desulfobulbus</w:t>
            </w:r>
          </w:p>
          <w:p w:rsidR="00571E5F" w:rsidRPr="00571E5F" w:rsidRDefault="00571E5F" w:rsidP="00571E5F">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rmala UI Semilight" w:eastAsia="Times New Roman" w:hAnsi="Nirmala UI Semilight" w:cs="Nirmala UI Semilight"/>
                <w:sz w:val="19"/>
                <w:szCs w:val="19"/>
              </w:rPr>
            </w:pPr>
            <w:r w:rsidRPr="00571E5F">
              <w:rPr>
                <w:rFonts w:ascii="Nirmala UI Semilight" w:eastAsia="Times New Roman" w:hAnsi="Nirmala UI Semilight" w:cs="Nirmala UI Semilight"/>
                <w:sz w:val="19"/>
                <w:szCs w:val="19"/>
              </w:rPr>
              <w:t>Proteobacteria;Betaproteobacteria;Burkholderiales;betI;betI-B;Rhodo</w:t>
            </w:r>
          </w:p>
          <w:p w:rsidR="00571E5F" w:rsidRPr="00571E5F" w:rsidRDefault="00571E5F" w:rsidP="00571E5F">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rmala UI Semilight" w:eastAsia="Times New Roman" w:hAnsi="Nirmala UI Semilight" w:cs="Nirmala UI Semilight"/>
                <w:sz w:val="19"/>
                <w:szCs w:val="19"/>
              </w:rPr>
            </w:pPr>
            <w:r w:rsidRPr="00571E5F">
              <w:rPr>
                <w:rFonts w:ascii="Nirmala UI Semilight" w:eastAsia="Times New Roman" w:hAnsi="Nirmala UI Semilight" w:cs="Nirmala UI Semilight"/>
                <w:sz w:val="19"/>
                <w:szCs w:val="19"/>
              </w:rPr>
              <w:t>Proteobacteria;Betaproteobacteria;Methylophilales;Methylophilaceae</w:t>
            </w:r>
          </w:p>
          <w:p w:rsidR="00571E5F" w:rsidRPr="00571E5F" w:rsidRDefault="00571E5F" w:rsidP="00571E5F">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rmala UI Semilight" w:eastAsia="Times New Roman" w:hAnsi="Nirmala UI Semilight" w:cs="Nirmala UI Semilight"/>
                <w:sz w:val="19"/>
                <w:szCs w:val="19"/>
              </w:rPr>
            </w:pPr>
            <w:r w:rsidRPr="00571E5F">
              <w:rPr>
                <w:rFonts w:ascii="Nirmala UI Semilight" w:eastAsia="Times New Roman" w:hAnsi="Nirmala UI Semilight" w:cs="Nirmala UI Semilight"/>
                <w:sz w:val="19"/>
                <w:szCs w:val="19"/>
              </w:rPr>
              <w:t>Proteobacteria;Deltaproteobacteria;Desulfobacterales;Desulfobulbaceae</w:t>
            </w:r>
          </w:p>
        </w:tc>
      </w:tr>
      <w:tr w:rsidR="00571E5F" w:rsidTr="00571E5F">
        <w:tc>
          <w:tcPr>
            <w:tcW w:w="5935" w:type="dxa"/>
            <w:shd w:val="clear" w:color="auto" w:fill="E7E6E6" w:themeFill="background2"/>
          </w:tcPr>
          <w:p w:rsidR="00571E5F" w:rsidRPr="00571E5F" w:rsidRDefault="00571E5F" w:rsidP="00571E5F">
            <w:pPr>
              <w:jc w:val="center"/>
              <w:rPr>
                <w:b/>
                <w:sz w:val="20"/>
                <w:szCs w:val="20"/>
              </w:rPr>
            </w:pPr>
            <w:r w:rsidRPr="00571E5F">
              <w:rPr>
                <w:rFonts w:ascii="Nirmala UI Semilight" w:hAnsi="Nirmala UI Semilight" w:cs="Nirmala UI Semilight"/>
                <w:b/>
                <w:sz w:val="20"/>
                <w:szCs w:val="20"/>
              </w:rPr>
              <w:t xml:space="preserve">Meromictic </w:t>
            </w:r>
            <w:proofErr w:type="spellStart"/>
            <w:r w:rsidRPr="00571E5F">
              <w:rPr>
                <w:rFonts w:ascii="Nirmala UI Semilight" w:hAnsi="Nirmala UI Semilight" w:cs="Nirmala UI Semilight"/>
                <w:b/>
                <w:sz w:val="20"/>
                <w:szCs w:val="20"/>
              </w:rPr>
              <w:t>epilimnia</w:t>
            </w:r>
            <w:proofErr w:type="spellEnd"/>
          </w:p>
        </w:tc>
        <w:tc>
          <w:tcPr>
            <w:tcW w:w="5855" w:type="dxa"/>
            <w:shd w:val="clear" w:color="auto" w:fill="E7E6E6" w:themeFill="background2"/>
          </w:tcPr>
          <w:p w:rsidR="00571E5F" w:rsidRPr="00571E5F" w:rsidRDefault="00571E5F" w:rsidP="00571E5F">
            <w:pPr>
              <w:jc w:val="center"/>
              <w:rPr>
                <w:b/>
                <w:sz w:val="20"/>
                <w:szCs w:val="20"/>
              </w:rPr>
            </w:pPr>
            <w:r w:rsidRPr="00571E5F">
              <w:rPr>
                <w:rFonts w:ascii="Nirmala UI Semilight" w:hAnsi="Nirmala UI Semilight" w:cs="Nirmala UI Semilight"/>
                <w:b/>
                <w:sz w:val="20"/>
                <w:szCs w:val="20"/>
              </w:rPr>
              <w:t xml:space="preserve">Meromictic </w:t>
            </w:r>
            <w:proofErr w:type="spellStart"/>
            <w:r w:rsidRPr="00571E5F">
              <w:rPr>
                <w:rFonts w:ascii="Nirmala UI Semilight" w:hAnsi="Nirmala UI Semilight" w:cs="Nirmala UI Semilight"/>
                <w:b/>
                <w:sz w:val="20"/>
                <w:szCs w:val="20"/>
              </w:rPr>
              <w:t>hypolimnia</w:t>
            </w:r>
            <w:proofErr w:type="spellEnd"/>
          </w:p>
        </w:tc>
      </w:tr>
      <w:tr w:rsidR="00571E5F" w:rsidTr="00571E5F">
        <w:tc>
          <w:tcPr>
            <w:tcW w:w="5935" w:type="dxa"/>
          </w:tcPr>
          <w:p w:rsidR="00571E5F" w:rsidRPr="00571E5F" w:rsidRDefault="00571E5F" w:rsidP="00571E5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rmala UI Semilight" w:eastAsia="Times New Roman" w:hAnsi="Nirmala UI Semilight" w:cs="Nirmala UI Semilight"/>
                <w:sz w:val="19"/>
                <w:szCs w:val="19"/>
              </w:rPr>
            </w:pPr>
            <w:proofErr w:type="spellStart"/>
            <w:r w:rsidRPr="00571E5F">
              <w:rPr>
                <w:rFonts w:ascii="Nirmala UI Semilight" w:eastAsia="Times New Roman" w:hAnsi="Nirmala UI Semilight" w:cs="Nirmala UI Semilight"/>
                <w:sz w:val="19"/>
                <w:szCs w:val="19"/>
              </w:rPr>
              <w:t>Planctomycetes</w:t>
            </w:r>
            <w:proofErr w:type="spellEnd"/>
          </w:p>
          <w:p w:rsidR="00571E5F" w:rsidRPr="00571E5F" w:rsidRDefault="00571E5F" w:rsidP="00571E5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rmala UI Semilight" w:eastAsia="Times New Roman" w:hAnsi="Nirmala UI Semilight" w:cs="Nirmala UI Semilight"/>
                <w:sz w:val="19"/>
                <w:szCs w:val="19"/>
              </w:rPr>
            </w:pPr>
            <w:r w:rsidRPr="00571E5F">
              <w:rPr>
                <w:rFonts w:ascii="Nirmala UI Semilight" w:eastAsia="Times New Roman" w:hAnsi="Nirmala UI Semilight" w:cs="Nirmala UI Semilight"/>
                <w:sz w:val="19"/>
                <w:szCs w:val="19"/>
              </w:rPr>
              <w:t>Actinobacteria;Actinobacteria;Actinomycetales;acTH2</w:t>
            </w:r>
          </w:p>
          <w:p w:rsidR="00571E5F" w:rsidRPr="00571E5F" w:rsidRDefault="00571E5F" w:rsidP="00571E5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rmala UI Semilight" w:eastAsia="Times New Roman" w:hAnsi="Nirmala UI Semilight" w:cs="Nirmala UI Semilight"/>
                <w:sz w:val="19"/>
                <w:szCs w:val="19"/>
              </w:rPr>
            </w:pPr>
            <w:r w:rsidRPr="00571E5F">
              <w:rPr>
                <w:rFonts w:ascii="Nirmala UI Semilight" w:eastAsia="Times New Roman" w:hAnsi="Nirmala UI Semilight" w:cs="Nirmala UI Semilight"/>
                <w:sz w:val="19"/>
                <w:szCs w:val="19"/>
              </w:rPr>
              <w:t>Proteobacteria;Betaproteobacteria;Burkholderiales;betI;betI-A;Lhab-A11</w:t>
            </w:r>
          </w:p>
          <w:p w:rsidR="00571E5F" w:rsidRPr="00571E5F" w:rsidRDefault="00571E5F" w:rsidP="00571E5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rmala UI Semilight" w:eastAsia="Times New Roman" w:hAnsi="Nirmala UI Semilight" w:cs="Nirmala UI Semilight"/>
                <w:sz w:val="19"/>
                <w:szCs w:val="19"/>
              </w:rPr>
            </w:pPr>
            <w:r w:rsidRPr="00571E5F">
              <w:rPr>
                <w:rFonts w:ascii="Nirmala UI Semilight" w:eastAsia="Times New Roman" w:hAnsi="Nirmala UI Semilight" w:cs="Nirmala UI Semilight"/>
                <w:sz w:val="19"/>
                <w:szCs w:val="19"/>
              </w:rPr>
              <w:t>Actinobacteria;Actinobacteria;Actinomycetales;acI;acI-A;acI-A6</w:t>
            </w:r>
          </w:p>
          <w:p w:rsidR="00571E5F" w:rsidRPr="00571E5F" w:rsidRDefault="00571E5F" w:rsidP="00571E5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rmala UI Semilight" w:eastAsia="Times New Roman" w:hAnsi="Nirmala UI Semilight" w:cs="Nirmala UI Semilight"/>
                <w:sz w:val="19"/>
                <w:szCs w:val="19"/>
              </w:rPr>
            </w:pPr>
            <w:r w:rsidRPr="00571E5F">
              <w:rPr>
                <w:rFonts w:ascii="Nirmala UI Semilight" w:eastAsia="Times New Roman" w:hAnsi="Nirmala UI Semilight" w:cs="Nirmala UI Semilight"/>
                <w:sz w:val="19"/>
                <w:szCs w:val="19"/>
              </w:rPr>
              <w:t>Proteobacteria;Alphaproteobacteria;Rhizobiales;alfI;alfI-B;alfI-B21</w:t>
            </w:r>
          </w:p>
          <w:p w:rsidR="00571E5F" w:rsidRPr="00571E5F" w:rsidRDefault="00571E5F" w:rsidP="00571E5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rmala UI Semilight" w:eastAsia="Times New Roman" w:hAnsi="Nirmala UI Semilight" w:cs="Nirmala UI Semilight"/>
                <w:sz w:val="19"/>
                <w:szCs w:val="19"/>
              </w:rPr>
            </w:pPr>
            <w:r w:rsidRPr="00571E5F">
              <w:rPr>
                <w:rFonts w:ascii="Nirmala UI Semilight" w:eastAsia="Times New Roman" w:hAnsi="Nirmala UI Semilight" w:cs="Nirmala UI Semilight"/>
                <w:sz w:val="19"/>
                <w:szCs w:val="19"/>
              </w:rPr>
              <w:t>Proteobacteria;Betaproteobacteria;Burkholderiales;betIII;betIII-A;betIII-A1</w:t>
            </w:r>
          </w:p>
          <w:p w:rsidR="00571E5F" w:rsidRPr="00571E5F" w:rsidRDefault="00571E5F" w:rsidP="00571E5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rmala UI Semilight" w:eastAsia="Times New Roman" w:hAnsi="Nirmala UI Semilight" w:cs="Nirmala UI Semilight"/>
                <w:sz w:val="19"/>
                <w:szCs w:val="19"/>
              </w:rPr>
            </w:pPr>
            <w:proofErr w:type="spellStart"/>
            <w:r w:rsidRPr="00571E5F">
              <w:rPr>
                <w:rFonts w:ascii="Nirmala UI Semilight" w:eastAsia="Times New Roman" w:hAnsi="Nirmala UI Semilight" w:cs="Nirmala UI Semilight"/>
                <w:sz w:val="19"/>
                <w:szCs w:val="19"/>
              </w:rPr>
              <w:t>Actinobacteria;Actinobacteria;Actinomycetales;acI;acI-A</w:t>
            </w:r>
            <w:proofErr w:type="spellEnd"/>
          </w:p>
          <w:p w:rsidR="00571E5F" w:rsidRPr="00571E5F" w:rsidRDefault="00571E5F" w:rsidP="00571E5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rmala UI Semilight" w:eastAsia="Times New Roman" w:hAnsi="Nirmala UI Semilight" w:cs="Nirmala UI Semilight"/>
                <w:sz w:val="19"/>
                <w:szCs w:val="19"/>
              </w:rPr>
            </w:pPr>
            <w:r w:rsidRPr="00571E5F">
              <w:rPr>
                <w:rFonts w:ascii="Nirmala UI Semilight" w:eastAsia="Times New Roman" w:hAnsi="Nirmala UI Semilight" w:cs="Nirmala UI Semilight"/>
                <w:sz w:val="19"/>
                <w:szCs w:val="19"/>
              </w:rPr>
              <w:t>Proteobacteria;Gammaproteobacteria;Xanthomonadales;Sinobacteraceae</w:t>
            </w:r>
          </w:p>
          <w:p w:rsidR="00571E5F" w:rsidRPr="00571E5F" w:rsidRDefault="00571E5F" w:rsidP="00571E5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rmala UI Semilight" w:eastAsia="Times New Roman" w:hAnsi="Nirmala UI Semilight" w:cs="Nirmala UI Semilight"/>
                <w:sz w:val="19"/>
                <w:szCs w:val="19"/>
              </w:rPr>
            </w:pPr>
            <w:proofErr w:type="spellStart"/>
            <w:r w:rsidRPr="00571E5F">
              <w:rPr>
                <w:rFonts w:ascii="Nirmala UI Semilight" w:eastAsia="Times New Roman" w:hAnsi="Nirmala UI Semilight" w:cs="Nirmala UI Semilight"/>
                <w:sz w:val="19"/>
                <w:szCs w:val="19"/>
              </w:rPr>
              <w:t>Proteobacteria;Alphaproteobacteria;Rickettsiales</w:t>
            </w:r>
            <w:proofErr w:type="spellEnd"/>
          </w:p>
          <w:p w:rsidR="00571E5F" w:rsidRPr="00571E5F" w:rsidRDefault="00571E5F" w:rsidP="00571E5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rmala UI Semilight" w:eastAsia="Times New Roman" w:hAnsi="Nirmala UI Semilight" w:cs="Nirmala UI Semilight"/>
                <w:sz w:val="19"/>
                <w:szCs w:val="19"/>
              </w:rPr>
            </w:pPr>
            <w:r w:rsidRPr="00571E5F">
              <w:rPr>
                <w:rFonts w:ascii="Nirmala UI Semilight" w:eastAsia="Times New Roman" w:hAnsi="Nirmala UI Semilight" w:cs="Nirmala UI Semilight"/>
                <w:sz w:val="19"/>
                <w:szCs w:val="19"/>
              </w:rPr>
              <w:t>Proteobacteria;Betaproteobacteria;Burkholderiales;betI;betI-A;Lhab-A1</w:t>
            </w:r>
          </w:p>
        </w:tc>
        <w:tc>
          <w:tcPr>
            <w:tcW w:w="5855" w:type="dxa"/>
          </w:tcPr>
          <w:p w:rsidR="00571E5F" w:rsidRPr="00571E5F" w:rsidRDefault="00571E5F" w:rsidP="00571E5F">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rmala UI Semilight" w:eastAsia="Times New Roman" w:hAnsi="Nirmala UI Semilight" w:cs="Nirmala UI Semilight"/>
                <w:sz w:val="19"/>
                <w:szCs w:val="19"/>
              </w:rPr>
            </w:pPr>
            <w:proofErr w:type="spellStart"/>
            <w:r w:rsidRPr="00571E5F">
              <w:rPr>
                <w:rFonts w:ascii="Nirmala UI Semilight" w:eastAsia="Times New Roman" w:hAnsi="Nirmala UI Semilight" w:cs="Nirmala UI Semilight"/>
                <w:sz w:val="19"/>
                <w:szCs w:val="19"/>
              </w:rPr>
              <w:t>Proteobacteria;Deltaproteobacteria;Syntrophobacterales</w:t>
            </w:r>
            <w:proofErr w:type="spellEnd"/>
          </w:p>
          <w:p w:rsidR="00571E5F" w:rsidRPr="00571E5F" w:rsidRDefault="00571E5F" w:rsidP="00571E5F">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rmala UI Semilight" w:eastAsia="Times New Roman" w:hAnsi="Nirmala UI Semilight" w:cs="Nirmala UI Semilight"/>
                <w:sz w:val="19"/>
                <w:szCs w:val="19"/>
              </w:rPr>
            </w:pPr>
            <w:r w:rsidRPr="00571E5F">
              <w:rPr>
                <w:rFonts w:ascii="Nirmala UI Semilight" w:eastAsia="Times New Roman" w:hAnsi="Nirmala UI Semilight" w:cs="Nirmala UI Semilight"/>
                <w:sz w:val="19"/>
                <w:szCs w:val="19"/>
              </w:rPr>
              <w:t>Proteobacteria;Deltaproteobacteria;Syntrophobacterales;Syntrophaceae</w:t>
            </w:r>
          </w:p>
          <w:p w:rsidR="00571E5F" w:rsidRPr="00571E5F" w:rsidRDefault="00571E5F" w:rsidP="00571E5F">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rmala UI Semilight" w:eastAsia="Times New Roman" w:hAnsi="Nirmala UI Semilight" w:cs="Nirmala UI Semilight"/>
                <w:sz w:val="19"/>
                <w:szCs w:val="19"/>
              </w:rPr>
            </w:pPr>
            <w:r w:rsidRPr="00571E5F">
              <w:rPr>
                <w:rFonts w:ascii="Nirmala UI Semilight" w:eastAsia="Times New Roman" w:hAnsi="Nirmala UI Semilight" w:cs="Nirmala UI Semilight"/>
                <w:sz w:val="19"/>
                <w:szCs w:val="19"/>
              </w:rPr>
              <w:t>OP3;BD4-9</w:t>
            </w:r>
          </w:p>
          <w:p w:rsidR="00571E5F" w:rsidRPr="00571E5F" w:rsidRDefault="00571E5F" w:rsidP="00571E5F">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rmala UI Semilight" w:eastAsia="Times New Roman" w:hAnsi="Nirmala UI Semilight" w:cs="Nirmala UI Semilight"/>
                <w:sz w:val="19"/>
                <w:szCs w:val="19"/>
              </w:rPr>
            </w:pPr>
            <w:r w:rsidRPr="00571E5F">
              <w:rPr>
                <w:rFonts w:ascii="Nirmala UI Semilight" w:eastAsia="Times New Roman" w:hAnsi="Nirmala UI Semilight" w:cs="Nirmala UI Semilight"/>
                <w:sz w:val="19"/>
                <w:szCs w:val="19"/>
              </w:rPr>
              <w:t>OP3</w:t>
            </w:r>
          </w:p>
          <w:p w:rsidR="00571E5F" w:rsidRPr="00571E5F" w:rsidRDefault="00571E5F" w:rsidP="00571E5F">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rmala UI Semilight" w:eastAsia="Times New Roman" w:hAnsi="Nirmala UI Semilight" w:cs="Nirmala UI Semilight"/>
                <w:sz w:val="19"/>
                <w:szCs w:val="19"/>
              </w:rPr>
            </w:pPr>
            <w:r w:rsidRPr="00571E5F">
              <w:rPr>
                <w:rFonts w:ascii="Nirmala UI Semilight" w:eastAsia="Times New Roman" w:hAnsi="Nirmala UI Semilight" w:cs="Nirmala UI Semilight"/>
                <w:sz w:val="19"/>
                <w:szCs w:val="19"/>
              </w:rPr>
              <w:t>Verrucomicrobia;Verruco-5;WCHB1-41</w:t>
            </w:r>
          </w:p>
          <w:p w:rsidR="00571E5F" w:rsidRPr="00571E5F" w:rsidRDefault="00571E5F" w:rsidP="00571E5F">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rmala UI Semilight" w:eastAsia="Times New Roman" w:hAnsi="Nirmala UI Semilight" w:cs="Nirmala UI Semilight"/>
                <w:sz w:val="19"/>
                <w:szCs w:val="19"/>
              </w:rPr>
            </w:pPr>
            <w:r w:rsidRPr="00571E5F">
              <w:rPr>
                <w:rFonts w:ascii="Nirmala UI Semilight" w:eastAsia="Times New Roman" w:hAnsi="Nirmala UI Semilight" w:cs="Nirmala UI Semilight"/>
                <w:sz w:val="19"/>
                <w:szCs w:val="19"/>
              </w:rPr>
              <w:t>Proteobacteria;Deltaproteobacteria;Desulfobacterales;Desulfobacteraceae</w:t>
            </w:r>
          </w:p>
          <w:p w:rsidR="00571E5F" w:rsidRPr="00571E5F" w:rsidRDefault="00571E5F" w:rsidP="00571E5F">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rmala UI Semilight" w:eastAsia="Times New Roman" w:hAnsi="Nirmala UI Semilight" w:cs="Nirmala UI Semilight"/>
                <w:sz w:val="19"/>
                <w:szCs w:val="19"/>
              </w:rPr>
            </w:pPr>
            <w:proofErr w:type="spellStart"/>
            <w:r w:rsidRPr="00571E5F">
              <w:rPr>
                <w:rFonts w:ascii="Nirmala UI Semilight" w:eastAsia="Times New Roman" w:hAnsi="Nirmala UI Semilight" w:cs="Nirmala UI Semilight"/>
                <w:sz w:val="19"/>
                <w:szCs w:val="19"/>
              </w:rPr>
              <w:t>Planctomycetes</w:t>
            </w:r>
            <w:proofErr w:type="spellEnd"/>
          </w:p>
          <w:p w:rsidR="00571E5F" w:rsidRPr="00571E5F" w:rsidRDefault="00571E5F" w:rsidP="00571E5F">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rmala UI Semilight" w:eastAsia="Times New Roman" w:hAnsi="Nirmala UI Semilight" w:cs="Nirmala UI Semilight"/>
                <w:sz w:val="19"/>
                <w:szCs w:val="19"/>
              </w:rPr>
            </w:pPr>
            <w:proofErr w:type="spellStart"/>
            <w:r w:rsidRPr="00571E5F">
              <w:rPr>
                <w:rFonts w:ascii="Nirmala UI Semilight" w:eastAsia="Times New Roman" w:hAnsi="Nirmala UI Semilight" w:cs="Nirmala UI Semilight"/>
                <w:sz w:val="19"/>
                <w:szCs w:val="19"/>
              </w:rPr>
              <w:t>Archaea;Parvarchaeota</w:t>
            </w:r>
            <w:proofErr w:type="spellEnd"/>
          </w:p>
          <w:p w:rsidR="00571E5F" w:rsidRPr="00571E5F" w:rsidRDefault="00571E5F" w:rsidP="00571E5F">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rmala UI Semilight" w:eastAsia="Times New Roman" w:hAnsi="Nirmala UI Semilight" w:cs="Nirmala UI Semilight"/>
                <w:sz w:val="19"/>
                <w:szCs w:val="19"/>
              </w:rPr>
            </w:pPr>
            <w:r w:rsidRPr="00571E5F">
              <w:rPr>
                <w:rFonts w:ascii="Nirmala UI Semilight" w:eastAsia="Times New Roman" w:hAnsi="Nirmala UI Semilight" w:cs="Nirmala UI Semilight"/>
                <w:sz w:val="19"/>
                <w:szCs w:val="19"/>
              </w:rPr>
              <w:t>Verrucomicrobia;Verruco-5</w:t>
            </w:r>
          </w:p>
          <w:p w:rsidR="00571E5F" w:rsidRPr="00571E5F" w:rsidRDefault="00571E5F" w:rsidP="00571E5F">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irmala UI Semilight" w:eastAsia="Times New Roman" w:hAnsi="Nirmala UI Semilight" w:cs="Nirmala UI Semilight"/>
                <w:sz w:val="19"/>
                <w:szCs w:val="19"/>
              </w:rPr>
            </w:pPr>
            <w:r w:rsidRPr="00571E5F">
              <w:rPr>
                <w:rFonts w:ascii="Nirmala UI Semilight" w:eastAsia="Times New Roman" w:hAnsi="Nirmala UI Semilight" w:cs="Nirmala UI Semilight"/>
                <w:sz w:val="19"/>
                <w:szCs w:val="19"/>
              </w:rPr>
              <w:t>OP8;OP8_1</w:t>
            </w:r>
          </w:p>
        </w:tc>
      </w:tr>
    </w:tbl>
    <w:p w:rsidR="00AC68E3" w:rsidRDefault="00AC68E3" w:rsidP="000D4BB0">
      <w:pPr>
        <w:spacing w:line="480" w:lineRule="auto"/>
        <w:jc w:val="both"/>
      </w:pPr>
    </w:p>
    <w:p w:rsidR="00571E5F" w:rsidRDefault="00571E5F" w:rsidP="000D4BB0">
      <w:pPr>
        <w:spacing w:line="480" w:lineRule="auto"/>
        <w:jc w:val="both"/>
      </w:pPr>
    </w:p>
    <w:p w:rsidR="000F6E66" w:rsidRDefault="000F6E66" w:rsidP="000F6E66">
      <w:pPr>
        <w:spacing w:line="240" w:lineRule="auto"/>
        <w:jc w:val="center"/>
        <w:rPr>
          <w:b/>
        </w:rPr>
      </w:pPr>
      <w:r>
        <w:rPr>
          <w:b/>
          <w:noProof/>
        </w:rPr>
        <w:lastRenderedPageBreak/>
        <w:drawing>
          <wp:inline distT="0" distB="0" distL="0" distR="0">
            <wp:extent cx="4229100" cy="63639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2.png"/>
                    <pic:cNvPicPr/>
                  </pic:nvPicPr>
                  <pic:blipFill rotWithShape="1">
                    <a:blip r:embed="rId9">
                      <a:extLst>
                        <a:ext uri="{28A0092B-C50C-407E-A947-70E740481C1C}">
                          <a14:useLocalDpi xmlns:a14="http://schemas.microsoft.com/office/drawing/2010/main" val="0"/>
                        </a:ext>
                      </a:extLst>
                    </a:blip>
                    <a:srcRect t="21958" r="3221"/>
                    <a:stretch/>
                  </pic:blipFill>
                  <pic:spPr bwMode="auto">
                    <a:xfrm>
                      <a:off x="0" y="0"/>
                      <a:ext cx="4229724" cy="6364909"/>
                    </a:xfrm>
                    <a:prstGeom prst="rect">
                      <a:avLst/>
                    </a:prstGeom>
                    <a:ln>
                      <a:noFill/>
                    </a:ln>
                    <a:extLst>
                      <a:ext uri="{53640926-AAD7-44D8-BBD7-CCE9431645EC}">
                        <a14:shadowObscured xmlns:a14="http://schemas.microsoft.com/office/drawing/2010/main"/>
                      </a:ext>
                    </a:extLst>
                  </pic:spPr>
                </pic:pic>
              </a:graphicData>
            </a:graphic>
          </wp:inline>
        </w:drawing>
      </w:r>
    </w:p>
    <w:p w:rsidR="003B2440" w:rsidRDefault="003B2440" w:rsidP="000F6E66">
      <w:pPr>
        <w:spacing w:line="240" w:lineRule="auto"/>
        <w:jc w:val="both"/>
      </w:pPr>
      <w:r w:rsidRPr="000D4BB0">
        <w:rPr>
          <w:b/>
        </w:rPr>
        <w:t>Figure 2. Phylum-level seasonal trends.</w:t>
      </w:r>
      <w:r>
        <w:t xml:space="preserve"> </w:t>
      </w:r>
      <w:r w:rsidR="000D4BB0">
        <w:t xml:space="preserve">The proportion of </w:t>
      </w:r>
      <w:proofErr w:type="spellStart"/>
      <w:r w:rsidR="000D4BB0">
        <w:t>Proteobacteria</w:t>
      </w:r>
      <w:proofErr w:type="spellEnd"/>
      <w:r w:rsidR="000D4BB0">
        <w:t xml:space="preserve"> is highest in winter, early spring, and fall, but decreases during the stratified summer months. Most other phyla show the opposite trend. Because this is based on relative abundance data, this trend likely reflects the observed increase in biodiversity with time, and adds that members of </w:t>
      </w:r>
      <w:proofErr w:type="spellStart"/>
      <w:r w:rsidR="000D4BB0">
        <w:t>Proteobacteria</w:t>
      </w:r>
      <w:proofErr w:type="spellEnd"/>
      <w:r w:rsidR="000D4BB0">
        <w:t xml:space="preserve"> are even more dominant when bog lakes are not stratified.</w:t>
      </w:r>
    </w:p>
    <w:p w:rsidR="003B2440" w:rsidRDefault="003B2440" w:rsidP="000D4BB0">
      <w:pPr>
        <w:spacing w:line="480" w:lineRule="auto"/>
        <w:jc w:val="both"/>
      </w:pPr>
    </w:p>
    <w:p w:rsidR="003B2440" w:rsidRPr="003B2440" w:rsidRDefault="003B2440" w:rsidP="000D4BB0">
      <w:pPr>
        <w:spacing w:line="480" w:lineRule="auto"/>
        <w:ind w:firstLine="720"/>
        <w:jc w:val="both"/>
      </w:pPr>
      <w:r>
        <w:lastRenderedPageBreak/>
        <w:t>However, seasonal trends break</w:t>
      </w:r>
      <w:r w:rsidR="00AA6F0D">
        <w:t xml:space="preserve"> </w:t>
      </w:r>
      <w:r>
        <w:t xml:space="preserve">down at lower taxonomic levels. </w:t>
      </w:r>
      <w:r w:rsidR="00AE2E3F">
        <w:t xml:space="preserve">In other aquatic ecosystems, </w:t>
      </w:r>
      <w:r w:rsidR="00AA6F0D">
        <w:t>OTUs show repeatable trends in abundance each year</w:t>
      </w:r>
      <w:r w:rsidR="00AE2E3F">
        <w:t>, resulting in high s</w:t>
      </w:r>
      <w:r w:rsidR="00AA6F0D">
        <w:t>imilarity between samples collect during the same season but different years</w:t>
      </w:r>
      <w:r w:rsidR="00AE2E3F">
        <w:t xml:space="preserve">. This is frequently depicted by plotting a beta diversity metric such as </w:t>
      </w:r>
      <w:proofErr w:type="spellStart"/>
      <w:r w:rsidR="00AE2E3F">
        <w:t>UniFrac</w:t>
      </w:r>
      <w:proofErr w:type="spellEnd"/>
      <w:r w:rsidR="00AE2E3F">
        <w:t xml:space="preserve"> distance between samples versus the time between </w:t>
      </w:r>
      <w:r w:rsidR="00AA6F0D">
        <w:t xml:space="preserve">sample </w:t>
      </w:r>
      <w:proofErr w:type="gramStart"/>
      <w:r w:rsidR="00AA6F0D">
        <w:t>collection</w:t>
      </w:r>
      <w:proofErr w:type="gramEnd"/>
      <w:r w:rsidR="00AA6F0D">
        <w:t xml:space="preserve">. This generally produces </w:t>
      </w:r>
      <w:r w:rsidR="00AE2E3F">
        <w:t>a sine wave-like pattern with decreasing amplitude. When we perform the same analysis on this dataset, we do not see that pattern. Instead, we see similarity decreasing over time in a logarithmic fashion, so that samples close together in time decrease in similarity quickly and that samples taken a year apart are as dissimilar as samples taken four years apart. The only instance of a sine wave-like pattern is observed in Trout Bog, which has increases in similarity at approximately 1 year and 2 years. This pattern is driven by the higher number of fall, winter, and spring samples collected from Trout Bog than from other lakes. Samples from these times of year are more similar from year to year, while samples collected during the summer stratification period do not show annual trends at the OTU level.</w:t>
      </w:r>
    </w:p>
    <w:p w:rsidR="00AE2E3F" w:rsidRDefault="00AE2E3F" w:rsidP="000D4BB0">
      <w:pPr>
        <w:spacing w:line="480" w:lineRule="auto"/>
        <w:jc w:val="both"/>
      </w:pPr>
    </w:p>
    <w:p w:rsidR="00AE2E3F" w:rsidRDefault="00AE2E3F" w:rsidP="000D4BB0">
      <w:pPr>
        <w:spacing w:line="480" w:lineRule="auto"/>
        <w:jc w:val="both"/>
      </w:pPr>
    </w:p>
    <w:p w:rsidR="00AE2E3F" w:rsidRDefault="004B29FE" w:rsidP="000D4BB0">
      <w:pPr>
        <w:spacing w:line="480" w:lineRule="auto"/>
        <w:jc w:val="both"/>
      </w:pPr>
      <w:r>
        <w:rPr>
          <w:noProof/>
        </w:rPr>
        <w:lastRenderedPageBreak/>
        <w:drawing>
          <wp:inline distT="0" distB="0" distL="0" distR="0">
            <wp:extent cx="5943600" cy="62788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278880"/>
                    </a:xfrm>
                    <a:prstGeom prst="rect">
                      <a:avLst/>
                    </a:prstGeom>
                  </pic:spPr>
                </pic:pic>
              </a:graphicData>
            </a:graphic>
          </wp:inline>
        </w:drawing>
      </w:r>
    </w:p>
    <w:p w:rsidR="00AE2E3F" w:rsidRPr="000D4BB0" w:rsidRDefault="00AE2E3F" w:rsidP="006456E8">
      <w:pPr>
        <w:spacing w:line="240" w:lineRule="auto"/>
        <w:jc w:val="both"/>
      </w:pPr>
      <w:r w:rsidRPr="000D4BB0">
        <w:rPr>
          <w:b/>
        </w:rPr>
        <w:t xml:space="preserve">Figure 3. </w:t>
      </w:r>
      <w:r w:rsidR="000D4BB0" w:rsidRPr="000D4BB0">
        <w:rPr>
          <w:b/>
        </w:rPr>
        <w:t xml:space="preserve">Lack of seasonal trends at the OTU level. </w:t>
      </w:r>
      <w:r w:rsidR="006456E8">
        <w:t>Despite strong seasonal climatic factors in the studied systems, repeatable seasonal trends were not observed in community composition at the phylum level. The only increased similarity on annual scales was observed in Trout Bog, where high numbers of fall, winter, and spring samples contribute to this trend.</w:t>
      </w:r>
    </w:p>
    <w:p w:rsidR="00AE2E3F" w:rsidRDefault="00AE2E3F" w:rsidP="000D4BB0">
      <w:pPr>
        <w:spacing w:line="480" w:lineRule="auto"/>
        <w:jc w:val="both"/>
      </w:pPr>
    </w:p>
    <w:p w:rsidR="004B29FE" w:rsidRDefault="004B29FE" w:rsidP="000D4BB0">
      <w:pPr>
        <w:spacing w:line="480" w:lineRule="auto"/>
        <w:jc w:val="both"/>
      </w:pPr>
    </w:p>
    <w:p w:rsidR="00F72F3F" w:rsidRPr="000D4BB0" w:rsidRDefault="00F72F3F" w:rsidP="000D4BB0">
      <w:pPr>
        <w:spacing w:line="480" w:lineRule="auto"/>
        <w:jc w:val="both"/>
        <w:rPr>
          <w:b/>
        </w:rPr>
      </w:pPr>
      <w:r w:rsidRPr="000D4BB0">
        <w:rPr>
          <w:b/>
        </w:rPr>
        <w:lastRenderedPageBreak/>
        <w:t>Trends in specific OTUs do not repeat annually</w:t>
      </w:r>
    </w:p>
    <w:p w:rsidR="00F72F3F" w:rsidRDefault="00F72F3F" w:rsidP="000D4BB0">
      <w:pPr>
        <w:spacing w:line="480" w:lineRule="auto"/>
        <w:jc w:val="both"/>
      </w:pPr>
      <w:r>
        <w:tab/>
        <w:t xml:space="preserve">As suggested by the lack of similarity in community composition between samples taken one year apart, trends in OTU abundance over time do not repeat annually. They do not peak in abundance at consistent times of year or show the same relationship to time each year. OTUs would likely show </w:t>
      </w:r>
      <w:r w:rsidR="00FA453C">
        <w:t>a consistent</w:t>
      </w:r>
      <w:r>
        <w:t xml:space="preserve"> response to mixing events because this is such a large disturbance; however, this dataset does not capture a sufficient number of mixing events to demonstrate this. To further complicate OTU abundances, closely related OTUs have different interaction</w:t>
      </w:r>
      <w:r w:rsidR="00FA453C">
        <w:t>s in different years. We have observed the same OTUs to be strongly correlated in some years while strongly anti-correlated in other years. The reasons for these observations are unclear; with only four years of data, differences between years cannot be linked to climatic factors, events in the surrounding landscape, or changes in nutrient levels. It is also possible that biotic drivers and stochastic community assembly are at play in these ecosystems.</w:t>
      </w:r>
    </w:p>
    <w:p w:rsidR="00FA453C" w:rsidRDefault="00FA453C" w:rsidP="000D4BB0">
      <w:pPr>
        <w:spacing w:line="480" w:lineRule="auto"/>
        <w:jc w:val="both"/>
      </w:pPr>
    </w:p>
    <w:p w:rsidR="000051F9" w:rsidRDefault="000051F9" w:rsidP="006456E8">
      <w:pPr>
        <w:spacing w:line="240" w:lineRule="auto"/>
        <w:jc w:val="both"/>
        <w:rPr>
          <w:b/>
          <w:noProof/>
        </w:rPr>
      </w:pPr>
    </w:p>
    <w:p w:rsidR="000051F9" w:rsidRDefault="000051F9" w:rsidP="006456E8">
      <w:pPr>
        <w:spacing w:line="240" w:lineRule="auto"/>
        <w:jc w:val="both"/>
        <w:rPr>
          <w:b/>
          <w:noProof/>
        </w:rPr>
      </w:pPr>
    </w:p>
    <w:p w:rsidR="000051F9" w:rsidRDefault="000051F9" w:rsidP="006456E8">
      <w:pPr>
        <w:spacing w:line="240" w:lineRule="auto"/>
        <w:jc w:val="both"/>
        <w:rPr>
          <w:b/>
          <w:noProof/>
        </w:rPr>
      </w:pPr>
    </w:p>
    <w:p w:rsidR="000051F9" w:rsidRDefault="000051F9" w:rsidP="006456E8">
      <w:pPr>
        <w:spacing w:line="240" w:lineRule="auto"/>
        <w:jc w:val="both"/>
        <w:rPr>
          <w:b/>
          <w:noProof/>
        </w:rPr>
      </w:pPr>
    </w:p>
    <w:p w:rsidR="000051F9" w:rsidRDefault="000051F9" w:rsidP="006456E8">
      <w:pPr>
        <w:spacing w:line="240" w:lineRule="auto"/>
        <w:jc w:val="both"/>
        <w:rPr>
          <w:b/>
          <w:noProof/>
        </w:rPr>
      </w:pPr>
    </w:p>
    <w:p w:rsidR="000051F9" w:rsidRDefault="000051F9" w:rsidP="006456E8">
      <w:pPr>
        <w:spacing w:line="240" w:lineRule="auto"/>
        <w:jc w:val="both"/>
        <w:rPr>
          <w:b/>
          <w:noProof/>
        </w:rPr>
      </w:pPr>
    </w:p>
    <w:p w:rsidR="000051F9" w:rsidRDefault="000051F9" w:rsidP="006456E8">
      <w:pPr>
        <w:spacing w:line="240" w:lineRule="auto"/>
        <w:jc w:val="both"/>
        <w:rPr>
          <w:b/>
          <w:noProof/>
        </w:rPr>
      </w:pPr>
    </w:p>
    <w:p w:rsidR="000051F9" w:rsidRDefault="000051F9" w:rsidP="006456E8">
      <w:pPr>
        <w:spacing w:line="240" w:lineRule="auto"/>
        <w:jc w:val="both"/>
        <w:rPr>
          <w:b/>
          <w:noProof/>
        </w:rPr>
      </w:pPr>
    </w:p>
    <w:p w:rsidR="000051F9" w:rsidRDefault="000051F9" w:rsidP="006456E8">
      <w:pPr>
        <w:spacing w:line="240" w:lineRule="auto"/>
        <w:jc w:val="both"/>
        <w:rPr>
          <w:b/>
          <w:noProof/>
        </w:rPr>
      </w:pPr>
    </w:p>
    <w:p w:rsidR="000051F9" w:rsidRDefault="000051F9" w:rsidP="006456E8">
      <w:pPr>
        <w:spacing w:line="240" w:lineRule="auto"/>
        <w:jc w:val="both"/>
        <w:rPr>
          <w:b/>
          <w:noProof/>
        </w:rPr>
      </w:pPr>
    </w:p>
    <w:p w:rsidR="000051F9" w:rsidRDefault="000051F9" w:rsidP="006456E8">
      <w:pPr>
        <w:spacing w:line="240" w:lineRule="auto"/>
        <w:jc w:val="both"/>
        <w:rPr>
          <w:b/>
          <w:noProof/>
        </w:rPr>
      </w:pPr>
    </w:p>
    <w:p w:rsidR="000051F9" w:rsidRDefault="000051F9" w:rsidP="006456E8">
      <w:pPr>
        <w:spacing w:line="240" w:lineRule="auto"/>
        <w:jc w:val="both"/>
        <w:rPr>
          <w:b/>
          <w:noProof/>
        </w:rPr>
      </w:pPr>
    </w:p>
    <w:p w:rsidR="000051F9" w:rsidRDefault="000051F9" w:rsidP="006456E8">
      <w:pPr>
        <w:spacing w:line="240" w:lineRule="auto"/>
        <w:jc w:val="both"/>
        <w:rPr>
          <w:b/>
          <w:noProof/>
        </w:rPr>
      </w:pPr>
      <w:r>
        <w:rPr>
          <w:b/>
          <w:noProof/>
        </w:rPr>
        <w:lastRenderedPageBreak/>
        <w:drawing>
          <wp:inline distT="0" distB="0" distL="0" distR="0">
            <wp:extent cx="5479851" cy="6180833"/>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e4A.png"/>
                    <pic:cNvPicPr/>
                  </pic:nvPicPr>
                  <pic:blipFill>
                    <a:blip r:embed="rId11">
                      <a:extLst>
                        <a:ext uri="{28A0092B-C50C-407E-A947-70E740481C1C}">
                          <a14:useLocalDpi xmlns:a14="http://schemas.microsoft.com/office/drawing/2010/main" val="0"/>
                        </a:ext>
                      </a:extLst>
                    </a:blip>
                    <a:stretch>
                      <a:fillRect/>
                    </a:stretch>
                  </pic:blipFill>
                  <pic:spPr>
                    <a:xfrm>
                      <a:off x="0" y="0"/>
                      <a:ext cx="5479851" cy="6180833"/>
                    </a:xfrm>
                    <a:prstGeom prst="rect">
                      <a:avLst/>
                    </a:prstGeom>
                  </pic:spPr>
                </pic:pic>
              </a:graphicData>
            </a:graphic>
          </wp:inline>
        </w:drawing>
      </w:r>
    </w:p>
    <w:p w:rsidR="000051F9" w:rsidRDefault="000051F9" w:rsidP="006456E8">
      <w:pPr>
        <w:spacing w:line="240" w:lineRule="auto"/>
        <w:jc w:val="both"/>
        <w:rPr>
          <w:b/>
          <w:noProof/>
        </w:rPr>
      </w:pPr>
    </w:p>
    <w:p w:rsidR="000051F9" w:rsidRDefault="000051F9" w:rsidP="006456E8">
      <w:pPr>
        <w:spacing w:line="240" w:lineRule="auto"/>
        <w:jc w:val="both"/>
        <w:rPr>
          <w:b/>
          <w:noProof/>
        </w:rPr>
      </w:pPr>
    </w:p>
    <w:p w:rsidR="000051F9" w:rsidRDefault="000051F9" w:rsidP="006456E8">
      <w:pPr>
        <w:spacing w:line="240" w:lineRule="auto"/>
        <w:jc w:val="both"/>
        <w:rPr>
          <w:b/>
          <w:noProof/>
        </w:rPr>
      </w:pPr>
    </w:p>
    <w:p w:rsidR="000051F9" w:rsidRDefault="000051F9" w:rsidP="006456E8">
      <w:pPr>
        <w:spacing w:line="240" w:lineRule="auto"/>
        <w:jc w:val="both"/>
        <w:rPr>
          <w:b/>
          <w:noProof/>
        </w:rPr>
      </w:pPr>
    </w:p>
    <w:p w:rsidR="000051F9" w:rsidRDefault="000051F9" w:rsidP="006456E8">
      <w:pPr>
        <w:spacing w:line="240" w:lineRule="auto"/>
        <w:jc w:val="both"/>
        <w:rPr>
          <w:b/>
          <w:noProof/>
        </w:rPr>
      </w:pPr>
    </w:p>
    <w:p w:rsidR="000051F9" w:rsidRDefault="000051F9" w:rsidP="006456E8">
      <w:pPr>
        <w:spacing w:line="240" w:lineRule="auto"/>
        <w:jc w:val="both"/>
        <w:rPr>
          <w:b/>
          <w:noProof/>
        </w:rPr>
      </w:pPr>
    </w:p>
    <w:p w:rsidR="000051F9" w:rsidRDefault="000051F9" w:rsidP="006456E8">
      <w:pPr>
        <w:spacing w:line="240" w:lineRule="auto"/>
        <w:jc w:val="both"/>
        <w:rPr>
          <w:b/>
          <w:noProof/>
        </w:rPr>
      </w:pPr>
    </w:p>
    <w:p w:rsidR="000051F9" w:rsidRDefault="000F6B2F" w:rsidP="006456E8">
      <w:pPr>
        <w:spacing w:line="240" w:lineRule="auto"/>
        <w:jc w:val="both"/>
        <w:rPr>
          <w:b/>
          <w:noProof/>
        </w:rPr>
      </w:pPr>
      <w:r>
        <w:rPr>
          <w:b/>
          <w:noProof/>
        </w:rPr>
        <w:lastRenderedPageBreak/>
        <w:drawing>
          <wp:inline distT="0" distB="0" distL="0" distR="0">
            <wp:extent cx="5473755" cy="6132069"/>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e4B.png"/>
                    <pic:cNvPicPr/>
                  </pic:nvPicPr>
                  <pic:blipFill>
                    <a:blip r:embed="rId12">
                      <a:extLst>
                        <a:ext uri="{28A0092B-C50C-407E-A947-70E740481C1C}">
                          <a14:useLocalDpi xmlns:a14="http://schemas.microsoft.com/office/drawing/2010/main" val="0"/>
                        </a:ext>
                      </a:extLst>
                    </a:blip>
                    <a:stretch>
                      <a:fillRect/>
                    </a:stretch>
                  </pic:blipFill>
                  <pic:spPr>
                    <a:xfrm>
                      <a:off x="0" y="0"/>
                      <a:ext cx="5473755" cy="6132069"/>
                    </a:xfrm>
                    <a:prstGeom prst="rect">
                      <a:avLst/>
                    </a:prstGeom>
                  </pic:spPr>
                </pic:pic>
              </a:graphicData>
            </a:graphic>
          </wp:inline>
        </w:drawing>
      </w:r>
    </w:p>
    <w:p w:rsidR="00FA453C" w:rsidRPr="006456E8" w:rsidRDefault="00FA453C" w:rsidP="006456E8">
      <w:pPr>
        <w:spacing w:line="240" w:lineRule="auto"/>
        <w:jc w:val="both"/>
      </w:pPr>
      <w:r w:rsidRPr="006456E8">
        <w:rPr>
          <w:b/>
        </w:rPr>
        <w:t xml:space="preserve">Figure 4. Examples of different trends in abundance with closely related OTUs. </w:t>
      </w:r>
      <w:r w:rsidR="006456E8">
        <w:t xml:space="preserve">Panel 1 shows clades of </w:t>
      </w:r>
      <w:proofErr w:type="spellStart"/>
      <w:r w:rsidR="006456E8">
        <w:t>Methylophilales</w:t>
      </w:r>
      <w:proofErr w:type="spellEnd"/>
      <w:r w:rsidR="006456E8">
        <w:t xml:space="preserve"> in the Trout Bog </w:t>
      </w:r>
      <w:proofErr w:type="spellStart"/>
      <w:r w:rsidR="006456E8">
        <w:t>Hypolimnion</w:t>
      </w:r>
      <w:proofErr w:type="spellEnd"/>
      <w:r w:rsidR="006456E8">
        <w:t xml:space="preserve">. While 2005 and 2007 both show low abundance until a sharp increase in November,  2008 and 2009 show more linear abundance patterns, with a different clade dominant in each year. In Panel 2, two OTUs classified in the </w:t>
      </w:r>
      <w:proofErr w:type="spellStart"/>
      <w:r w:rsidR="006456E8">
        <w:t>Rhodo</w:t>
      </w:r>
      <w:proofErr w:type="spellEnd"/>
      <w:r w:rsidR="006456E8">
        <w:t xml:space="preserve"> clade are shown. The OTUs are positively correlated in 2007, negatively correlated in 2005, and have no strong correlation in either direction in 2008 and 2009. Examples of more clades and lakes can be found in the supplemental document.</w:t>
      </w:r>
    </w:p>
    <w:p w:rsidR="00F72F3F" w:rsidRDefault="00F72F3F" w:rsidP="000D4BB0">
      <w:pPr>
        <w:spacing w:line="480" w:lineRule="auto"/>
        <w:jc w:val="both"/>
      </w:pPr>
    </w:p>
    <w:p w:rsidR="000F6B2F" w:rsidRDefault="000F6B2F" w:rsidP="000D4BB0">
      <w:pPr>
        <w:spacing w:line="480" w:lineRule="auto"/>
        <w:jc w:val="both"/>
      </w:pPr>
    </w:p>
    <w:p w:rsidR="00FA453C" w:rsidRPr="000D4BB0" w:rsidRDefault="00FA453C" w:rsidP="000D4BB0">
      <w:pPr>
        <w:spacing w:line="480" w:lineRule="auto"/>
        <w:jc w:val="both"/>
        <w:rPr>
          <w:b/>
        </w:rPr>
      </w:pPr>
      <w:r w:rsidRPr="000D4BB0">
        <w:rPr>
          <w:b/>
        </w:rPr>
        <w:lastRenderedPageBreak/>
        <w:t>Consistent traits of OTUs</w:t>
      </w:r>
    </w:p>
    <w:p w:rsidR="00B302D0" w:rsidRDefault="00B302D0" w:rsidP="000D4BB0">
      <w:pPr>
        <w:spacing w:line="480" w:lineRule="auto"/>
        <w:jc w:val="both"/>
      </w:pPr>
      <w:r>
        <w:tab/>
        <w:t xml:space="preserve">Even though OTUs do not show the same trends each year, they do have traits that are consistent between years and lakes. We quantified mean abundance when present, persistence, and the coefficient of variance for clades classified using the freshwater taxonomy. Using only these well-defined freshwater groups allowed better taxonomic resolution. This analysis showed that low persistence is associated with high variability, and that low variability is associated with high abundance.  </w:t>
      </w:r>
      <w:r w:rsidR="00082B1F">
        <w:t xml:space="preserve">We rarely observe “bloomers,” situations where a clade has both high abundance and low persistence. Most freshwater clades are highly persistent at low abundances with low variability. Clade </w:t>
      </w:r>
      <w:proofErr w:type="spellStart"/>
      <w:r w:rsidR="00082B1F">
        <w:t>gamIII</w:t>
      </w:r>
      <w:proofErr w:type="spellEnd"/>
      <w:r w:rsidR="00082B1F">
        <w:t xml:space="preserve"> of the </w:t>
      </w:r>
      <w:proofErr w:type="spellStart"/>
      <w:r w:rsidR="00082B1F">
        <w:t>Gammaproteobacteria</w:t>
      </w:r>
      <w:proofErr w:type="spellEnd"/>
      <w:r w:rsidR="00082B1F">
        <w:t xml:space="preserve"> is an exception, with low persistence, low abundance, and high variability. Clades </w:t>
      </w:r>
      <w:proofErr w:type="spellStart"/>
      <w:r w:rsidR="00082B1F">
        <w:t>gamI</w:t>
      </w:r>
      <w:proofErr w:type="spellEnd"/>
      <w:r w:rsidR="00082B1F">
        <w:t xml:space="preserve"> and </w:t>
      </w:r>
      <w:proofErr w:type="spellStart"/>
      <w:r w:rsidR="00082B1F">
        <w:t>verI</w:t>
      </w:r>
      <w:proofErr w:type="spellEnd"/>
      <w:r w:rsidR="00082B1F">
        <w:t>-</w:t>
      </w:r>
      <w:proofErr w:type="gramStart"/>
      <w:r w:rsidR="00082B1F">
        <w:t>A</w:t>
      </w:r>
      <w:proofErr w:type="gramEnd"/>
      <w:r w:rsidR="00082B1F">
        <w:t xml:space="preserve"> occasionally also exhibit this profile. Clades </w:t>
      </w:r>
      <w:proofErr w:type="spellStart"/>
      <w:r w:rsidR="00082B1F">
        <w:t>betII</w:t>
      </w:r>
      <w:proofErr w:type="spellEnd"/>
      <w:r w:rsidR="00082B1F">
        <w:t xml:space="preserve"> and </w:t>
      </w:r>
      <w:proofErr w:type="spellStart"/>
      <w:r w:rsidR="00082B1F">
        <w:t>acI</w:t>
      </w:r>
      <w:proofErr w:type="spellEnd"/>
      <w:r w:rsidR="00082B1F">
        <w:t xml:space="preserve"> are highly abundant and persistent with low variability, consistent with their profile as ubiquitous freshwater generalists. Knowledge of the general manner in which these clades behave can begin to shed light on their lifestyles and the reasons for their observed abundance trends.</w:t>
      </w:r>
    </w:p>
    <w:p w:rsidR="00082B1F" w:rsidRDefault="00082B1F" w:rsidP="000D4BB0">
      <w:pPr>
        <w:spacing w:line="480" w:lineRule="auto"/>
        <w:jc w:val="both"/>
      </w:pPr>
    </w:p>
    <w:p w:rsidR="00082B1F" w:rsidRDefault="00082B1F" w:rsidP="000D4BB0">
      <w:pPr>
        <w:spacing w:line="480" w:lineRule="auto"/>
        <w:jc w:val="both"/>
      </w:pPr>
    </w:p>
    <w:p w:rsidR="00082B1F" w:rsidRDefault="00E07AD3" w:rsidP="000D4BB0">
      <w:pPr>
        <w:spacing w:line="480" w:lineRule="auto"/>
        <w:jc w:val="both"/>
      </w:pPr>
      <w:r>
        <w:rPr>
          <w:noProof/>
        </w:rPr>
        <w:lastRenderedPageBreak/>
        <w:drawing>
          <wp:inline distT="0" distB="0" distL="0" distR="0">
            <wp:extent cx="5943600" cy="62788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e5.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6278880"/>
                    </a:xfrm>
                    <a:prstGeom prst="rect">
                      <a:avLst/>
                    </a:prstGeom>
                  </pic:spPr>
                </pic:pic>
              </a:graphicData>
            </a:graphic>
          </wp:inline>
        </w:drawing>
      </w:r>
    </w:p>
    <w:p w:rsidR="00F72F3F" w:rsidRPr="006456E8" w:rsidRDefault="00082B1F" w:rsidP="006456E8">
      <w:pPr>
        <w:spacing w:line="240" w:lineRule="auto"/>
        <w:jc w:val="both"/>
      </w:pPr>
      <w:r w:rsidRPr="006456E8">
        <w:rPr>
          <w:b/>
        </w:rPr>
        <w:t>Figure 5. Traits of freshwater clades</w:t>
      </w:r>
      <w:r w:rsidR="006456E8" w:rsidRPr="006456E8">
        <w:rPr>
          <w:b/>
        </w:rPr>
        <w:t>.</w:t>
      </w:r>
      <w:r w:rsidR="006456E8">
        <w:rPr>
          <w:b/>
        </w:rPr>
        <w:t xml:space="preserve"> </w:t>
      </w:r>
      <w:r w:rsidR="006456E8">
        <w:t>These well-defined freshwater clades show similar persistence, variance, and abundance in each year and lake, despite different abundance patterns. This suggests that unknown functions or other metabolic characteristics are driving a stable lifestyle.</w:t>
      </w:r>
    </w:p>
    <w:p w:rsidR="00082B1F" w:rsidRDefault="00082B1F" w:rsidP="000D4BB0">
      <w:pPr>
        <w:spacing w:line="480" w:lineRule="auto"/>
        <w:jc w:val="both"/>
      </w:pPr>
    </w:p>
    <w:p w:rsidR="004E4294" w:rsidRDefault="004E4294" w:rsidP="000D4BB0">
      <w:pPr>
        <w:pStyle w:val="Heading2"/>
        <w:spacing w:before="0" w:line="480" w:lineRule="auto"/>
        <w:jc w:val="both"/>
      </w:pPr>
      <w:r>
        <w:lastRenderedPageBreak/>
        <w:t>Discussion</w:t>
      </w:r>
    </w:p>
    <w:p w:rsidR="003056F7" w:rsidRDefault="003056F7" w:rsidP="000D4BB0">
      <w:pPr>
        <w:spacing w:line="480" w:lineRule="auto"/>
        <w:jc w:val="both"/>
      </w:pPr>
      <w:r>
        <w:tab/>
        <w:t xml:space="preserve">After viewing the lack of repeatable annual trends in Figure 4, it is tempting to throw one’s hands in the air and declare any attempt to predict freshwater bacterial community composition a lost cause. We urge readers not to do so just yet. Despite high </w:t>
      </w:r>
      <w:proofErr w:type="spellStart"/>
      <w:r>
        <w:t>interannual</w:t>
      </w:r>
      <w:proofErr w:type="spellEnd"/>
      <w:r>
        <w:t xml:space="preserve"> variability, freshwater clades themselves have predictable traits. We see that persistence, abundance, and coefficient of variance of freshwater groups are relatively consistent between years and lakes. If this is the case, then why is there such strong differences between years?</w:t>
      </w:r>
    </w:p>
    <w:p w:rsidR="002B1DF8" w:rsidRDefault="003056F7" w:rsidP="000D4BB0">
      <w:pPr>
        <w:spacing w:line="480" w:lineRule="auto"/>
        <w:jc w:val="both"/>
      </w:pPr>
      <w:r>
        <w:tab/>
      </w:r>
      <w:r w:rsidR="00C77A11">
        <w:t xml:space="preserve">Based on the large differences in community composition between </w:t>
      </w:r>
      <w:proofErr w:type="spellStart"/>
      <w:r w:rsidR="00C77A11">
        <w:t>epilimnia</w:t>
      </w:r>
      <w:proofErr w:type="spellEnd"/>
      <w:r w:rsidR="00C77A11">
        <w:t xml:space="preserve"> and </w:t>
      </w:r>
      <w:proofErr w:type="spellStart"/>
      <w:r w:rsidR="00C77A11">
        <w:t>hypolimnia</w:t>
      </w:r>
      <w:proofErr w:type="spellEnd"/>
      <w:r w:rsidR="00C77A11">
        <w:t xml:space="preserve">, and between lakes, environmental filtering likely has a strong effect in bog lakes. </w:t>
      </w:r>
      <w:r w:rsidR="006456E8">
        <w:t xml:space="preserve">This is supported by increased phylogenetic clustering in all samples compared to what would be expected if phylogeny was random (supplemental). </w:t>
      </w:r>
      <w:r w:rsidR="002B1DF8">
        <w:t xml:space="preserve">This is supported by the identity of indicator taxa for mixing regimes. For example, </w:t>
      </w:r>
      <w:proofErr w:type="spellStart"/>
      <w:r w:rsidR="002B1DF8">
        <w:t>Desulfobulbaceae</w:t>
      </w:r>
      <w:proofErr w:type="spellEnd"/>
      <w:r w:rsidR="002B1DF8">
        <w:t xml:space="preserve"> and </w:t>
      </w:r>
      <w:proofErr w:type="spellStart"/>
      <w:r w:rsidR="002B1DF8">
        <w:t>Syntrophobacterales</w:t>
      </w:r>
      <w:proofErr w:type="spellEnd"/>
      <w:r w:rsidR="002B1DF8">
        <w:t xml:space="preserve"> are indicators for the anoxic, sulfur-rich samples from dimictic and meromictic </w:t>
      </w:r>
      <w:proofErr w:type="spellStart"/>
      <w:r w:rsidR="002B1DF8">
        <w:t>hypolimnia</w:t>
      </w:r>
      <w:proofErr w:type="spellEnd"/>
      <w:r w:rsidR="002B1DF8">
        <w:t xml:space="preserve">, consistent with their probable function of anaerobic sulfur reduction. In contrast, </w:t>
      </w:r>
      <w:proofErr w:type="spellStart"/>
      <w:r w:rsidR="002B1DF8">
        <w:t>Actinobacteria</w:t>
      </w:r>
      <w:proofErr w:type="spellEnd"/>
      <w:r w:rsidR="002B1DF8">
        <w:t xml:space="preserve"> and particularly its freshwater generalist </w:t>
      </w:r>
      <w:proofErr w:type="spellStart"/>
      <w:r w:rsidR="002B1DF8">
        <w:t>acI</w:t>
      </w:r>
      <w:proofErr w:type="spellEnd"/>
      <w:r w:rsidR="002B1DF8">
        <w:t xml:space="preserve"> are indicators exclusively for </w:t>
      </w:r>
      <w:proofErr w:type="spellStart"/>
      <w:r w:rsidR="002B1DF8">
        <w:t>epilimnia</w:t>
      </w:r>
      <w:proofErr w:type="spellEnd"/>
      <w:r w:rsidR="002B1DF8">
        <w:t xml:space="preserve"> and </w:t>
      </w:r>
      <w:proofErr w:type="spellStart"/>
      <w:r w:rsidR="002B1DF8">
        <w:t>polymictic</w:t>
      </w:r>
      <w:proofErr w:type="spellEnd"/>
      <w:r w:rsidR="002B1DF8">
        <w:t xml:space="preserve"> </w:t>
      </w:r>
      <w:proofErr w:type="spellStart"/>
      <w:r w:rsidR="002B1DF8">
        <w:t>hypolimnia</w:t>
      </w:r>
      <w:proofErr w:type="spellEnd"/>
      <w:r w:rsidR="002B1DF8">
        <w:t xml:space="preserve">, where they can likely take full advantage of sunlight to power </w:t>
      </w:r>
      <w:proofErr w:type="spellStart"/>
      <w:r w:rsidR="002B1DF8">
        <w:t>actinorhodopsins</w:t>
      </w:r>
      <w:proofErr w:type="spellEnd"/>
      <w:r w:rsidR="002B1DF8">
        <w:t>. But while the presence of taxa endemic to specific sites is consistent from year to year, their abundance trends are highly variable.</w:t>
      </w:r>
    </w:p>
    <w:p w:rsidR="003056F7" w:rsidRDefault="003056F7" w:rsidP="002B1DF8">
      <w:pPr>
        <w:spacing w:line="480" w:lineRule="auto"/>
        <w:ind w:firstLine="360"/>
        <w:jc w:val="both"/>
      </w:pPr>
      <w:r>
        <w:t xml:space="preserve">One possibility is that there are abiotic drivers not measured that vary strongly from year to year. </w:t>
      </w:r>
      <w:r w:rsidR="00C77A11">
        <w:t xml:space="preserve"> </w:t>
      </w:r>
      <w:r>
        <w:t>These bog lakes, being small compared to other studied freshwater systems such as Lake Mendota in Madison, WI, are more at the mercy of their surrounding landscape.  Changes in the terrestrial ecosystem surround the aquatic systems studied may have profound impacts on bacterial community composition.</w:t>
      </w:r>
      <w:r w:rsidR="00C77A11">
        <w:t xml:space="preserve"> </w:t>
      </w:r>
      <w:r>
        <w:t xml:space="preserve">Another potential driver of annual variation is biotic interactions. </w:t>
      </w:r>
      <w:r>
        <w:lastRenderedPageBreak/>
        <w:t xml:space="preserve">Bacterial communities have been shown to </w:t>
      </w:r>
      <w:r w:rsidR="005D0CDC">
        <w:t>take part in</w:t>
      </w:r>
      <w:r>
        <w:t xml:space="preserve"> complex networks, and forces such as competition and cooperation may be structuring c</w:t>
      </w:r>
      <w:r w:rsidR="00C77A11">
        <w:t xml:space="preserve">ommunity composition in addition to environmental filtering. Finally, stochastic community assembly may </w:t>
      </w:r>
      <w:r w:rsidR="005D0CDC">
        <w:t>occur after</w:t>
      </w:r>
      <w:r w:rsidR="00C77A11">
        <w:t xml:space="preserve"> the disturbances of mixing events, the winter ice-on period appears to be a bottleneck reducing the alpha diversity of the bacterial community. The eme</w:t>
      </w:r>
      <w:r w:rsidR="005D0CDC">
        <w:t xml:space="preserve">rgence of distinctive </w:t>
      </w:r>
      <w:proofErr w:type="spellStart"/>
      <w:r w:rsidR="005D0CDC">
        <w:t>epilimnia</w:t>
      </w:r>
      <w:proofErr w:type="spellEnd"/>
      <w:r w:rsidR="005D0CDC">
        <w:t xml:space="preserve"> and </w:t>
      </w:r>
      <w:proofErr w:type="spellStart"/>
      <w:r w:rsidR="005D0CDC">
        <w:t>hypolimnia</w:t>
      </w:r>
      <w:proofErr w:type="spellEnd"/>
      <w:r w:rsidR="00C77A11">
        <w:t xml:space="preserve"> communities after the spring thaw and mixing event may introduce an element of chance in community assembly, resulting in unique communities each year.</w:t>
      </w:r>
    </w:p>
    <w:p w:rsidR="00E30E92" w:rsidRDefault="00C77A11" w:rsidP="000D4BB0">
      <w:pPr>
        <w:spacing w:after="100" w:afterAutospacing="1" w:line="480" w:lineRule="auto"/>
        <w:ind w:firstLine="360"/>
        <w:jc w:val="both"/>
        <w:rPr>
          <w:rFonts w:eastAsia="Times New Roman"/>
        </w:rPr>
      </w:pPr>
      <w:r>
        <w:t xml:space="preserve">If </w:t>
      </w:r>
      <w:r w:rsidR="008023C5">
        <w:t xml:space="preserve">it is true that repeatable annual trends do not repeat in bog lakes, why has this not been seen in other aquatic ecosystems? </w:t>
      </w:r>
      <w:r w:rsidR="00E30E92" w:rsidRPr="008023C5">
        <w:rPr>
          <w:rFonts w:eastAsia="Times New Roman"/>
        </w:rPr>
        <w:t xml:space="preserve">Previous studies </w:t>
      </w:r>
      <w:r w:rsidR="00E30E92">
        <w:rPr>
          <w:rFonts w:eastAsia="Times New Roman"/>
        </w:rPr>
        <w:t xml:space="preserve">in these same lakes found seasonal trends, but were </w:t>
      </w:r>
      <w:r w:rsidR="00E30E92" w:rsidRPr="008023C5">
        <w:rPr>
          <w:rFonts w:eastAsia="Times New Roman"/>
        </w:rPr>
        <w:t>using higher level community traits such as richness or rate of change rather than direct community composition</w:t>
      </w:r>
      <w:r w:rsidR="00E30E92">
        <w:rPr>
          <w:rFonts w:eastAsia="Times New Roman"/>
        </w:rPr>
        <w:t xml:space="preserve">. </w:t>
      </w:r>
      <w:r w:rsidR="00E30E92">
        <w:t xml:space="preserve">There is a large body of work on </w:t>
      </w:r>
      <w:r w:rsidR="008023C5">
        <w:t xml:space="preserve">predictable seasonal trends in oceans, rivers, and freshwater lakes. </w:t>
      </w:r>
      <w:r w:rsidR="008023C5">
        <w:rPr>
          <w:rFonts w:eastAsia="Times New Roman"/>
        </w:rPr>
        <w:t xml:space="preserve">One major difference is that these other systems are larger and contain currents or other water movement, while bog lakes are more stagnant and are connected to other aquatic systems via only groundwater. Bacterial communities that are constantly moving through an ecosystem may experience stronger environmental filtering, reducing variability and the importance of biotic interactions in community assembly. Another difference is that </w:t>
      </w:r>
      <w:r w:rsidR="00E30E92">
        <w:rPr>
          <w:rFonts w:eastAsia="Times New Roman"/>
        </w:rPr>
        <w:t xml:space="preserve">many of the systems studied do not experience the temperature extremes that boreal bog lakes do. The impact of winter freezing and mixing events may prevent formation of a stable community each year. </w:t>
      </w:r>
      <w:r w:rsidR="00E30E92" w:rsidRPr="008023C5">
        <w:rPr>
          <w:rFonts w:eastAsia="Times New Roman"/>
        </w:rPr>
        <w:t xml:space="preserve">The study most similar to ours is </w:t>
      </w:r>
      <w:r w:rsidR="00E30E92">
        <w:rPr>
          <w:rFonts w:eastAsia="Times New Roman"/>
        </w:rPr>
        <w:t>a</w:t>
      </w:r>
      <w:r w:rsidR="00E30E92" w:rsidRPr="008023C5">
        <w:rPr>
          <w:rFonts w:eastAsia="Times New Roman"/>
        </w:rPr>
        <w:t xml:space="preserve"> seasonal analysis of Lake Mendota. Lake Mendota freezes annually</w:t>
      </w:r>
      <w:r w:rsidR="00E30E92">
        <w:rPr>
          <w:rFonts w:eastAsia="Times New Roman"/>
        </w:rPr>
        <w:t xml:space="preserve"> and is close to the observed study sites geographically</w:t>
      </w:r>
      <w:r w:rsidR="00E30E92" w:rsidRPr="008023C5">
        <w:rPr>
          <w:rFonts w:eastAsia="Times New Roman"/>
        </w:rPr>
        <w:t>, but is a lot bigger than the bogs, is part of a larger chain of lakes with</w:t>
      </w:r>
      <w:r w:rsidR="00E30E92">
        <w:rPr>
          <w:rFonts w:eastAsia="Times New Roman"/>
        </w:rPr>
        <w:t xml:space="preserve"> more</w:t>
      </w:r>
      <w:r w:rsidR="00E30E92" w:rsidRPr="008023C5">
        <w:rPr>
          <w:rFonts w:eastAsia="Times New Roman"/>
        </w:rPr>
        <w:t xml:space="preserve"> water exchange, and doesn’t stratify as quickly. Additionally, </w:t>
      </w:r>
      <w:r w:rsidR="00E30E92">
        <w:rPr>
          <w:rFonts w:eastAsia="Times New Roman"/>
        </w:rPr>
        <w:t>the Mendota study notes</w:t>
      </w:r>
      <w:r w:rsidR="00E30E92" w:rsidRPr="008023C5">
        <w:rPr>
          <w:rFonts w:eastAsia="Times New Roman"/>
        </w:rPr>
        <w:t xml:space="preserve"> that late summer samples are more</w:t>
      </w:r>
      <w:r w:rsidR="00E30E92">
        <w:rPr>
          <w:rFonts w:eastAsia="Times New Roman"/>
        </w:rPr>
        <w:t xml:space="preserve"> difficult to predict than fall, winter, or early spring samples. Since t</w:t>
      </w:r>
      <w:r w:rsidR="00E30E92" w:rsidRPr="008023C5">
        <w:rPr>
          <w:rFonts w:eastAsia="Times New Roman"/>
        </w:rPr>
        <w:t xml:space="preserve">he bog </w:t>
      </w:r>
      <w:r w:rsidR="00E30E92">
        <w:rPr>
          <w:rFonts w:eastAsia="Times New Roman"/>
        </w:rPr>
        <w:t xml:space="preserve">lake </w:t>
      </w:r>
      <w:r w:rsidR="00E30E92" w:rsidRPr="008023C5">
        <w:rPr>
          <w:rFonts w:eastAsia="Times New Roman"/>
        </w:rPr>
        <w:t>dataset is dominated by stratified summer samples</w:t>
      </w:r>
      <w:r w:rsidR="00E30E92">
        <w:rPr>
          <w:rFonts w:eastAsia="Times New Roman"/>
        </w:rPr>
        <w:t xml:space="preserve">, this </w:t>
      </w:r>
      <w:r w:rsidR="00E30E92">
        <w:rPr>
          <w:rFonts w:eastAsia="Times New Roman"/>
        </w:rPr>
        <w:lastRenderedPageBreak/>
        <w:t>would make annual prediction far more difficult</w:t>
      </w:r>
      <w:r w:rsidR="00E30E92" w:rsidRPr="008023C5">
        <w:rPr>
          <w:rFonts w:eastAsia="Times New Roman"/>
        </w:rPr>
        <w:t>.</w:t>
      </w:r>
      <w:r w:rsidR="005D0CDC">
        <w:rPr>
          <w:rFonts w:eastAsia="Times New Roman"/>
        </w:rPr>
        <w:t xml:space="preserve"> (Include Martin Hahn’s </w:t>
      </w:r>
      <w:proofErr w:type="spellStart"/>
      <w:r w:rsidR="005D0CDC">
        <w:rPr>
          <w:rFonts w:eastAsia="Times New Roman"/>
        </w:rPr>
        <w:t>polynucleobacter</w:t>
      </w:r>
      <w:proofErr w:type="spellEnd"/>
      <w:r w:rsidR="005D0CDC">
        <w:rPr>
          <w:rFonts w:eastAsia="Times New Roman"/>
        </w:rPr>
        <w:t xml:space="preserve"> study here)</w:t>
      </w:r>
    </w:p>
    <w:p w:rsidR="00E30E92" w:rsidRPr="008023C5" w:rsidRDefault="00E30E92" w:rsidP="00350E21">
      <w:pPr>
        <w:spacing w:after="100" w:afterAutospacing="1" w:line="480" w:lineRule="auto"/>
        <w:ind w:firstLine="360"/>
        <w:jc w:val="both"/>
        <w:rPr>
          <w:rFonts w:eastAsia="Times New Roman"/>
        </w:rPr>
      </w:pPr>
      <w:r>
        <w:rPr>
          <w:rFonts w:eastAsia="Times New Roman"/>
        </w:rPr>
        <w:t xml:space="preserve">Perhaps the biggest implication of this research is the importance of long-term time series. A similar dataset spanning only a single year would have produced drastically different conclusions about the seasonality of freshwater bacterial communities. </w:t>
      </w:r>
      <w:r w:rsidR="000A2B26">
        <w:rPr>
          <w:rFonts w:eastAsia="Times New Roman"/>
        </w:rPr>
        <w:t>Clearly, the factors driving community composition in bog lake ecosystems are more complex than we had originally thought. It’s possible that trends may rep</w:t>
      </w:r>
      <w:r w:rsidR="005D0CDC">
        <w:rPr>
          <w:rFonts w:eastAsia="Times New Roman"/>
        </w:rPr>
        <w:t>eat on scales greater than the five</w:t>
      </w:r>
      <w:r w:rsidR="000A2B26">
        <w:rPr>
          <w:rFonts w:eastAsia="Times New Roman"/>
        </w:rPr>
        <w:t xml:space="preserve"> years covered in this dataset, or that </w:t>
      </w:r>
      <w:r w:rsidR="00DF1E78">
        <w:rPr>
          <w:rFonts w:eastAsia="Times New Roman"/>
        </w:rPr>
        <w:t>annual differences are driven by environmental factors that do not occur every year. To answer these questions, we are continuing to collect and sequence samples for the North Temperate Lakes – Microbial Observatory, and we are expanding our sequencing repertoire beyond 16S sequencing. All of the 16S data we have currently generated can be found in the R package “</w:t>
      </w:r>
      <w:proofErr w:type="spellStart"/>
      <w:r w:rsidR="00DF1E78">
        <w:rPr>
          <w:rFonts w:eastAsia="Times New Roman"/>
        </w:rPr>
        <w:t>OTUtable</w:t>
      </w:r>
      <w:proofErr w:type="spellEnd"/>
      <w:r w:rsidR="00DF1E78">
        <w:rPr>
          <w:rFonts w:eastAsia="Times New Roman"/>
        </w:rPr>
        <w:t xml:space="preserve">” which is available on CRAN for installation via the R command line, or on our GitHub page. We hope that this dataset and its future expansion will be used as a resource for researchers investigating their own questions about how bacterial communities behave on long time scales. </w:t>
      </w:r>
    </w:p>
    <w:p w:rsidR="00350E21" w:rsidRPr="00350E21" w:rsidRDefault="00350E21" w:rsidP="00350E21">
      <w:pPr>
        <w:spacing w:line="480" w:lineRule="auto"/>
        <w:jc w:val="both"/>
        <w:rPr>
          <w:b/>
        </w:rPr>
      </w:pPr>
      <w:r w:rsidRPr="00350E21">
        <w:rPr>
          <w:b/>
        </w:rPr>
        <w:t>Conclusion</w:t>
      </w:r>
    </w:p>
    <w:p w:rsidR="009D61B5" w:rsidRDefault="00350E21" w:rsidP="00350E21">
      <w:pPr>
        <w:spacing w:line="480" w:lineRule="auto"/>
        <w:ind w:firstLine="720"/>
        <w:jc w:val="both"/>
      </w:pPr>
      <w:r>
        <w:t xml:space="preserve">Using a multi-year, multi-lake time series, we find depth and mixing frequency to be major drivers of community composition, and identify specific bacterial taxa associated with each environmental condition. Seasonal trends that are consistent annually are observed in community metrics such as richness and evenness, and in community composition at the phylum level. However, repeatable trends in abundance over time are not identified at lower taxonomic levels. Each year in each lake harbors a unique bacterial community, within the confines of its environmental conditions.  While this initially appears to pose a challenge to the prediction of </w:t>
      </w:r>
      <w:r>
        <w:lastRenderedPageBreak/>
        <w:t xml:space="preserve">bacterial community composition, we also demonstrate that traits such as persistence, abundance, and variation are consistent in freshwater taxa despite large annual differences. </w:t>
      </w:r>
      <w:proofErr w:type="spellStart"/>
      <w:r>
        <w:t>Interannual</w:t>
      </w:r>
      <w:proofErr w:type="spellEnd"/>
      <w:r>
        <w:t xml:space="preserve"> variability could be due to either environmental factors that operate on long time scales, or due to stochastic community assembly as the bacterial community establishes after the spring thaw. Our results emphasize the importance of long term time series in microbial ecology in order to draw accurate conclusions. More research is needed to be able to predict bacterial community composition, but the information we have gathered on traits of bacterial taxa and environmental filtering bring us closer to this ultimate goal.</w:t>
      </w:r>
    </w:p>
    <w:p w:rsidR="004A12DC" w:rsidRDefault="004A12DC" w:rsidP="004A12DC">
      <w:pPr>
        <w:pStyle w:val="Heading2"/>
      </w:pPr>
      <w:bookmarkStart w:id="0" w:name="_GoBack"/>
      <w:bookmarkEnd w:id="0"/>
      <w:r>
        <w:t>References</w:t>
      </w:r>
    </w:p>
    <w:p w:rsidR="004A12DC" w:rsidRPr="004A12DC" w:rsidRDefault="004A12DC" w:rsidP="004A12DC"/>
    <w:p w:rsidR="004A12DC" w:rsidRPr="004A12DC" w:rsidRDefault="004A12DC" w:rsidP="004A12DC">
      <w:pPr>
        <w:widowControl w:val="0"/>
        <w:autoSpaceDE w:val="0"/>
        <w:autoSpaceDN w:val="0"/>
        <w:adjustRightInd w:val="0"/>
        <w:spacing w:line="240" w:lineRule="auto"/>
        <w:ind w:left="640" w:hanging="640"/>
        <w:rPr>
          <w:noProof/>
        </w:rPr>
      </w:pPr>
      <w:r>
        <w:fldChar w:fldCharType="begin" w:fldLock="1"/>
      </w:r>
      <w:r>
        <w:instrText xml:space="preserve">ADDIN Mendeley Bibliography CSL_BIBLIOGRAPHY </w:instrText>
      </w:r>
      <w:r>
        <w:fldChar w:fldCharType="separate"/>
      </w:r>
      <w:r w:rsidRPr="004A12DC">
        <w:rPr>
          <w:noProof/>
        </w:rPr>
        <w:t xml:space="preserve">1. </w:t>
      </w:r>
      <w:r w:rsidRPr="004A12DC">
        <w:rPr>
          <w:noProof/>
        </w:rPr>
        <w:tab/>
      </w:r>
      <w:r w:rsidRPr="004A12DC">
        <w:rPr>
          <w:b/>
          <w:bCs/>
          <w:noProof/>
        </w:rPr>
        <w:t>Cho I</w:t>
      </w:r>
      <w:r w:rsidRPr="004A12DC">
        <w:rPr>
          <w:noProof/>
        </w:rPr>
        <w:t xml:space="preserve">, </w:t>
      </w:r>
      <w:r w:rsidRPr="004A12DC">
        <w:rPr>
          <w:b/>
          <w:bCs/>
          <w:noProof/>
        </w:rPr>
        <w:t>Blaser MJ</w:t>
      </w:r>
      <w:r w:rsidRPr="004A12DC">
        <w:rPr>
          <w:noProof/>
        </w:rPr>
        <w:t xml:space="preserve">. 2012. The human microbiome : at the interface of health and disease </w:t>
      </w:r>
      <w:r w:rsidRPr="004A12DC">
        <w:rPr>
          <w:b/>
          <w:bCs/>
          <w:noProof/>
        </w:rPr>
        <w:t>13</w:t>
      </w:r>
      <w:r w:rsidRPr="004A12DC">
        <w:rPr>
          <w:noProof/>
        </w:rPr>
        <w:t>.</w:t>
      </w:r>
    </w:p>
    <w:p w:rsidR="004A12DC" w:rsidRPr="004A12DC" w:rsidRDefault="004A12DC" w:rsidP="004A12DC">
      <w:pPr>
        <w:widowControl w:val="0"/>
        <w:autoSpaceDE w:val="0"/>
        <w:autoSpaceDN w:val="0"/>
        <w:adjustRightInd w:val="0"/>
        <w:spacing w:line="240" w:lineRule="auto"/>
        <w:ind w:left="640" w:hanging="640"/>
        <w:rPr>
          <w:noProof/>
        </w:rPr>
      </w:pPr>
      <w:r w:rsidRPr="004A12DC">
        <w:rPr>
          <w:noProof/>
        </w:rPr>
        <w:t xml:space="preserve">2. </w:t>
      </w:r>
      <w:r w:rsidRPr="004A12DC">
        <w:rPr>
          <w:noProof/>
        </w:rPr>
        <w:tab/>
      </w:r>
      <w:r w:rsidRPr="004A12DC">
        <w:rPr>
          <w:b/>
          <w:bCs/>
          <w:noProof/>
        </w:rPr>
        <w:t>Rastogi RP</w:t>
      </w:r>
      <w:r w:rsidRPr="004A12DC">
        <w:rPr>
          <w:noProof/>
        </w:rPr>
        <w:t xml:space="preserve">, </w:t>
      </w:r>
      <w:r w:rsidRPr="004A12DC">
        <w:rPr>
          <w:b/>
          <w:bCs/>
          <w:noProof/>
        </w:rPr>
        <w:t>Madamwar D</w:t>
      </w:r>
      <w:r w:rsidRPr="004A12DC">
        <w:rPr>
          <w:noProof/>
        </w:rPr>
        <w:t xml:space="preserve">, </w:t>
      </w:r>
      <w:r w:rsidRPr="004A12DC">
        <w:rPr>
          <w:b/>
          <w:bCs/>
          <w:noProof/>
        </w:rPr>
        <w:t>Incharoensakdi A</w:t>
      </w:r>
      <w:r w:rsidRPr="004A12DC">
        <w:rPr>
          <w:noProof/>
        </w:rPr>
        <w:t xml:space="preserve">. 2015. Bloom Dynamics of Cyanobacteria and Their Toxins: Environmental Health Impacts and Mitigation Strategies. Front Microbiol </w:t>
      </w:r>
      <w:r w:rsidRPr="004A12DC">
        <w:rPr>
          <w:b/>
          <w:bCs/>
          <w:noProof/>
        </w:rPr>
        <w:t>6</w:t>
      </w:r>
      <w:r w:rsidRPr="004A12DC">
        <w:rPr>
          <w:noProof/>
        </w:rPr>
        <w:t>:1–22.</w:t>
      </w:r>
    </w:p>
    <w:p w:rsidR="004A12DC" w:rsidRPr="004A12DC" w:rsidRDefault="004A12DC" w:rsidP="004A12DC">
      <w:pPr>
        <w:widowControl w:val="0"/>
        <w:autoSpaceDE w:val="0"/>
        <w:autoSpaceDN w:val="0"/>
        <w:adjustRightInd w:val="0"/>
        <w:spacing w:line="240" w:lineRule="auto"/>
        <w:ind w:left="640" w:hanging="640"/>
        <w:rPr>
          <w:noProof/>
        </w:rPr>
      </w:pPr>
      <w:r w:rsidRPr="004A12DC">
        <w:rPr>
          <w:noProof/>
        </w:rPr>
        <w:t xml:space="preserve">3. </w:t>
      </w:r>
      <w:r w:rsidRPr="004A12DC">
        <w:rPr>
          <w:noProof/>
        </w:rPr>
        <w:tab/>
      </w:r>
      <w:r w:rsidRPr="004A12DC">
        <w:rPr>
          <w:b/>
          <w:bCs/>
          <w:noProof/>
        </w:rPr>
        <w:t>Logan BE</w:t>
      </w:r>
      <w:r w:rsidRPr="004A12DC">
        <w:rPr>
          <w:noProof/>
        </w:rPr>
        <w:t xml:space="preserve">, </w:t>
      </w:r>
      <w:r w:rsidRPr="004A12DC">
        <w:rPr>
          <w:b/>
          <w:bCs/>
          <w:noProof/>
        </w:rPr>
        <w:t>Rabaey K</w:t>
      </w:r>
      <w:r w:rsidRPr="004A12DC">
        <w:rPr>
          <w:noProof/>
        </w:rPr>
        <w:t xml:space="preserve">. 2012. No Title </w:t>
      </w:r>
      <w:r w:rsidRPr="004A12DC">
        <w:rPr>
          <w:b/>
          <w:bCs/>
          <w:noProof/>
        </w:rPr>
        <w:t>686</w:t>
      </w:r>
      <w:r w:rsidRPr="004A12DC">
        <w:rPr>
          <w:noProof/>
        </w:rPr>
        <w:t>.</w:t>
      </w:r>
    </w:p>
    <w:p w:rsidR="004A12DC" w:rsidRPr="004A12DC" w:rsidRDefault="004A12DC" w:rsidP="004A12DC">
      <w:pPr>
        <w:widowControl w:val="0"/>
        <w:autoSpaceDE w:val="0"/>
        <w:autoSpaceDN w:val="0"/>
        <w:adjustRightInd w:val="0"/>
        <w:spacing w:line="240" w:lineRule="auto"/>
        <w:ind w:left="640" w:hanging="640"/>
        <w:rPr>
          <w:noProof/>
        </w:rPr>
      </w:pPr>
      <w:r w:rsidRPr="004A12DC">
        <w:rPr>
          <w:noProof/>
        </w:rPr>
        <w:t xml:space="preserve">4. </w:t>
      </w:r>
      <w:r w:rsidRPr="004A12DC">
        <w:rPr>
          <w:noProof/>
        </w:rPr>
        <w:tab/>
      </w:r>
      <w:r w:rsidRPr="004A12DC">
        <w:rPr>
          <w:b/>
          <w:bCs/>
          <w:noProof/>
        </w:rPr>
        <w:t>Lopes T</w:t>
      </w:r>
      <w:r w:rsidRPr="004A12DC">
        <w:rPr>
          <w:noProof/>
        </w:rPr>
        <w:t xml:space="preserve">, </w:t>
      </w:r>
      <w:r w:rsidRPr="004A12DC">
        <w:rPr>
          <w:b/>
          <w:bCs/>
          <w:noProof/>
        </w:rPr>
        <w:t>Gouveia L</w:t>
      </w:r>
      <w:r w:rsidRPr="004A12DC">
        <w:rPr>
          <w:noProof/>
        </w:rPr>
        <w:t xml:space="preserve">, </w:t>
      </w:r>
      <w:r w:rsidRPr="004A12DC">
        <w:rPr>
          <w:b/>
          <w:bCs/>
          <w:noProof/>
        </w:rPr>
        <w:t>Reis A</w:t>
      </w:r>
      <w:r w:rsidRPr="004A12DC">
        <w:rPr>
          <w:noProof/>
        </w:rPr>
        <w:t>. 2013. Integrated microbial processes for biofuels and high value-added products : the way to improve the cost effectiveness of biofuel production.</w:t>
      </w:r>
    </w:p>
    <w:p w:rsidR="004A12DC" w:rsidRPr="004A12DC" w:rsidRDefault="004A12DC" w:rsidP="004A12DC">
      <w:pPr>
        <w:widowControl w:val="0"/>
        <w:autoSpaceDE w:val="0"/>
        <w:autoSpaceDN w:val="0"/>
        <w:adjustRightInd w:val="0"/>
        <w:spacing w:line="240" w:lineRule="auto"/>
        <w:ind w:left="640" w:hanging="640"/>
        <w:rPr>
          <w:noProof/>
        </w:rPr>
      </w:pPr>
      <w:r w:rsidRPr="004A12DC">
        <w:rPr>
          <w:noProof/>
        </w:rPr>
        <w:t xml:space="preserve">5. </w:t>
      </w:r>
      <w:r w:rsidRPr="004A12DC">
        <w:rPr>
          <w:noProof/>
        </w:rPr>
        <w:tab/>
      </w:r>
      <w:r w:rsidRPr="004A12DC">
        <w:rPr>
          <w:b/>
          <w:bCs/>
          <w:noProof/>
        </w:rPr>
        <w:t>Ferrera I</w:t>
      </w:r>
      <w:r w:rsidRPr="004A12DC">
        <w:rPr>
          <w:noProof/>
        </w:rPr>
        <w:t xml:space="preserve">, </w:t>
      </w:r>
      <w:r w:rsidRPr="004A12DC">
        <w:rPr>
          <w:b/>
          <w:bCs/>
          <w:noProof/>
        </w:rPr>
        <w:t>Sánchez O</w:t>
      </w:r>
      <w:r w:rsidRPr="004A12DC">
        <w:rPr>
          <w:noProof/>
        </w:rPr>
        <w:t>. 2016. Insights into microbial diversity in wastewater treatment systems: How far have we come? Biotechnol Adv in press.</w:t>
      </w:r>
    </w:p>
    <w:p w:rsidR="004A12DC" w:rsidRPr="004A12DC" w:rsidRDefault="004A12DC" w:rsidP="004A12DC">
      <w:pPr>
        <w:widowControl w:val="0"/>
        <w:autoSpaceDE w:val="0"/>
        <w:autoSpaceDN w:val="0"/>
        <w:adjustRightInd w:val="0"/>
        <w:spacing w:line="240" w:lineRule="auto"/>
        <w:ind w:left="640" w:hanging="640"/>
        <w:rPr>
          <w:noProof/>
        </w:rPr>
      </w:pPr>
      <w:r w:rsidRPr="004A12DC">
        <w:rPr>
          <w:noProof/>
        </w:rPr>
        <w:t xml:space="preserve">6. </w:t>
      </w:r>
      <w:r w:rsidRPr="004A12DC">
        <w:rPr>
          <w:noProof/>
        </w:rPr>
        <w:tab/>
      </w:r>
      <w:r w:rsidRPr="004A12DC">
        <w:rPr>
          <w:b/>
          <w:bCs/>
          <w:noProof/>
        </w:rPr>
        <w:t>Bourdichon F</w:t>
      </w:r>
      <w:r w:rsidRPr="004A12DC">
        <w:rPr>
          <w:noProof/>
        </w:rPr>
        <w:t xml:space="preserve">, </w:t>
      </w:r>
      <w:r w:rsidRPr="004A12DC">
        <w:rPr>
          <w:b/>
          <w:bCs/>
          <w:noProof/>
        </w:rPr>
        <w:t>Casaregola S</w:t>
      </w:r>
      <w:r w:rsidRPr="004A12DC">
        <w:rPr>
          <w:noProof/>
        </w:rPr>
        <w:t xml:space="preserve">, </w:t>
      </w:r>
      <w:r w:rsidRPr="004A12DC">
        <w:rPr>
          <w:b/>
          <w:bCs/>
          <w:noProof/>
        </w:rPr>
        <w:t>Farrokh C</w:t>
      </w:r>
      <w:r w:rsidRPr="004A12DC">
        <w:rPr>
          <w:noProof/>
        </w:rPr>
        <w:t xml:space="preserve">, </w:t>
      </w:r>
      <w:r w:rsidRPr="004A12DC">
        <w:rPr>
          <w:b/>
          <w:bCs/>
          <w:noProof/>
        </w:rPr>
        <w:t>Frisvad JC</w:t>
      </w:r>
      <w:r w:rsidRPr="004A12DC">
        <w:rPr>
          <w:noProof/>
        </w:rPr>
        <w:t xml:space="preserve">, </w:t>
      </w:r>
      <w:r w:rsidRPr="004A12DC">
        <w:rPr>
          <w:b/>
          <w:bCs/>
          <w:noProof/>
        </w:rPr>
        <w:t>Gerds ML</w:t>
      </w:r>
      <w:r w:rsidRPr="004A12DC">
        <w:rPr>
          <w:noProof/>
        </w:rPr>
        <w:t xml:space="preserve">, </w:t>
      </w:r>
      <w:r w:rsidRPr="004A12DC">
        <w:rPr>
          <w:b/>
          <w:bCs/>
          <w:noProof/>
        </w:rPr>
        <w:t>Hammes WP</w:t>
      </w:r>
      <w:r w:rsidRPr="004A12DC">
        <w:rPr>
          <w:noProof/>
        </w:rPr>
        <w:t xml:space="preserve">, </w:t>
      </w:r>
      <w:r w:rsidRPr="004A12DC">
        <w:rPr>
          <w:b/>
          <w:bCs/>
          <w:noProof/>
        </w:rPr>
        <w:t>Harnett J</w:t>
      </w:r>
      <w:r w:rsidRPr="004A12DC">
        <w:rPr>
          <w:noProof/>
        </w:rPr>
        <w:t xml:space="preserve">, </w:t>
      </w:r>
      <w:r w:rsidRPr="004A12DC">
        <w:rPr>
          <w:b/>
          <w:bCs/>
          <w:noProof/>
        </w:rPr>
        <w:t>Huys G</w:t>
      </w:r>
      <w:r w:rsidRPr="004A12DC">
        <w:rPr>
          <w:noProof/>
        </w:rPr>
        <w:t xml:space="preserve">, </w:t>
      </w:r>
      <w:r w:rsidRPr="004A12DC">
        <w:rPr>
          <w:b/>
          <w:bCs/>
          <w:noProof/>
        </w:rPr>
        <w:t>Laulund S</w:t>
      </w:r>
      <w:r w:rsidRPr="004A12DC">
        <w:rPr>
          <w:noProof/>
        </w:rPr>
        <w:t xml:space="preserve">, </w:t>
      </w:r>
      <w:r w:rsidRPr="004A12DC">
        <w:rPr>
          <w:b/>
          <w:bCs/>
          <w:noProof/>
        </w:rPr>
        <w:t>Ouwehand A</w:t>
      </w:r>
      <w:r w:rsidRPr="004A12DC">
        <w:rPr>
          <w:noProof/>
        </w:rPr>
        <w:t xml:space="preserve">, </w:t>
      </w:r>
      <w:r w:rsidRPr="004A12DC">
        <w:rPr>
          <w:b/>
          <w:bCs/>
          <w:noProof/>
        </w:rPr>
        <w:t>Powell IB</w:t>
      </w:r>
      <w:r w:rsidRPr="004A12DC">
        <w:rPr>
          <w:noProof/>
        </w:rPr>
        <w:t xml:space="preserve">, </w:t>
      </w:r>
      <w:r w:rsidRPr="004A12DC">
        <w:rPr>
          <w:b/>
          <w:bCs/>
          <w:noProof/>
        </w:rPr>
        <w:t>Prajapati JB</w:t>
      </w:r>
      <w:r w:rsidRPr="004A12DC">
        <w:rPr>
          <w:noProof/>
        </w:rPr>
        <w:t xml:space="preserve">, </w:t>
      </w:r>
      <w:r w:rsidRPr="004A12DC">
        <w:rPr>
          <w:b/>
          <w:bCs/>
          <w:noProof/>
        </w:rPr>
        <w:t>Seto Y</w:t>
      </w:r>
      <w:r w:rsidRPr="004A12DC">
        <w:rPr>
          <w:noProof/>
        </w:rPr>
        <w:t xml:space="preserve">, </w:t>
      </w:r>
      <w:r w:rsidRPr="004A12DC">
        <w:rPr>
          <w:b/>
          <w:bCs/>
          <w:noProof/>
        </w:rPr>
        <w:t>Ter E</w:t>
      </w:r>
      <w:r w:rsidRPr="004A12DC">
        <w:rPr>
          <w:noProof/>
        </w:rPr>
        <w:t xml:space="preserve">, </w:t>
      </w:r>
      <w:r w:rsidRPr="004A12DC">
        <w:rPr>
          <w:b/>
          <w:bCs/>
          <w:noProof/>
        </w:rPr>
        <w:t>Boven A Van</w:t>
      </w:r>
      <w:r w:rsidRPr="004A12DC">
        <w:rPr>
          <w:noProof/>
        </w:rPr>
        <w:t xml:space="preserve">, </w:t>
      </w:r>
      <w:r w:rsidRPr="004A12DC">
        <w:rPr>
          <w:b/>
          <w:bCs/>
          <w:noProof/>
        </w:rPr>
        <w:t>Vankerckhoven V</w:t>
      </w:r>
      <w:r w:rsidRPr="004A12DC">
        <w:rPr>
          <w:noProof/>
        </w:rPr>
        <w:t xml:space="preserve">, </w:t>
      </w:r>
      <w:r w:rsidRPr="004A12DC">
        <w:rPr>
          <w:b/>
          <w:bCs/>
          <w:noProof/>
        </w:rPr>
        <w:t>Zgoda A</w:t>
      </w:r>
      <w:r w:rsidRPr="004A12DC">
        <w:rPr>
          <w:noProof/>
        </w:rPr>
        <w:t xml:space="preserve">, </w:t>
      </w:r>
      <w:r w:rsidRPr="004A12DC">
        <w:rPr>
          <w:b/>
          <w:bCs/>
          <w:noProof/>
        </w:rPr>
        <w:t>Tuijtelaars S</w:t>
      </w:r>
      <w:r w:rsidRPr="004A12DC">
        <w:rPr>
          <w:noProof/>
        </w:rPr>
        <w:t xml:space="preserve">, </w:t>
      </w:r>
      <w:r w:rsidRPr="004A12DC">
        <w:rPr>
          <w:b/>
          <w:bCs/>
          <w:noProof/>
        </w:rPr>
        <w:t>Bech E</w:t>
      </w:r>
      <w:r w:rsidRPr="004A12DC">
        <w:rPr>
          <w:noProof/>
        </w:rPr>
        <w:t xml:space="preserve">. 2012. International Journal of Food Microbiology Food fermentations : Microorganisms with technological bene fi cial use. Int J Food Microbiol </w:t>
      </w:r>
      <w:r w:rsidRPr="004A12DC">
        <w:rPr>
          <w:b/>
          <w:bCs/>
          <w:noProof/>
        </w:rPr>
        <w:t>154</w:t>
      </w:r>
      <w:r w:rsidRPr="004A12DC">
        <w:rPr>
          <w:noProof/>
        </w:rPr>
        <w:t>:87–97.</w:t>
      </w:r>
    </w:p>
    <w:p w:rsidR="004A12DC" w:rsidRPr="004A12DC" w:rsidRDefault="004A12DC" w:rsidP="004A12DC">
      <w:pPr>
        <w:widowControl w:val="0"/>
        <w:autoSpaceDE w:val="0"/>
        <w:autoSpaceDN w:val="0"/>
        <w:adjustRightInd w:val="0"/>
        <w:spacing w:line="240" w:lineRule="auto"/>
        <w:ind w:left="640" w:hanging="640"/>
        <w:rPr>
          <w:noProof/>
        </w:rPr>
      </w:pPr>
      <w:r w:rsidRPr="004A12DC">
        <w:rPr>
          <w:noProof/>
        </w:rPr>
        <w:t xml:space="preserve">7. </w:t>
      </w:r>
      <w:r w:rsidRPr="004A12DC">
        <w:rPr>
          <w:noProof/>
        </w:rPr>
        <w:tab/>
      </w:r>
      <w:r w:rsidRPr="004A12DC">
        <w:rPr>
          <w:b/>
          <w:bCs/>
          <w:noProof/>
        </w:rPr>
        <w:t>Hewson I</w:t>
      </w:r>
      <w:r w:rsidRPr="004A12DC">
        <w:rPr>
          <w:noProof/>
        </w:rPr>
        <w:t xml:space="preserve">, </w:t>
      </w:r>
      <w:r w:rsidRPr="004A12DC">
        <w:rPr>
          <w:b/>
          <w:bCs/>
          <w:noProof/>
        </w:rPr>
        <w:t>Steele JA</w:t>
      </w:r>
      <w:r w:rsidRPr="004A12DC">
        <w:rPr>
          <w:noProof/>
        </w:rPr>
        <w:t xml:space="preserve">, </w:t>
      </w:r>
      <w:r w:rsidRPr="004A12DC">
        <w:rPr>
          <w:b/>
          <w:bCs/>
          <w:noProof/>
        </w:rPr>
        <w:t>Capone DG</w:t>
      </w:r>
      <w:r w:rsidRPr="004A12DC">
        <w:rPr>
          <w:noProof/>
        </w:rPr>
        <w:t xml:space="preserve">, </w:t>
      </w:r>
      <w:r w:rsidRPr="004A12DC">
        <w:rPr>
          <w:b/>
          <w:bCs/>
          <w:noProof/>
        </w:rPr>
        <w:t>Fuhrman JA</w:t>
      </w:r>
      <w:r w:rsidRPr="004A12DC">
        <w:rPr>
          <w:noProof/>
        </w:rPr>
        <w:t xml:space="preserve">. 2006. Remarkable heterogeneity in meso- and bathypelagic bacterioplankton assemblage composition </w:t>
      </w:r>
      <w:r w:rsidRPr="004A12DC">
        <w:rPr>
          <w:b/>
          <w:bCs/>
          <w:noProof/>
        </w:rPr>
        <w:t>51</w:t>
      </w:r>
      <w:r w:rsidRPr="004A12DC">
        <w:rPr>
          <w:noProof/>
        </w:rPr>
        <w:t>:1274–1283.</w:t>
      </w:r>
    </w:p>
    <w:p w:rsidR="004A12DC" w:rsidRPr="004A12DC" w:rsidRDefault="004A12DC" w:rsidP="004A12DC">
      <w:pPr>
        <w:widowControl w:val="0"/>
        <w:autoSpaceDE w:val="0"/>
        <w:autoSpaceDN w:val="0"/>
        <w:adjustRightInd w:val="0"/>
        <w:spacing w:line="240" w:lineRule="auto"/>
        <w:ind w:left="640" w:hanging="640"/>
        <w:rPr>
          <w:noProof/>
        </w:rPr>
      </w:pPr>
      <w:r w:rsidRPr="004A12DC">
        <w:rPr>
          <w:noProof/>
        </w:rPr>
        <w:t xml:space="preserve">8. </w:t>
      </w:r>
      <w:r w:rsidRPr="004A12DC">
        <w:rPr>
          <w:noProof/>
        </w:rPr>
        <w:tab/>
      </w:r>
      <w:r w:rsidRPr="004A12DC">
        <w:rPr>
          <w:b/>
          <w:bCs/>
          <w:noProof/>
        </w:rPr>
        <w:t>Sheldon WM</w:t>
      </w:r>
      <w:r w:rsidRPr="004A12DC">
        <w:rPr>
          <w:noProof/>
        </w:rPr>
        <w:t xml:space="preserve">, </w:t>
      </w:r>
      <w:r w:rsidRPr="004A12DC">
        <w:rPr>
          <w:b/>
          <w:bCs/>
          <w:noProof/>
        </w:rPr>
        <w:t>Moran MA</w:t>
      </w:r>
      <w:r w:rsidRPr="004A12DC">
        <w:rPr>
          <w:noProof/>
        </w:rPr>
        <w:t xml:space="preserve">, </w:t>
      </w:r>
      <w:r w:rsidRPr="004A12DC">
        <w:rPr>
          <w:b/>
          <w:bCs/>
          <w:noProof/>
        </w:rPr>
        <w:t>Hollibaugh JT</w:t>
      </w:r>
      <w:r w:rsidRPr="004A12DC">
        <w:rPr>
          <w:noProof/>
        </w:rPr>
        <w:t>. 2000. Efforts to Link Ecological Metadata with Bacterial Gene Sequences at the Sapelo Island Microbial Observatory.</w:t>
      </w:r>
    </w:p>
    <w:p w:rsidR="004A12DC" w:rsidRPr="004A12DC" w:rsidRDefault="004A12DC" w:rsidP="004A12DC">
      <w:pPr>
        <w:widowControl w:val="0"/>
        <w:autoSpaceDE w:val="0"/>
        <w:autoSpaceDN w:val="0"/>
        <w:adjustRightInd w:val="0"/>
        <w:spacing w:line="240" w:lineRule="auto"/>
        <w:ind w:left="640" w:hanging="640"/>
        <w:rPr>
          <w:noProof/>
        </w:rPr>
      </w:pPr>
      <w:r w:rsidRPr="004A12DC">
        <w:rPr>
          <w:noProof/>
        </w:rPr>
        <w:t xml:space="preserve">9. </w:t>
      </w:r>
      <w:r w:rsidRPr="004A12DC">
        <w:rPr>
          <w:noProof/>
        </w:rPr>
        <w:tab/>
      </w:r>
      <w:r w:rsidRPr="004A12DC">
        <w:rPr>
          <w:b/>
          <w:bCs/>
          <w:noProof/>
        </w:rPr>
        <w:t>Hollibaugh JT</w:t>
      </w:r>
      <w:r w:rsidRPr="004A12DC">
        <w:rPr>
          <w:noProof/>
        </w:rPr>
        <w:t xml:space="preserve">, </w:t>
      </w:r>
      <w:r w:rsidRPr="004A12DC">
        <w:rPr>
          <w:b/>
          <w:bCs/>
          <w:noProof/>
        </w:rPr>
        <w:t>Gifford SM</w:t>
      </w:r>
      <w:r w:rsidRPr="004A12DC">
        <w:rPr>
          <w:noProof/>
        </w:rPr>
        <w:t xml:space="preserve">, </w:t>
      </w:r>
      <w:r w:rsidRPr="004A12DC">
        <w:rPr>
          <w:b/>
          <w:bCs/>
          <w:noProof/>
        </w:rPr>
        <w:t>Moran MA</w:t>
      </w:r>
      <w:r w:rsidRPr="004A12DC">
        <w:rPr>
          <w:noProof/>
        </w:rPr>
        <w:t xml:space="preserve">, </w:t>
      </w:r>
      <w:r w:rsidRPr="004A12DC">
        <w:rPr>
          <w:b/>
          <w:bCs/>
          <w:noProof/>
        </w:rPr>
        <w:t>Ross MJ</w:t>
      </w:r>
      <w:r w:rsidRPr="004A12DC">
        <w:rPr>
          <w:noProof/>
        </w:rPr>
        <w:t xml:space="preserve">, </w:t>
      </w:r>
      <w:r w:rsidRPr="004A12DC">
        <w:rPr>
          <w:b/>
          <w:bCs/>
          <w:noProof/>
        </w:rPr>
        <w:t>Sharma S</w:t>
      </w:r>
      <w:r w:rsidRPr="004A12DC">
        <w:rPr>
          <w:noProof/>
        </w:rPr>
        <w:t xml:space="preserve">, </w:t>
      </w:r>
      <w:r w:rsidRPr="004A12DC">
        <w:rPr>
          <w:b/>
          <w:bCs/>
          <w:noProof/>
        </w:rPr>
        <w:t>Tolar BB</w:t>
      </w:r>
      <w:r w:rsidRPr="004A12DC">
        <w:rPr>
          <w:noProof/>
        </w:rPr>
        <w:t xml:space="preserve">. 2014. Seasonal variation in the metatranscriptomes of a Thaumarchaeota population from SE USA coastal waters. ISME J </w:t>
      </w:r>
      <w:r w:rsidRPr="004A12DC">
        <w:rPr>
          <w:b/>
          <w:bCs/>
          <w:noProof/>
        </w:rPr>
        <w:t>8</w:t>
      </w:r>
      <w:r w:rsidRPr="004A12DC">
        <w:rPr>
          <w:noProof/>
        </w:rPr>
        <w:t>:685–98.</w:t>
      </w:r>
    </w:p>
    <w:p w:rsidR="004A12DC" w:rsidRPr="004A12DC" w:rsidRDefault="004A12DC" w:rsidP="004A12DC">
      <w:pPr>
        <w:widowControl w:val="0"/>
        <w:autoSpaceDE w:val="0"/>
        <w:autoSpaceDN w:val="0"/>
        <w:adjustRightInd w:val="0"/>
        <w:spacing w:line="240" w:lineRule="auto"/>
        <w:ind w:left="640" w:hanging="640"/>
        <w:rPr>
          <w:noProof/>
        </w:rPr>
      </w:pPr>
      <w:r w:rsidRPr="004A12DC">
        <w:rPr>
          <w:noProof/>
        </w:rPr>
        <w:lastRenderedPageBreak/>
        <w:t xml:space="preserve">10. </w:t>
      </w:r>
      <w:r w:rsidRPr="004A12DC">
        <w:rPr>
          <w:noProof/>
        </w:rPr>
        <w:tab/>
      </w:r>
      <w:r w:rsidRPr="004A12DC">
        <w:rPr>
          <w:b/>
          <w:bCs/>
          <w:noProof/>
        </w:rPr>
        <w:t>Bendall ML</w:t>
      </w:r>
      <w:r w:rsidRPr="004A12DC">
        <w:rPr>
          <w:noProof/>
        </w:rPr>
        <w:t xml:space="preserve">, </w:t>
      </w:r>
      <w:r w:rsidRPr="004A12DC">
        <w:rPr>
          <w:b/>
          <w:bCs/>
          <w:noProof/>
        </w:rPr>
        <w:t>Stevens SLR</w:t>
      </w:r>
      <w:r w:rsidRPr="004A12DC">
        <w:rPr>
          <w:noProof/>
        </w:rPr>
        <w:t xml:space="preserve">, </w:t>
      </w:r>
      <w:r w:rsidRPr="004A12DC">
        <w:rPr>
          <w:b/>
          <w:bCs/>
          <w:noProof/>
        </w:rPr>
        <w:t>Chan L</w:t>
      </w:r>
      <w:r w:rsidRPr="004A12DC">
        <w:rPr>
          <w:noProof/>
        </w:rPr>
        <w:t xml:space="preserve">, </w:t>
      </w:r>
      <w:r w:rsidRPr="004A12DC">
        <w:rPr>
          <w:b/>
          <w:bCs/>
          <w:noProof/>
        </w:rPr>
        <w:t>Malfatti S</w:t>
      </w:r>
      <w:r w:rsidRPr="004A12DC">
        <w:rPr>
          <w:noProof/>
        </w:rPr>
        <w:t xml:space="preserve">, </w:t>
      </w:r>
      <w:r w:rsidRPr="004A12DC">
        <w:rPr>
          <w:b/>
          <w:bCs/>
          <w:noProof/>
        </w:rPr>
        <w:t>Schwientek P</w:t>
      </w:r>
      <w:r w:rsidRPr="004A12DC">
        <w:rPr>
          <w:noProof/>
        </w:rPr>
        <w:t xml:space="preserve">, </w:t>
      </w:r>
      <w:r w:rsidRPr="004A12DC">
        <w:rPr>
          <w:b/>
          <w:bCs/>
          <w:noProof/>
        </w:rPr>
        <w:t>Tremblay J</w:t>
      </w:r>
      <w:r w:rsidRPr="004A12DC">
        <w:rPr>
          <w:noProof/>
        </w:rPr>
        <w:t xml:space="preserve">, </w:t>
      </w:r>
      <w:r w:rsidRPr="004A12DC">
        <w:rPr>
          <w:b/>
          <w:bCs/>
          <w:noProof/>
        </w:rPr>
        <w:t>Schackwitz W</w:t>
      </w:r>
      <w:r w:rsidRPr="004A12DC">
        <w:rPr>
          <w:noProof/>
        </w:rPr>
        <w:t xml:space="preserve">, </w:t>
      </w:r>
      <w:r w:rsidRPr="004A12DC">
        <w:rPr>
          <w:b/>
          <w:bCs/>
          <w:noProof/>
        </w:rPr>
        <w:t>Martin J</w:t>
      </w:r>
      <w:r w:rsidRPr="004A12DC">
        <w:rPr>
          <w:noProof/>
        </w:rPr>
        <w:t xml:space="preserve">, </w:t>
      </w:r>
      <w:r w:rsidRPr="004A12DC">
        <w:rPr>
          <w:b/>
          <w:bCs/>
          <w:noProof/>
        </w:rPr>
        <w:t>Pati A</w:t>
      </w:r>
      <w:r w:rsidRPr="004A12DC">
        <w:rPr>
          <w:noProof/>
        </w:rPr>
        <w:t xml:space="preserve">, </w:t>
      </w:r>
      <w:r w:rsidRPr="004A12DC">
        <w:rPr>
          <w:b/>
          <w:bCs/>
          <w:noProof/>
        </w:rPr>
        <w:t>Bushnell B</w:t>
      </w:r>
      <w:r w:rsidRPr="004A12DC">
        <w:rPr>
          <w:noProof/>
        </w:rPr>
        <w:t xml:space="preserve">, </w:t>
      </w:r>
      <w:r w:rsidRPr="004A12DC">
        <w:rPr>
          <w:b/>
          <w:bCs/>
          <w:noProof/>
        </w:rPr>
        <w:t>Froula J</w:t>
      </w:r>
      <w:r w:rsidRPr="004A12DC">
        <w:rPr>
          <w:noProof/>
        </w:rPr>
        <w:t xml:space="preserve">, </w:t>
      </w:r>
      <w:r w:rsidRPr="004A12DC">
        <w:rPr>
          <w:b/>
          <w:bCs/>
          <w:noProof/>
        </w:rPr>
        <w:t>Kang D</w:t>
      </w:r>
      <w:r w:rsidRPr="004A12DC">
        <w:rPr>
          <w:noProof/>
        </w:rPr>
        <w:t xml:space="preserve">, </w:t>
      </w:r>
      <w:r w:rsidRPr="004A12DC">
        <w:rPr>
          <w:b/>
          <w:bCs/>
          <w:noProof/>
        </w:rPr>
        <w:t>Tringe SG</w:t>
      </w:r>
      <w:r w:rsidRPr="004A12DC">
        <w:rPr>
          <w:noProof/>
        </w:rPr>
        <w:t xml:space="preserve">, </w:t>
      </w:r>
      <w:r w:rsidRPr="004A12DC">
        <w:rPr>
          <w:b/>
          <w:bCs/>
          <w:noProof/>
        </w:rPr>
        <w:t>Bertilsson S</w:t>
      </w:r>
      <w:r w:rsidRPr="004A12DC">
        <w:rPr>
          <w:noProof/>
        </w:rPr>
        <w:t xml:space="preserve">, </w:t>
      </w:r>
      <w:r w:rsidRPr="004A12DC">
        <w:rPr>
          <w:b/>
          <w:bCs/>
          <w:noProof/>
        </w:rPr>
        <w:t>Moran MA</w:t>
      </w:r>
      <w:r w:rsidRPr="004A12DC">
        <w:rPr>
          <w:noProof/>
        </w:rPr>
        <w:t xml:space="preserve">, </w:t>
      </w:r>
      <w:r w:rsidRPr="004A12DC">
        <w:rPr>
          <w:b/>
          <w:bCs/>
          <w:noProof/>
        </w:rPr>
        <w:t>Shade A</w:t>
      </w:r>
      <w:r w:rsidRPr="004A12DC">
        <w:rPr>
          <w:noProof/>
        </w:rPr>
        <w:t xml:space="preserve">, </w:t>
      </w:r>
      <w:r w:rsidRPr="004A12DC">
        <w:rPr>
          <w:b/>
          <w:bCs/>
          <w:noProof/>
        </w:rPr>
        <w:t>Newton RJ</w:t>
      </w:r>
      <w:r w:rsidRPr="004A12DC">
        <w:rPr>
          <w:noProof/>
        </w:rPr>
        <w:t xml:space="preserve">, </w:t>
      </w:r>
      <w:r w:rsidRPr="004A12DC">
        <w:rPr>
          <w:b/>
          <w:bCs/>
          <w:noProof/>
        </w:rPr>
        <w:t>Mcmahon KD</w:t>
      </w:r>
      <w:r w:rsidRPr="004A12DC">
        <w:rPr>
          <w:noProof/>
        </w:rPr>
        <w:t xml:space="preserve">, </w:t>
      </w:r>
      <w:r w:rsidRPr="004A12DC">
        <w:rPr>
          <w:b/>
          <w:bCs/>
          <w:noProof/>
        </w:rPr>
        <w:t>Malmstrom RR</w:t>
      </w:r>
      <w:r w:rsidRPr="004A12DC">
        <w:rPr>
          <w:noProof/>
        </w:rPr>
        <w:t>. 2016. Genome-wide selective sweeps and gene-specific sweeps in natural bacterial populations 1–13.</w:t>
      </w:r>
    </w:p>
    <w:p w:rsidR="004A12DC" w:rsidRPr="004A12DC" w:rsidRDefault="004A12DC" w:rsidP="004A12DC">
      <w:pPr>
        <w:widowControl w:val="0"/>
        <w:autoSpaceDE w:val="0"/>
        <w:autoSpaceDN w:val="0"/>
        <w:adjustRightInd w:val="0"/>
        <w:spacing w:line="240" w:lineRule="auto"/>
        <w:ind w:left="640" w:hanging="640"/>
        <w:rPr>
          <w:noProof/>
        </w:rPr>
      </w:pPr>
      <w:r w:rsidRPr="004A12DC">
        <w:rPr>
          <w:noProof/>
        </w:rPr>
        <w:t xml:space="preserve">11. </w:t>
      </w:r>
      <w:r w:rsidRPr="004A12DC">
        <w:rPr>
          <w:noProof/>
        </w:rPr>
        <w:tab/>
      </w:r>
      <w:r w:rsidRPr="004A12DC">
        <w:rPr>
          <w:b/>
          <w:bCs/>
          <w:noProof/>
        </w:rPr>
        <w:t>Shade A</w:t>
      </w:r>
      <w:r w:rsidRPr="004A12DC">
        <w:rPr>
          <w:noProof/>
        </w:rPr>
        <w:t xml:space="preserve">, </w:t>
      </w:r>
      <w:r w:rsidRPr="004A12DC">
        <w:rPr>
          <w:b/>
          <w:bCs/>
          <w:noProof/>
        </w:rPr>
        <w:t>Jones SE</w:t>
      </w:r>
      <w:r w:rsidRPr="004A12DC">
        <w:rPr>
          <w:noProof/>
        </w:rPr>
        <w:t xml:space="preserve">, </w:t>
      </w:r>
      <w:r w:rsidRPr="004A12DC">
        <w:rPr>
          <w:b/>
          <w:bCs/>
          <w:noProof/>
        </w:rPr>
        <w:t>McMahon KD</w:t>
      </w:r>
      <w:r w:rsidRPr="004A12DC">
        <w:rPr>
          <w:noProof/>
        </w:rPr>
        <w:t xml:space="preserve">. 2008. The influence of habitat heterogeneity on freshwater bacterial community composition and dynamics. Environ Microbiol </w:t>
      </w:r>
      <w:r w:rsidRPr="004A12DC">
        <w:rPr>
          <w:b/>
          <w:bCs/>
          <w:noProof/>
        </w:rPr>
        <w:t>10</w:t>
      </w:r>
      <w:r w:rsidRPr="004A12DC">
        <w:rPr>
          <w:noProof/>
        </w:rPr>
        <w:t>:1057–1067.</w:t>
      </w:r>
    </w:p>
    <w:p w:rsidR="004A12DC" w:rsidRPr="004A12DC" w:rsidRDefault="004A12DC" w:rsidP="004A12DC">
      <w:pPr>
        <w:widowControl w:val="0"/>
        <w:autoSpaceDE w:val="0"/>
        <w:autoSpaceDN w:val="0"/>
        <w:adjustRightInd w:val="0"/>
        <w:spacing w:line="240" w:lineRule="auto"/>
        <w:ind w:left="640" w:hanging="640"/>
        <w:rPr>
          <w:noProof/>
        </w:rPr>
      </w:pPr>
      <w:r w:rsidRPr="004A12DC">
        <w:rPr>
          <w:noProof/>
        </w:rPr>
        <w:t xml:space="preserve">12. </w:t>
      </w:r>
      <w:r w:rsidRPr="004A12DC">
        <w:rPr>
          <w:noProof/>
        </w:rPr>
        <w:tab/>
      </w:r>
      <w:r w:rsidRPr="004A12DC">
        <w:rPr>
          <w:b/>
          <w:bCs/>
          <w:noProof/>
        </w:rPr>
        <w:t>Shade A</w:t>
      </w:r>
      <w:r w:rsidRPr="004A12DC">
        <w:rPr>
          <w:noProof/>
        </w:rPr>
        <w:t xml:space="preserve">, </w:t>
      </w:r>
      <w:r w:rsidRPr="004A12DC">
        <w:rPr>
          <w:b/>
          <w:bCs/>
          <w:noProof/>
        </w:rPr>
        <w:t>Kent AD</w:t>
      </w:r>
      <w:r w:rsidRPr="004A12DC">
        <w:rPr>
          <w:noProof/>
        </w:rPr>
        <w:t xml:space="preserve">, </w:t>
      </w:r>
      <w:r w:rsidRPr="004A12DC">
        <w:rPr>
          <w:b/>
          <w:bCs/>
          <w:noProof/>
        </w:rPr>
        <w:t>Jones SE</w:t>
      </w:r>
      <w:r w:rsidRPr="004A12DC">
        <w:rPr>
          <w:noProof/>
        </w:rPr>
        <w:t xml:space="preserve">, </w:t>
      </w:r>
      <w:r w:rsidRPr="004A12DC">
        <w:rPr>
          <w:b/>
          <w:bCs/>
          <w:noProof/>
        </w:rPr>
        <w:t>Newton RJ</w:t>
      </w:r>
      <w:r w:rsidRPr="004A12DC">
        <w:rPr>
          <w:noProof/>
        </w:rPr>
        <w:t xml:space="preserve">, </w:t>
      </w:r>
      <w:r w:rsidRPr="004A12DC">
        <w:rPr>
          <w:b/>
          <w:bCs/>
          <w:noProof/>
        </w:rPr>
        <w:t>Triplett EW</w:t>
      </w:r>
      <w:r w:rsidRPr="004A12DC">
        <w:rPr>
          <w:noProof/>
        </w:rPr>
        <w:t xml:space="preserve">, </w:t>
      </w:r>
      <w:r w:rsidRPr="004A12DC">
        <w:rPr>
          <w:b/>
          <w:bCs/>
          <w:noProof/>
        </w:rPr>
        <w:t>McMahon KD</w:t>
      </w:r>
      <w:r w:rsidRPr="004A12DC">
        <w:rPr>
          <w:noProof/>
        </w:rPr>
        <w:t xml:space="preserve">. 2007. Interannual dynamics and phenology of bacterial communities in a eutrophic lake. Limnol Oceanogr </w:t>
      </w:r>
      <w:r w:rsidRPr="004A12DC">
        <w:rPr>
          <w:b/>
          <w:bCs/>
          <w:noProof/>
        </w:rPr>
        <w:t>52</w:t>
      </w:r>
      <w:r w:rsidRPr="004A12DC">
        <w:rPr>
          <w:noProof/>
        </w:rPr>
        <w:t>:487–494.</w:t>
      </w:r>
    </w:p>
    <w:p w:rsidR="004A12DC" w:rsidRPr="004A12DC" w:rsidRDefault="004A12DC" w:rsidP="004A12DC">
      <w:pPr>
        <w:widowControl w:val="0"/>
        <w:autoSpaceDE w:val="0"/>
        <w:autoSpaceDN w:val="0"/>
        <w:adjustRightInd w:val="0"/>
        <w:spacing w:line="240" w:lineRule="auto"/>
        <w:ind w:left="640" w:hanging="640"/>
        <w:rPr>
          <w:noProof/>
        </w:rPr>
      </w:pPr>
      <w:r w:rsidRPr="004A12DC">
        <w:rPr>
          <w:noProof/>
        </w:rPr>
        <w:t xml:space="preserve">13. </w:t>
      </w:r>
      <w:r w:rsidRPr="004A12DC">
        <w:rPr>
          <w:noProof/>
        </w:rPr>
        <w:tab/>
      </w:r>
      <w:r w:rsidRPr="004A12DC">
        <w:rPr>
          <w:b/>
          <w:bCs/>
          <w:noProof/>
        </w:rPr>
        <w:t>Caporaso JG</w:t>
      </w:r>
      <w:r w:rsidRPr="004A12DC">
        <w:rPr>
          <w:noProof/>
        </w:rPr>
        <w:t xml:space="preserve">, </w:t>
      </w:r>
      <w:r w:rsidRPr="004A12DC">
        <w:rPr>
          <w:b/>
          <w:bCs/>
          <w:noProof/>
        </w:rPr>
        <w:t>Lauber CL</w:t>
      </w:r>
      <w:r w:rsidRPr="004A12DC">
        <w:rPr>
          <w:noProof/>
        </w:rPr>
        <w:t xml:space="preserve">, </w:t>
      </w:r>
      <w:r w:rsidRPr="004A12DC">
        <w:rPr>
          <w:b/>
          <w:bCs/>
          <w:noProof/>
        </w:rPr>
        <w:t>Walters WA</w:t>
      </w:r>
      <w:r w:rsidRPr="004A12DC">
        <w:rPr>
          <w:noProof/>
        </w:rPr>
        <w:t xml:space="preserve">, </w:t>
      </w:r>
      <w:r w:rsidRPr="004A12DC">
        <w:rPr>
          <w:b/>
          <w:bCs/>
          <w:noProof/>
        </w:rPr>
        <w:t>Berg-Lyons D</w:t>
      </w:r>
      <w:r w:rsidRPr="004A12DC">
        <w:rPr>
          <w:noProof/>
        </w:rPr>
        <w:t xml:space="preserve">, </w:t>
      </w:r>
      <w:r w:rsidRPr="004A12DC">
        <w:rPr>
          <w:b/>
          <w:bCs/>
          <w:noProof/>
        </w:rPr>
        <w:t>Huntley J</w:t>
      </w:r>
      <w:r w:rsidRPr="004A12DC">
        <w:rPr>
          <w:noProof/>
        </w:rPr>
        <w:t xml:space="preserve">, </w:t>
      </w:r>
      <w:r w:rsidRPr="004A12DC">
        <w:rPr>
          <w:b/>
          <w:bCs/>
          <w:noProof/>
        </w:rPr>
        <w:t>Fierer N</w:t>
      </w:r>
      <w:r w:rsidRPr="004A12DC">
        <w:rPr>
          <w:noProof/>
        </w:rPr>
        <w:t xml:space="preserve">, </w:t>
      </w:r>
      <w:r w:rsidRPr="004A12DC">
        <w:rPr>
          <w:b/>
          <w:bCs/>
          <w:noProof/>
        </w:rPr>
        <w:t>Owens SM</w:t>
      </w:r>
      <w:r w:rsidRPr="004A12DC">
        <w:rPr>
          <w:noProof/>
        </w:rPr>
        <w:t xml:space="preserve">, </w:t>
      </w:r>
      <w:r w:rsidRPr="004A12DC">
        <w:rPr>
          <w:b/>
          <w:bCs/>
          <w:noProof/>
        </w:rPr>
        <w:t>Betley J</w:t>
      </w:r>
      <w:r w:rsidRPr="004A12DC">
        <w:rPr>
          <w:noProof/>
        </w:rPr>
        <w:t xml:space="preserve">, </w:t>
      </w:r>
      <w:r w:rsidRPr="004A12DC">
        <w:rPr>
          <w:b/>
          <w:bCs/>
          <w:noProof/>
        </w:rPr>
        <w:t>Fraser L</w:t>
      </w:r>
      <w:r w:rsidRPr="004A12DC">
        <w:rPr>
          <w:noProof/>
        </w:rPr>
        <w:t xml:space="preserve">, </w:t>
      </w:r>
      <w:r w:rsidRPr="004A12DC">
        <w:rPr>
          <w:b/>
          <w:bCs/>
          <w:noProof/>
        </w:rPr>
        <w:t>Bauer M</w:t>
      </w:r>
      <w:r w:rsidRPr="004A12DC">
        <w:rPr>
          <w:noProof/>
        </w:rPr>
        <w:t xml:space="preserve">, </w:t>
      </w:r>
      <w:r w:rsidRPr="004A12DC">
        <w:rPr>
          <w:b/>
          <w:bCs/>
          <w:noProof/>
        </w:rPr>
        <w:t>Gormley N</w:t>
      </w:r>
      <w:r w:rsidRPr="004A12DC">
        <w:rPr>
          <w:noProof/>
        </w:rPr>
        <w:t xml:space="preserve">, </w:t>
      </w:r>
      <w:r w:rsidRPr="004A12DC">
        <w:rPr>
          <w:b/>
          <w:bCs/>
          <w:noProof/>
        </w:rPr>
        <w:t>Gilbert JA</w:t>
      </w:r>
      <w:r w:rsidRPr="004A12DC">
        <w:rPr>
          <w:noProof/>
        </w:rPr>
        <w:t xml:space="preserve">, </w:t>
      </w:r>
      <w:r w:rsidRPr="004A12DC">
        <w:rPr>
          <w:b/>
          <w:bCs/>
          <w:noProof/>
        </w:rPr>
        <w:t>Smith G</w:t>
      </w:r>
      <w:r w:rsidRPr="004A12DC">
        <w:rPr>
          <w:noProof/>
        </w:rPr>
        <w:t xml:space="preserve">, </w:t>
      </w:r>
      <w:r w:rsidRPr="004A12DC">
        <w:rPr>
          <w:b/>
          <w:bCs/>
          <w:noProof/>
        </w:rPr>
        <w:t>Knight R</w:t>
      </w:r>
      <w:r w:rsidRPr="004A12DC">
        <w:rPr>
          <w:noProof/>
        </w:rPr>
        <w:t xml:space="preserve">. 2012. Ultra-high-throughput microbial community analysis on the Illumina HiSeq and MiSeq platforms. ISME J </w:t>
      </w:r>
      <w:r w:rsidRPr="004A12DC">
        <w:rPr>
          <w:b/>
          <w:bCs/>
          <w:noProof/>
        </w:rPr>
        <w:t>6</w:t>
      </w:r>
      <w:r w:rsidRPr="004A12DC">
        <w:rPr>
          <w:noProof/>
        </w:rPr>
        <w:t>:1621–1624.</w:t>
      </w:r>
    </w:p>
    <w:p w:rsidR="004A12DC" w:rsidRPr="004A12DC" w:rsidRDefault="004A12DC" w:rsidP="004A12DC">
      <w:pPr>
        <w:widowControl w:val="0"/>
        <w:autoSpaceDE w:val="0"/>
        <w:autoSpaceDN w:val="0"/>
        <w:adjustRightInd w:val="0"/>
        <w:spacing w:line="240" w:lineRule="auto"/>
        <w:ind w:left="640" w:hanging="640"/>
        <w:rPr>
          <w:noProof/>
        </w:rPr>
      </w:pPr>
      <w:r w:rsidRPr="004A12DC">
        <w:rPr>
          <w:noProof/>
        </w:rPr>
        <w:t xml:space="preserve">14. </w:t>
      </w:r>
      <w:r w:rsidRPr="004A12DC">
        <w:rPr>
          <w:noProof/>
        </w:rPr>
        <w:tab/>
      </w:r>
      <w:r w:rsidRPr="004A12DC">
        <w:rPr>
          <w:b/>
          <w:bCs/>
          <w:noProof/>
        </w:rPr>
        <w:t>Schloss PD</w:t>
      </w:r>
      <w:r w:rsidRPr="004A12DC">
        <w:rPr>
          <w:noProof/>
        </w:rPr>
        <w:t xml:space="preserve">, </w:t>
      </w:r>
      <w:r w:rsidRPr="004A12DC">
        <w:rPr>
          <w:b/>
          <w:bCs/>
          <w:noProof/>
        </w:rPr>
        <w:t>Westcott SL</w:t>
      </w:r>
      <w:r w:rsidRPr="004A12DC">
        <w:rPr>
          <w:noProof/>
        </w:rPr>
        <w:t xml:space="preserve">, </w:t>
      </w:r>
      <w:r w:rsidRPr="004A12DC">
        <w:rPr>
          <w:b/>
          <w:bCs/>
          <w:noProof/>
        </w:rPr>
        <w:t>Ryabin T</w:t>
      </w:r>
      <w:r w:rsidRPr="004A12DC">
        <w:rPr>
          <w:noProof/>
        </w:rPr>
        <w:t xml:space="preserve">, </w:t>
      </w:r>
      <w:r w:rsidRPr="004A12DC">
        <w:rPr>
          <w:b/>
          <w:bCs/>
          <w:noProof/>
        </w:rPr>
        <w:t>Hall JR</w:t>
      </w:r>
      <w:r w:rsidRPr="004A12DC">
        <w:rPr>
          <w:noProof/>
        </w:rPr>
        <w:t xml:space="preserve">, </w:t>
      </w:r>
      <w:r w:rsidRPr="004A12DC">
        <w:rPr>
          <w:b/>
          <w:bCs/>
          <w:noProof/>
        </w:rPr>
        <w:t>Hartmann M</w:t>
      </w:r>
      <w:r w:rsidRPr="004A12DC">
        <w:rPr>
          <w:noProof/>
        </w:rPr>
        <w:t xml:space="preserve">, </w:t>
      </w:r>
      <w:r w:rsidRPr="004A12DC">
        <w:rPr>
          <w:b/>
          <w:bCs/>
          <w:noProof/>
        </w:rPr>
        <w:t>Hollister EB</w:t>
      </w:r>
      <w:r w:rsidRPr="004A12DC">
        <w:rPr>
          <w:noProof/>
        </w:rPr>
        <w:t xml:space="preserve">, </w:t>
      </w:r>
      <w:r w:rsidRPr="004A12DC">
        <w:rPr>
          <w:b/>
          <w:bCs/>
          <w:noProof/>
        </w:rPr>
        <w:t>Lesniewski RA</w:t>
      </w:r>
      <w:r w:rsidRPr="004A12DC">
        <w:rPr>
          <w:noProof/>
        </w:rPr>
        <w:t xml:space="preserve">, </w:t>
      </w:r>
      <w:r w:rsidRPr="004A12DC">
        <w:rPr>
          <w:b/>
          <w:bCs/>
          <w:noProof/>
        </w:rPr>
        <w:t>Oakley BB</w:t>
      </w:r>
      <w:r w:rsidRPr="004A12DC">
        <w:rPr>
          <w:noProof/>
        </w:rPr>
        <w:t xml:space="preserve">, </w:t>
      </w:r>
      <w:r w:rsidRPr="004A12DC">
        <w:rPr>
          <w:b/>
          <w:bCs/>
          <w:noProof/>
        </w:rPr>
        <w:t>Parks DH</w:t>
      </w:r>
      <w:r w:rsidRPr="004A12DC">
        <w:rPr>
          <w:noProof/>
        </w:rPr>
        <w:t xml:space="preserve">, </w:t>
      </w:r>
      <w:r w:rsidRPr="004A12DC">
        <w:rPr>
          <w:b/>
          <w:bCs/>
          <w:noProof/>
        </w:rPr>
        <w:t>Robinson CJ</w:t>
      </w:r>
      <w:r w:rsidRPr="004A12DC">
        <w:rPr>
          <w:noProof/>
        </w:rPr>
        <w:t xml:space="preserve">, </w:t>
      </w:r>
      <w:r w:rsidRPr="004A12DC">
        <w:rPr>
          <w:b/>
          <w:bCs/>
          <w:noProof/>
        </w:rPr>
        <w:t>Sahl JW</w:t>
      </w:r>
      <w:r w:rsidRPr="004A12DC">
        <w:rPr>
          <w:noProof/>
        </w:rPr>
        <w:t xml:space="preserve">, </w:t>
      </w:r>
      <w:r w:rsidRPr="004A12DC">
        <w:rPr>
          <w:b/>
          <w:bCs/>
          <w:noProof/>
        </w:rPr>
        <w:t>Stres B</w:t>
      </w:r>
      <w:r w:rsidRPr="004A12DC">
        <w:rPr>
          <w:noProof/>
        </w:rPr>
        <w:t xml:space="preserve">, </w:t>
      </w:r>
      <w:r w:rsidRPr="004A12DC">
        <w:rPr>
          <w:b/>
          <w:bCs/>
          <w:noProof/>
        </w:rPr>
        <w:t>Thallinger GG</w:t>
      </w:r>
      <w:r w:rsidRPr="004A12DC">
        <w:rPr>
          <w:noProof/>
        </w:rPr>
        <w:t xml:space="preserve">, </w:t>
      </w:r>
      <w:r w:rsidRPr="004A12DC">
        <w:rPr>
          <w:b/>
          <w:bCs/>
          <w:noProof/>
        </w:rPr>
        <w:t>Van Horn DJ</w:t>
      </w:r>
      <w:r w:rsidRPr="004A12DC">
        <w:rPr>
          <w:noProof/>
        </w:rPr>
        <w:t xml:space="preserve">, </w:t>
      </w:r>
      <w:r w:rsidRPr="004A12DC">
        <w:rPr>
          <w:b/>
          <w:bCs/>
          <w:noProof/>
        </w:rPr>
        <w:t>Weber CF</w:t>
      </w:r>
      <w:r w:rsidRPr="004A12DC">
        <w:rPr>
          <w:noProof/>
        </w:rPr>
        <w:t xml:space="preserve">. 2009. Introducing mothur: Open-source, platform-independent, community-supported software for describing and comparing microbial communities. Appl Environ Microbiol </w:t>
      </w:r>
      <w:r w:rsidRPr="004A12DC">
        <w:rPr>
          <w:b/>
          <w:bCs/>
          <w:noProof/>
        </w:rPr>
        <w:t>75</w:t>
      </w:r>
      <w:r w:rsidRPr="004A12DC">
        <w:rPr>
          <w:noProof/>
        </w:rPr>
        <w:t>:7537–7541.</w:t>
      </w:r>
    </w:p>
    <w:p w:rsidR="004A12DC" w:rsidRPr="004A12DC" w:rsidRDefault="004A12DC" w:rsidP="004A12DC">
      <w:pPr>
        <w:widowControl w:val="0"/>
        <w:autoSpaceDE w:val="0"/>
        <w:autoSpaceDN w:val="0"/>
        <w:adjustRightInd w:val="0"/>
        <w:spacing w:line="240" w:lineRule="auto"/>
        <w:ind w:left="640" w:hanging="640"/>
        <w:rPr>
          <w:noProof/>
        </w:rPr>
      </w:pPr>
      <w:r w:rsidRPr="004A12DC">
        <w:rPr>
          <w:noProof/>
        </w:rPr>
        <w:t xml:space="preserve">15. </w:t>
      </w:r>
      <w:r w:rsidRPr="004A12DC">
        <w:rPr>
          <w:noProof/>
        </w:rPr>
        <w:tab/>
      </w:r>
      <w:r w:rsidRPr="004A12DC">
        <w:rPr>
          <w:b/>
          <w:bCs/>
          <w:noProof/>
        </w:rPr>
        <w:t>DeSantis TZ</w:t>
      </w:r>
      <w:r w:rsidRPr="004A12DC">
        <w:rPr>
          <w:noProof/>
        </w:rPr>
        <w:t xml:space="preserve">, </w:t>
      </w:r>
      <w:r w:rsidRPr="004A12DC">
        <w:rPr>
          <w:b/>
          <w:bCs/>
          <w:noProof/>
        </w:rPr>
        <w:t>Hugenholtz P</w:t>
      </w:r>
      <w:r w:rsidRPr="004A12DC">
        <w:rPr>
          <w:noProof/>
        </w:rPr>
        <w:t xml:space="preserve">, </w:t>
      </w:r>
      <w:r w:rsidRPr="004A12DC">
        <w:rPr>
          <w:b/>
          <w:bCs/>
          <w:noProof/>
        </w:rPr>
        <w:t>Larsen N</w:t>
      </w:r>
      <w:r w:rsidRPr="004A12DC">
        <w:rPr>
          <w:noProof/>
        </w:rPr>
        <w:t xml:space="preserve">, </w:t>
      </w:r>
      <w:r w:rsidRPr="004A12DC">
        <w:rPr>
          <w:b/>
          <w:bCs/>
          <w:noProof/>
        </w:rPr>
        <w:t>Rojas M</w:t>
      </w:r>
      <w:r w:rsidRPr="004A12DC">
        <w:rPr>
          <w:noProof/>
        </w:rPr>
        <w:t xml:space="preserve">, </w:t>
      </w:r>
      <w:r w:rsidRPr="004A12DC">
        <w:rPr>
          <w:b/>
          <w:bCs/>
          <w:noProof/>
        </w:rPr>
        <w:t>Brodie EL</w:t>
      </w:r>
      <w:r w:rsidRPr="004A12DC">
        <w:rPr>
          <w:noProof/>
        </w:rPr>
        <w:t xml:space="preserve">, </w:t>
      </w:r>
      <w:r w:rsidRPr="004A12DC">
        <w:rPr>
          <w:b/>
          <w:bCs/>
          <w:noProof/>
        </w:rPr>
        <w:t>Keller K</w:t>
      </w:r>
      <w:r w:rsidRPr="004A12DC">
        <w:rPr>
          <w:noProof/>
        </w:rPr>
        <w:t xml:space="preserve">, </w:t>
      </w:r>
      <w:r w:rsidRPr="004A12DC">
        <w:rPr>
          <w:b/>
          <w:bCs/>
          <w:noProof/>
        </w:rPr>
        <w:t>Huber T</w:t>
      </w:r>
      <w:r w:rsidRPr="004A12DC">
        <w:rPr>
          <w:noProof/>
        </w:rPr>
        <w:t xml:space="preserve">, </w:t>
      </w:r>
      <w:r w:rsidRPr="004A12DC">
        <w:rPr>
          <w:b/>
          <w:bCs/>
          <w:noProof/>
        </w:rPr>
        <w:t>Dalevi D</w:t>
      </w:r>
      <w:r w:rsidRPr="004A12DC">
        <w:rPr>
          <w:noProof/>
        </w:rPr>
        <w:t xml:space="preserve">, </w:t>
      </w:r>
      <w:r w:rsidRPr="004A12DC">
        <w:rPr>
          <w:b/>
          <w:bCs/>
          <w:noProof/>
        </w:rPr>
        <w:t>Hu P</w:t>
      </w:r>
      <w:r w:rsidRPr="004A12DC">
        <w:rPr>
          <w:noProof/>
        </w:rPr>
        <w:t xml:space="preserve">, </w:t>
      </w:r>
      <w:r w:rsidRPr="004A12DC">
        <w:rPr>
          <w:b/>
          <w:bCs/>
          <w:noProof/>
        </w:rPr>
        <w:t>Andersen GL</w:t>
      </w:r>
      <w:r w:rsidRPr="004A12DC">
        <w:rPr>
          <w:noProof/>
        </w:rPr>
        <w:t xml:space="preserve">. 2006. Greengenes, a chimera-checked 16S rRNA gene database and workbench compatible with ARB. Appl Environ Microbiol </w:t>
      </w:r>
      <w:r w:rsidRPr="004A12DC">
        <w:rPr>
          <w:b/>
          <w:bCs/>
          <w:noProof/>
        </w:rPr>
        <w:t>72</w:t>
      </w:r>
      <w:r w:rsidRPr="004A12DC">
        <w:rPr>
          <w:noProof/>
        </w:rPr>
        <w:t>:5069–5072.</w:t>
      </w:r>
    </w:p>
    <w:p w:rsidR="004A12DC" w:rsidRPr="004A12DC" w:rsidRDefault="004A12DC" w:rsidP="004A12DC">
      <w:pPr>
        <w:widowControl w:val="0"/>
        <w:autoSpaceDE w:val="0"/>
        <w:autoSpaceDN w:val="0"/>
        <w:adjustRightInd w:val="0"/>
        <w:spacing w:line="240" w:lineRule="auto"/>
        <w:ind w:left="640" w:hanging="640"/>
        <w:rPr>
          <w:noProof/>
        </w:rPr>
      </w:pPr>
      <w:r w:rsidRPr="004A12DC">
        <w:rPr>
          <w:noProof/>
        </w:rPr>
        <w:t xml:space="preserve">16. </w:t>
      </w:r>
      <w:r w:rsidRPr="004A12DC">
        <w:rPr>
          <w:noProof/>
        </w:rPr>
        <w:tab/>
      </w:r>
      <w:r w:rsidRPr="004A12DC">
        <w:rPr>
          <w:b/>
          <w:bCs/>
          <w:noProof/>
        </w:rPr>
        <w:t>Newton RJ</w:t>
      </w:r>
      <w:r w:rsidRPr="004A12DC">
        <w:rPr>
          <w:noProof/>
        </w:rPr>
        <w:t xml:space="preserve">, </w:t>
      </w:r>
      <w:r w:rsidRPr="004A12DC">
        <w:rPr>
          <w:b/>
          <w:bCs/>
          <w:noProof/>
        </w:rPr>
        <w:t>Jones SE</w:t>
      </w:r>
      <w:r w:rsidRPr="004A12DC">
        <w:rPr>
          <w:noProof/>
        </w:rPr>
        <w:t xml:space="preserve">, </w:t>
      </w:r>
      <w:r w:rsidRPr="004A12DC">
        <w:rPr>
          <w:b/>
          <w:bCs/>
          <w:noProof/>
        </w:rPr>
        <w:t>Eiler A</w:t>
      </w:r>
      <w:r w:rsidRPr="004A12DC">
        <w:rPr>
          <w:noProof/>
        </w:rPr>
        <w:t xml:space="preserve">, </w:t>
      </w:r>
      <w:r w:rsidRPr="004A12DC">
        <w:rPr>
          <w:b/>
          <w:bCs/>
          <w:noProof/>
        </w:rPr>
        <w:t>McMahon KD</w:t>
      </w:r>
      <w:r w:rsidRPr="004A12DC">
        <w:rPr>
          <w:noProof/>
        </w:rPr>
        <w:t xml:space="preserve">, </w:t>
      </w:r>
      <w:r w:rsidRPr="004A12DC">
        <w:rPr>
          <w:b/>
          <w:bCs/>
          <w:noProof/>
        </w:rPr>
        <w:t>Bertilsson S</w:t>
      </w:r>
      <w:r w:rsidRPr="004A12DC">
        <w:rPr>
          <w:noProof/>
        </w:rPr>
        <w:t xml:space="preserve">. 2011. A guide to the natural history of freshwater lake bacteria. Microbiol Mol Biol Rev </w:t>
      </w:r>
      <w:r w:rsidRPr="004A12DC">
        <w:rPr>
          <w:b/>
          <w:bCs/>
          <w:noProof/>
        </w:rPr>
        <w:t>75</w:t>
      </w:r>
      <w:r w:rsidRPr="004A12DC">
        <w:rPr>
          <w:noProof/>
        </w:rPr>
        <w:t>:14–49.</w:t>
      </w:r>
    </w:p>
    <w:p w:rsidR="004A12DC" w:rsidRPr="004A12DC" w:rsidRDefault="004A12DC" w:rsidP="004A12DC">
      <w:pPr>
        <w:widowControl w:val="0"/>
        <w:autoSpaceDE w:val="0"/>
        <w:autoSpaceDN w:val="0"/>
        <w:adjustRightInd w:val="0"/>
        <w:spacing w:line="240" w:lineRule="auto"/>
        <w:ind w:left="640" w:hanging="640"/>
        <w:rPr>
          <w:noProof/>
        </w:rPr>
      </w:pPr>
      <w:r w:rsidRPr="004A12DC">
        <w:rPr>
          <w:noProof/>
        </w:rPr>
        <w:t xml:space="preserve">17. </w:t>
      </w:r>
      <w:r w:rsidRPr="004A12DC">
        <w:rPr>
          <w:noProof/>
        </w:rPr>
        <w:tab/>
      </w:r>
      <w:r w:rsidRPr="004A12DC">
        <w:rPr>
          <w:b/>
          <w:bCs/>
          <w:noProof/>
        </w:rPr>
        <w:t>Camacho C</w:t>
      </w:r>
      <w:r w:rsidRPr="004A12DC">
        <w:rPr>
          <w:noProof/>
        </w:rPr>
        <w:t xml:space="preserve">, </w:t>
      </w:r>
      <w:r w:rsidRPr="004A12DC">
        <w:rPr>
          <w:b/>
          <w:bCs/>
          <w:noProof/>
        </w:rPr>
        <w:t>Coulouris G</w:t>
      </w:r>
      <w:r w:rsidRPr="004A12DC">
        <w:rPr>
          <w:noProof/>
        </w:rPr>
        <w:t xml:space="preserve">, </w:t>
      </w:r>
      <w:r w:rsidRPr="004A12DC">
        <w:rPr>
          <w:b/>
          <w:bCs/>
          <w:noProof/>
        </w:rPr>
        <w:t>Avagyan V</w:t>
      </w:r>
      <w:r w:rsidRPr="004A12DC">
        <w:rPr>
          <w:noProof/>
        </w:rPr>
        <w:t xml:space="preserve">, </w:t>
      </w:r>
      <w:r w:rsidRPr="004A12DC">
        <w:rPr>
          <w:b/>
          <w:bCs/>
          <w:noProof/>
        </w:rPr>
        <w:t>Ma N</w:t>
      </w:r>
      <w:r w:rsidRPr="004A12DC">
        <w:rPr>
          <w:noProof/>
        </w:rPr>
        <w:t xml:space="preserve">, </w:t>
      </w:r>
      <w:r w:rsidRPr="004A12DC">
        <w:rPr>
          <w:b/>
          <w:bCs/>
          <w:noProof/>
        </w:rPr>
        <w:t>Papadopoulos J</w:t>
      </w:r>
      <w:r w:rsidRPr="004A12DC">
        <w:rPr>
          <w:noProof/>
        </w:rPr>
        <w:t xml:space="preserve">, </w:t>
      </w:r>
      <w:r w:rsidRPr="004A12DC">
        <w:rPr>
          <w:b/>
          <w:bCs/>
          <w:noProof/>
        </w:rPr>
        <w:t>Bealer K</w:t>
      </w:r>
      <w:r w:rsidRPr="004A12DC">
        <w:rPr>
          <w:noProof/>
        </w:rPr>
        <w:t xml:space="preserve">, </w:t>
      </w:r>
      <w:r w:rsidRPr="004A12DC">
        <w:rPr>
          <w:b/>
          <w:bCs/>
          <w:noProof/>
        </w:rPr>
        <w:t>Madden TL</w:t>
      </w:r>
      <w:r w:rsidRPr="004A12DC">
        <w:rPr>
          <w:noProof/>
        </w:rPr>
        <w:t xml:space="preserve">. 2009. BLAST plus : architecture and applications. BMC Bioinformatics </w:t>
      </w:r>
      <w:r w:rsidRPr="004A12DC">
        <w:rPr>
          <w:b/>
          <w:bCs/>
          <w:noProof/>
        </w:rPr>
        <w:t>10</w:t>
      </w:r>
      <w:r w:rsidRPr="004A12DC">
        <w:rPr>
          <w:noProof/>
        </w:rPr>
        <w:t>:-.</w:t>
      </w:r>
    </w:p>
    <w:p w:rsidR="004A12DC" w:rsidRPr="004A12DC" w:rsidRDefault="004A12DC" w:rsidP="004A12DC">
      <w:pPr>
        <w:widowControl w:val="0"/>
        <w:autoSpaceDE w:val="0"/>
        <w:autoSpaceDN w:val="0"/>
        <w:adjustRightInd w:val="0"/>
        <w:spacing w:line="240" w:lineRule="auto"/>
        <w:ind w:left="640" w:hanging="640"/>
        <w:rPr>
          <w:noProof/>
        </w:rPr>
      </w:pPr>
      <w:r w:rsidRPr="004A12DC">
        <w:rPr>
          <w:noProof/>
        </w:rPr>
        <w:t xml:space="preserve">18. </w:t>
      </w:r>
      <w:r w:rsidRPr="004A12DC">
        <w:rPr>
          <w:noProof/>
        </w:rPr>
        <w:tab/>
      </w:r>
      <w:r w:rsidRPr="004A12DC">
        <w:rPr>
          <w:b/>
          <w:bCs/>
          <w:noProof/>
        </w:rPr>
        <w:t>Wang Q</w:t>
      </w:r>
      <w:r w:rsidRPr="004A12DC">
        <w:rPr>
          <w:noProof/>
        </w:rPr>
        <w:t xml:space="preserve">, </w:t>
      </w:r>
      <w:r w:rsidRPr="004A12DC">
        <w:rPr>
          <w:b/>
          <w:bCs/>
          <w:noProof/>
        </w:rPr>
        <w:t>Garrity GM</w:t>
      </w:r>
      <w:r w:rsidRPr="004A12DC">
        <w:rPr>
          <w:noProof/>
        </w:rPr>
        <w:t xml:space="preserve">, </w:t>
      </w:r>
      <w:r w:rsidRPr="004A12DC">
        <w:rPr>
          <w:b/>
          <w:bCs/>
          <w:noProof/>
        </w:rPr>
        <w:t>Tiedje JM</w:t>
      </w:r>
      <w:r w:rsidRPr="004A12DC">
        <w:rPr>
          <w:noProof/>
        </w:rPr>
        <w:t xml:space="preserve">, </w:t>
      </w:r>
      <w:r w:rsidRPr="004A12DC">
        <w:rPr>
          <w:b/>
          <w:bCs/>
          <w:noProof/>
        </w:rPr>
        <w:t>Cole JR</w:t>
      </w:r>
      <w:r w:rsidRPr="004A12DC">
        <w:rPr>
          <w:noProof/>
        </w:rPr>
        <w:t xml:space="preserve">. 2007. Naive Bayesian Classifier for Rapid Assignment of rRNA Sequences into the New Bacterial Taxonomy. Appl Environ Microbiol </w:t>
      </w:r>
      <w:r w:rsidRPr="004A12DC">
        <w:rPr>
          <w:b/>
          <w:bCs/>
          <w:noProof/>
        </w:rPr>
        <w:t>73</w:t>
      </w:r>
      <w:r w:rsidRPr="004A12DC">
        <w:rPr>
          <w:noProof/>
        </w:rPr>
        <w:t>:5261–5267.</w:t>
      </w:r>
    </w:p>
    <w:p w:rsidR="004A12DC" w:rsidRPr="004A12DC" w:rsidRDefault="004A12DC" w:rsidP="004A12DC">
      <w:pPr>
        <w:widowControl w:val="0"/>
        <w:autoSpaceDE w:val="0"/>
        <w:autoSpaceDN w:val="0"/>
        <w:adjustRightInd w:val="0"/>
        <w:spacing w:line="240" w:lineRule="auto"/>
        <w:ind w:left="640" w:hanging="640"/>
        <w:rPr>
          <w:noProof/>
        </w:rPr>
      </w:pPr>
      <w:r w:rsidRPr="004A12DC">
        <w:rPr>
          <w:noProof/>
        </w:rPr>
        <w:t xml:space="preserve">19. </w:t>
      </w:r>
      <w:r w:rsidRPr="004A12DC">
        <w:rPr>
          <w:noProof/>
        </w:rPr>
        <w:tab/>
      </w:r>
      <w:r w:rsidRPr="004A12DC">
        <w:rPr>
          <w:b/>
          <w:bCs/>
          <w:noProof/>
        </w:rPr>
        <w:t>Lozupone C</w:t>
      </w:r>
      <w:r w:rsidRPr="004A12DC">
        <w:rPr>
          <w:noProof/>
        </w:rPr>
        <w:t xml:space="preserve">, </w:t>
      </w:r>
      <w:r w:rsidRPr="004A12DC">
        <w:rPr>
          <w:b/>
          <w:bCs/>
          <w:noProof/>
        </w:rPr>
        <w:t>Knight R</w:t>
      </w:r>
      <w:r w:rsidRPr="004A12DC">
        <w:rPr>
          <w:noProof/>
        </w:rPr>
        <w:t xml:space="preserve">. 2005. UniFrac : a New Phylogenetic Method for Comparing Microbial Communities UniFrac : a New Phylogenetic Method for Comparing Microbial Communities. Appl Environ Microbiol </w:t>
      </w:r>
      <w:r w:rsidRPr="004A12DC">
        <w:rPr>
          <w:b/>
          <w:bCs/>
          <w:noProof/>
        </w:rPr>
        <w:t>71</w:t>
      </w:r>
      <w:r w:rsidRPr="004A12DC">
        <w:rPr>
          <w:noProof/>
        </w:rPr>
        <w:t>:8228–8235.</w:t>
      </w:r>
    </w:p>
    <w:p w:rsidR="004A12DC" w:rsidRPr="004A12DC" w:rsidRDefault="004A12DC" w:rsidP="004A12DC">
      <w:pPr>
        <w:widowControl w:val="0"/>
        <w:autoSpaceDE w:val="0"/>
        <w:autoSpaceDN w:val="0"/>
        <w:adjustRightInd w:val="0"/>
        <w:spacing w:line="240" w:lineRule="auto"/>
        <w:ind w:left="640" w:hanging="640"/>
        <w:rPr>
          <w:noProof/>
        </w:rPr>
      </w:pPr>
      <w:r w:rsidRPr="004A12DC">
        <w:rPr>
          <w:noProof/>
        </w:rPr>
        <w:t xml:space="preserve">20. </w:t>
      </w:r>
      <w:r w:rsidRPr="004A12DC">
        <w:rPr>
          <w:noProof/>
        </w:rPr>
        <w:tab/>
      </w:r>
      <w:r w:rsidRPr="004A12DC">
        <w:rPr>
          <w:b/>
          <w:bCs/>
          <w:noProof/>
        </w:rPr>
        <w:t>De Cáceres M</w:t>
      </w:r>
      <w:r w:rsidRPr="004A12DC">
        <w:rPr>
          <w:noProof/>
        </w:rPr>
        <w:t xml:space="preserve">, </w:t>
      </w:r>
      <w:r w:rsidRPr="004A12DC">
        <w:rPr>
          <w:b/>
          <w:bCs/>
          <w:noProof/>
        </w:rPr>
        <w:t>Legendre P</w:t>
      </w:r>
      <w:r w:rsidRPr="004A12DC">
        <w:rPr>
          <w:noProof/>
        </w:rPr>
        <w:t xml:space="preserve">. 2009. Associations between species and groups of sites: indices and statistical inference. Ecology </w:t>
      </w:r>
      <w:r w:rsidRPr="004A12DC">
        <w:rPr>
          <w:b/>
          <w:bCs/>
          <w:noProof/>
        </w:rPr>
        <w:t>90</w:t>
      </w:r>
      <w:r w:rsidRPr="004A12DC">
        <w:rPr>
          <w:noProof/>
        </w:rPr>
        <w:t>:3566–3574.</w:t>
      </w:r>
    </w:p>
    <w:p w:rsidR="004A12DC" w:rsidRPr="004A12DC" w:rsidRDefault="004A12DC" w:rsidP="004A12DC">
      <w:r>
        <w:fldChar w:fldCharType="end"/>
      </w:r>
    </w:p>
    <w:sectPr w:rsidR="004A12DC" w:rsidRPr="004A12DC" w:rsidSect="000D4BB0">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Nirmala UI Semilight">
    <w:panose1 w:val="020B0402040204020203"/>
    <w:charset w:val="00"/>
    <w:family w:val="swiss"/>
    <w:pitch w:val="variable"/>
    <w:sig w:usb0="80FF8023" w:usb1="0000004A" w:usb2="000002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7663A"/>
    <w:multiLevelType w:val="hybridMultilevel"/>
    <w:tmpl w:val="91A61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364492"/>
    <w:multiLevelType w:val="hybridMultilevel"/>
    <w:tmpl w:val="BBEA9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D93B5D"/>
    <w:multiLevelType w:val="hybridMultilevel"/>
    <w:tmpl w:val="22626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6F2DBE"/>
    <w:multiLevelType w:val="hybridMultilevel"/>
    <w:tmpl w:val="6532AB60"/>
    <w:lvl w:ilvl="0" w:tplc="165889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1638C9"/>
    <w:multiLevelType w:val="hybridMultilevel"/>
    <w:tmpl w:val="578CF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1846E2"/>
    <w:multiLevelType w:val="hybridMultilevel"/>
    <w:tmpl w:val="43B86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5F5418"/>
    <w:multiLevelType w:val="hybridMultilevel"/>
    <w:tmpl w:val="DD42B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CE7444"/>
    <w:multiLevelType w:val="multilevel"/>
    <w:tmpl w:val="5BD8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0"/>
  </w:num>
  <w:num w:numId="4">
    <w:abstractNumId w:val="1"/>
  </w:num>
  <w:num w:numId="5">
    <w:abstractNumId w:val="4"/>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294"/>
    <w:rsid w:val="000051F9"/>
    <w:rsid w:val="00082B1F"/>
    <w:rsid w:val="0009686F"/>
    <w:rsid w:val="000A2B26"/>
    <w:rsid w:val="000D4BB0"/>
    <w:rsid w:val="000F6B2F"/>
    <w:rsid w:val="000F6E66"/>
    <w:rsid w:val="00103B13"/>
    <w:rsid w:val="002B1DF8"/>
    <w:rsid w:val="002B357B"/>
    <w:rsid w:val="002E00D6"/>
    <w:rsid w:val="003056F7"/>
    <w:rsid w:val="00345273"/>
    <w:rsid w:val="00350E21"/>
    <w:rsid w:val="00353516"/>
    <w:rsid w:val="00394AD8"/>
    <w:rsid w:val="003B2440"/>
    <w:rsid w:val="00460ABD"/>
    <w:rsid w:val="004A12DC"/>
    <w:rsid w:val="004B29FE"/>
    <w:rsid w:val="004E4294"/>
    <w:rsid w:val="004E63A7"/>
    <w:rsid w:val="00571E5F"/>
    <w:rsid w:val="005B4D51"/>
    <w:rsid w:val="005D0CDC"/>
    <w:rsid w:val="005E5305"/>
    <w:rsid w:val="006139FD"/>
    <w:rsid w:val="006456E8"/>
    <w:rsid w:val="006914C9"/>
    <w:rsid w:val="007D3071"/>
    <w:rsid w:val="007F5BF0"/>
    <w:rsid w:val="008023C5"/>
    <w:rsid w:val="00865DD2"/>
    <w:rsid w:val="008C78A4"/>
    <w:rsid w:val="008D1C6C"/>
    <w:rsid w:val="009760A9"/>
    <w:rsid w:val="00981527"/>
    <w:rsid w:val="009C3131"/>
    <w:rsid w:val="009D61B5"/>
    <w:rsid w:val="009F0972"/>
    <w:rsid w:val="00A304E5"/>
    <w:rsid w:val="00AA2B68"/>
    <w:rsid w:val="00AA6F0D"/>
    <w:rsid w:val="00AC68E3"/>
    <w:rsid w:val="00AE2E3F"/>
    <w:rsid w:val="00B12E1C"/>
    <w:rsid w:val="00B302D0"/>
    <w:rsid w:val="00BE72D5"/>
    <w:rsid w:val="00C229E2"/>
    <w:rsid w:val="00C51B82"/>
    <w:rsid w:val="00C77A11"/>
    <w:rsid w:val="00C86B55"/>
    <w:rsid w:val="00DE2C53"/>
    <w:rsid w:val="00DF1E78"/>
    <w:rsid w:val="00E01775"/>
    <w:rsid w:val="00E07AD3"/>
    <w:rsid w:val="00E30E92"/>
    <w:rsid w:val="00EC1276"/>
    <w:rsid w:val="00EC77B7"/>
    <w:rsid w:val="00F72F3F"/>
    <w:rsid w:val="00F87E83"/>
    <w:rsid w:val="00FA453C"/>
    <w:rsid w:val="00FC3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599F7E-CD5A-42C3-8D11-B1D5493AC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4294"/>
    <w:rPr>
      <w:rFonts w:ascii="Times New Roman" w:hAnsi="Times New Roman" w:cs="Times New Roman"/>
      <w:sz w:val="24"/>
      <w:szCs w:val="24"/>
    </w:rPr>
  </w:style>
  <w:style w:type="paragraph" w:styleId="Heading1">
    <w:name w:val="heading 1"/>
    <w:basedOn w:val="Normal"/>
    <w:next w:val="Normal"/>
    <w:link w:val="Heading1Char"/>
    <w:uiPriority w:val="9"/>
    <w:qFormat/>
    <w:rsid w:val="006139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4294"/>
    <w:pPr>
      <w:keepNext/>
      <w:keepLines/>
      <w:spacing w:before="40" w:after="0"/>
      <w:outlineLvl w:val="1"/>
    </w:pPr>
    <w:rPr>
      <w:rFonts w:eastAsiaTheme="majorEastAsia"/>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4294"/>
    <w:rPr>
      <w:rFonts w:ascii="Times New Roman" w:eastAsiaTheme="majorEastAsia" w:hAnsi="Times New Roman" w:cs="Times New Roman"/>
      <w:sz w:val="28"/>
      <w:szCs w:val="28"/>
    </w:rPr>
  </w:style>
  <w:style w:type="character" w:styleId="Hyperlink">
    <w:name w:val="Hyperlink"/>
    <w:basedOn w:val="DefaultParagraphFont"/>
    <w:uiPriority w:val="99"/>
    <w:unhideWhenUsed/>
    <w:rsid w:val="000D4BB0"/>
    <w:rPr>
      <w:color w:val="0563C1" w:themeColor="hyperlink"/>
      <w:u w:val="single"/>
    </w:rPr>
  </w:style>
  <w:style w:type="paragraph" w:customStyle="1" w:styleId="ManuscriptText">
    <w:name w:val="ManuscriptText"/>
    <w:basedOn w:val="BodyText"/>
    <w:qFormat/>
    <w:rsid w:val="000D4BB0"/>
    <w:pPr>
      <w:widowControl w:val="0"/>
      <w:suppressAutoHyphens/>
      <w:autoSpaceDE w:val="0"/>
      <w:autoSpaceDN w:val="0"/>
      <w:adjustRightInd w:val="0"/>
      <w:spacing w:after="0" w:line="480" w:lineRule="auto"/>
      <w:ind w:firstLine="720"/>
      <w:jc w:val="both"/>
    </w:pPr>
    <w:rPr>
      <w:rFonts w:eastAsia="Times New Roman"/>
      <w:kern w:val="1"/>
      <w:lang w:eastAsia="hi-IN" w:bidi="hi-IN"/>
    </w:rPr>
  </w:style>
  <w:style w:type="paragraph" w:styleId="HTMLPreformatted">
    <w:name w:val="HTML Preformatted"/>
    <w:basedOn w:val="Normal"/>
    <w:link w:val="HTMLPreformattedChar"/>
    <w:uiPriority w:val="99"/>
    <w:unhideWhenUsed/>
    <w:rsid w:val="000D4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D4BB0"/>
    <w:rPr>
      <w:rFonts w:ascii="Courier New" w:eastAsia="Times New Roman" w:hAnsi="Courier New" w:cs="Courier New"/>
      <w:sz w:val="20"/>
      <w:szCs w:val="20"/>
    </w:rPr>
  </w:style>
  <w:style w:type="paragraph" w:styleId="BodyText">
    <w:name w:val="Body Text"/>
    <w:basedOn w:val="Normal"/>
    <w:link w:val="BodyTextChar"/>
    <w:uiPriority w:val="99"/>
    <w:semiHidden/>
    <w:unhideWhenUsed/>
    <w:rsid w:val="000D4BB0"/>
    <w:pPr>
      <w:spacing w:after="120"/>
    </w:pPr>
  </w:style>
  <w:style w:type="character" w:customStyle="1" w:styleId="BodyTextChar">
    <w:name w:val="Body Text Char"/>
    <w:basedOn w:val="DefaultParagraphFont"/>
    <w:link w:val="BodyText"/>
    <w:uiPriority w:val="99"/>
    <w:semiHidden/>
    <w:rsid w:val="000D4BB0"/>
    <w:rPr>
      <w:rFonts w:ascii="Times New Roman" w:hAnsi="Times New Roman" w:cs="Times New Roman"/>
      <w:sz w:val="24"/>
      <w:szCs w:val="24"/>
    </w:rPr>
  </w:style>
  <w:style w:type="character" w:styleId="LineNumber">
    <w:name w:val="line number"/>
    <w:basedOn w:val="DefaultParagraphFont"/>
    <w:uiPriority w:val="99"/>
    <w:semiHidden/>
    <w:unhideWhenUsed/>
    <w:rsid w:val="000D4BB0"/>
  </w:style>
  <w:style w:type="paragraph" w:styleId="ListParagraph">
    <w:name w:val="List Paragraph"/>
    <w:basedOn w:val="Normal"/>
    <w:uiPriority w:val="34"/>
    <w:qFormat/>
    <w:rsid w:val="00350E21"/>
    <w:pPr>
      <w:ind w:left="720"/>
      <w:contextualSpacing/>
    </w:pPr>
    <w:rPr>
      <w:rFonts w:asciiTheme="minorHAnsi" w:hAnsiTheme="minorHAnsi" w:cstheme="minorBidi"/>
      <w:sz w:val="22"/>
      <w:szCs w:val="22"/>
    </w:rPr>
  </w:style>
  <w:style w:type="character" w:styleId="HTMLCode">
    <w:name w:val="HTML Code"/>
    <w:basedOn w:val="DefaultParagraphFont"/>
    <w:uiPriority w:val="99"/>
    <w:semiHidden/>
    <w:unhideWhenUsed/>
    <w:rsid w:val="00103B13"/>
    <w:rPr>
      <w:rFonts w:ascii="Courier New" w:eastAsia="Times New Roman" w:hAnsi="Courier New" w:cs="Courier New"/>
      <w:sz w:val="20"/>
      <w:szCs w:val="20"/>
    </w:rPr>
  </w:style>
  <w:style w:type="table" w:styleId="TableGrid">
    <w:name w:val="Table Grid"/>
    <w:basedOn w:val="TableNormal"/>
    <w:uiPriority w:val="39"/>
    <w:rsid w:val="00103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03B1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5E530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6139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9F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139F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734710">
      <w:bodyDiv w:val="1"/>
      <w:marLeft w:val="0"/>
      <w:marRight w:val="0"/>
      <w:marTop w:val="0"/>
      <w:marBottom w:val="0"/>
      <w:divBdr>
        <w:top w:val="none" w:sz="0" w:space="0" w:color="auto"/>
        <w:left w:val="none" w:sz="0" w:space="0" w:color="auto"/>
        <w:bottom w:val="none" w:sz="0" w:space="0" w:color="auto"/>
        <w:right w:val="none" w:sz="0" w:space="0" w:color="auto"/>
      </w:divBdr>
    </w:div>
    <w:div w:id="211968919">
      <w:bodyDiv w:val="1"/>
      <w:marLeft w:val="0"/>
      <w:marRight w:val="0"/>
      <w:marTop w:val="0"/>
      <w:marBottom w:val="0"/>
      <w:divBdr>
        <w:top w:val="none" w:sz="0" w:space="0" w:color="auto"/>
        <w:left w:val="none" w:sz="0" w:space="0" w:color="auto"/>
        <w:bottom w:val="none" w:sz="0" w:space="0" w:color="auto"/>
        <w:right w:val="none" w:sz="0" w:space="0" w:color="auto"/>
      </w:divBdr>
    </w:div>
    <w:div w:id="464548580">
      <w:bodyDiv w:val="1"/>
      <w:marLeft w:val="0"/>
      <w:marRight w:val="0"/>
      <w:marTop w:val="0"/>
      <w:marBottom w:val="0"/>
      <w:divBdr>
        <w:top w:val="none" w:sz="0" w:space="0" w:color="auto"/>
        <w:left w:val="none" w:sz="0" w:space="0" w:color="auto"/>
        <w:bottom w:val="none" w:sz="0" w:space="0" w:color="auto"/>
        <w:right w:val="none" w:sz="0" w:space="0" w:color="auto"/>
      </w:divBdr>
    </w:div>
    <w:div w:id="544685431">
      <w:bodyDiv w:val="1"/>
      <w:marLeft w:val="0"/>
      <w:marRight w:val="0"/>
      <w:marTop w:val="0"/>
      <w:marBottom w:val="0"/>
      <w:divBdr>
        <w:top w:val="none" w:sz="0" w:space="0" w:color="auto"/>
        <w:left w:val="none" w:sz="0" w:space="0" w:color="auto"/>
        <w:bottom w:val="none" w:sz="0" w:space="0" w:color="auto"/>
        <w:right w:val="none" w:sz="0" w:space="0" w:color="auto"/>
      </w:divBdr>
    </w:div>
    <w:div w:id="1046220729">
      <w:bodyDiv w:val="1"/>
      <w:marLeft w:val="0"/>
      <w:marRight w:val="0"/>
      <w:marTop w:val="0"/>
      <w:marBottom w:val="0"/>
      <w:divBdr>
        <w:top w:val="none" w:sz="0" w:space="0" w:color="auto"/>
        <w:left w:val="none" w:sz="0" w:space="0" w:color="auto"/>
        <w:bottom w:val="none" w:sz="0" w:space="0" w:color="auto"/>
        <w:right w:val="none" w:sz="0" w:space="0" w:color="auto"/>
      </w:divBdr>
    </w:div>
    <w:div w:id="1132207803">
      <w:bodyDiv w:val="1"/>
      <w:marLeft w:val="0"/>
      <w:marRight w:val="0"/>
      <w:marTop w:val="0"/>
      <w:marBottom w:val="0"/>
      <w:divBdr>
        <w:top w:val="none" w:sz="0" w:space="0" w:color="auto"/>
        <w:left w:val="none" w:sz="0" w:space="0" w:color="auto"/>
        <w:bottom w:val="none" w:sz="0" w:space="0" w:color="auto"/>
        <w:right w:val="none" w:sz="0" w:space="0" w:color="auto"/>
      </w:divBdr>
    </w:div>
    <w:div w:id="1331641418">
      <w:bodyDiv w:val="1"/>
      <w:marLeft w:val="0"/>
      <w:marRight w:val="0"/>
      <w:marTop w:val="0"/>
      <w:marBottom w:val="0"/>
      <w:divBdr>
        <w:top w:val="none" w:sz="0" w:space="0" w:color="auto"/>
        <w:left w:val="none" w:sz="0" w:space="0" w:color="auto"/>
        <w:bottom w:val="none" w:sz="0" w:space="0" w:color="auto"/>
        <w:right w:val="none" w:sz="0" w:space="0" w:color="auto"/>
      </w:divBdr>
    </w:div>
    <w:div w:id="1856142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github.com/McMahonLab/16STaxAss"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biocore/deblur"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2CA5D-3DCA-4049-B14E-1196D2172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2894</TotalTime>
  <Pages>27</Pages>
  <Words>12824</Words>
  <Characters>73103</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19</cp:revision>
  <dcterms:created xsi:type="dcterms:W3CDTF">2016-10-10T18:28:00Z</dcterms:created>
  <dcterms:modified xsi:type="dcterms:W3CDTF">2016-10-17T23:52:00Z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amlinz16@gmail.com@www.mendeley.com</vt:lpwstr>
  </property>
  <property fmtid="{D5CDD505-2E9C-101B-9397-08002B2CF9AE}" pid="4" name="Mendeley Citation Style_1">
    <vt:lpwstr>http://www.zotero.org/styles/american-society-for-microbiology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http://www.zotero.org/styles/american-society-for-microbiology</vt:lpwstr>
  </property>
  <property fmtid="{D5CDD505-2E9C-101B-9397-08002B2CF9AE}" pid="12" name="Mendeley Recent Style Name 3_1">
    <vt:lpwstr>American Society for Microbiology</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