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6598BB" w14:textId="430B9E1D" w:rsidR="003E73A5" w:rsidRDefault="003E73A5" w:rsidP="003A5924">
      <w:pPr>
        <w:pStyle w:val="Heading1"/>
      </w:pPr>
      <w:r>
        <w:t>Introduction</w:t>
      </w:r>
    </w:p>
    <w:p w14:paraId="00BAD379" w14:textId="77EAD555" w:rsidR="003E73A5" w:rsidRDefault="003E73A5" w:rsidP="003E73A5">
      <w:r>
        <w:t>Time scales of bacterial communities, sampling to match rate of change, Time scales in aquatic systems</w:t>
      </w:r>
    </w:p>
    <w:p w14:paraId="663258ED" w14:textId="22872605" w:rsidR="003E73A5" w:rsidRDefault="003E73A5" w:rsidP="003E73A5">
      <w:r>
        <w:t>Literature relevant to hypotheses</w:t>
      </w:r>
    </w:p>
    <w:p w14:paraId="03D1CBE1" w14:textId="388E0F4F" w:rsidR="003E73A5" w:rsidRDefault="003E73A5" w:rsidP="003E73A5">
      <w:r>
        <w:t>Overview of dataset + hypotheseses</w:t>
      </w:r>
      <w:bookmarkStart w:id="0" w:name="_GoBack"/>
      <w:bookmarkEnd w:id="0"/>
    </w:p>
    <w:p w14:paraId="10B4880C" w14:textId="77777777" w:rsidR="003E73A5" w:rsidRPr="003E73A5" w:rsidRDefault="003E73A5" w:rsidP="003E73A5"/>
    <w:p w14:paraId="46A02972" w14:textId="77777777" w:rsidR="003E73A5" w:rsidRDefault="003E73A5" w:rsidP="003A5924">
      <w:pPr>
        <w:pStyle w:val="Heading1"/>
      </w:pPr>
    </w:p>
    <w:p w14:paraId="49E905D3" w14:textId="77777777" w:rsidR="001B6679" w:rsidRDefault="001B6679" w:rsidP="003A5924">
      <w:pPr>
        <w:pStyle w:val="Heading1"/>
      </w:pPr>
      <w:r>
        <w:t>Methods</w:t>
      </w:r>
    </w:p>
    <w:p w14:paraId="0B914E4A" w14:textId="77777777" w:rsidR="001B6679" w:rsidRDefault="001B6679" w:rsidP="001B6679">
      <w:r>
        <w:rPr>
          <w:b/>
        </w:rPr>
        <w:t xml:space="preserve">Table 1. Location and characteristics of study sites. </w:t>
      </w:r>
      <w:r>
        <w:t>The lakes included in this time series are small, humic bog lakes in the boreal region near Minocqua, Wisconsin, USA. They range in depth from 2</w:t>
      </w:r>
      <w:r w:rsidR="00CD244E">
        <w:t xml:space="preserve"> to 21.5</w:t>
      </w:r>
      <w:r>
        <w:t xml:space="preserve"> meters and encompass a range of water column mixing frequencies (termed regimes). </w:t>
      </w:r>
      <w:r w:rsidR="003A5924">
        <w:t>Dimictic lakes mix twice per year, typically in fall and spring, while polymictic lakes can mix more than twice throughout the spring, summer, and fall. Meromictic lakes have no recorded mixing events. pH was measured in 2007, while nutrient data was measured in 2008. When two values are present in a single box, the first represents the epilimnion value and the second represents the hypolimnion value.</w:t>
      </w:r>
    </w:p>
    <w:p w14:paraId="6075302B" w14:textId="77777777" w:rsidR="001B6679" w:rsidRDefault="001B6679" w:rsidP="001B6679"/>
    <w:tbl>
      <w:tblPr>
        <w:tblStyle w:val="PlainTable11"/>
        <w:tblpPr w:leftFromText="180" w:rightFromText="180" w:vertAnchor="page" w:horzAnchor="margin" w:tblpXSpec="center" w:tblpY="4786"/>
        <w:tblW w:w="12139" w:type="dxa"/>
        <w:tblLayout w:type="fixed"/>
        <w:tblLook w:val="04A0" w:firstRow="1" w:lastRow="0" w:firstColumn="1" w:lastColumn="0" w:noHBand="0" w:noVBand="1"/>
      </w:tblPr>
      <w:tblGrid>
        <w:gridCol w:w="1537"/>
        <w:gridCol w:w="1158"/>
        <w:gridCol w:w="1287"/>
        <w:gridCol w:w="1375"/>
        <w:gridCol w:w="1375"/>
        <w:gridCol w:w="1375"/>
        <w:gridCol w:w="1375"/>
        <w:gridCol w:w="1378"/>
        <w:gridCol w:w="1279"/>
      </w:tblGrid>
      <w:tr w:rsidR="001B6679" w:rsidRPr="005E5305" w14:paraId="7523C6AD" w14:textId="77777777" w:rsidTr="003A5924">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537" w:type="dxa"/>
          </w:tcPr>
          <w:p w14:paraId="0AC5BFCF" w14:textId="77777777" w:rsidR="001B6679" w:rsidRPr="005E5305"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i/>
                <w:sz w:val="20"/>
                <w:szCs w:val="20"/>
              </w:rPr>
            </w:pPr>
          </w:p>
        </w:tc>
        <w:tc>
          <w:tcPr>
            <w:tcW w:w="1158" w:type="dxa"/>
          </w:tcPr>
          <w:p w14:paraId="5F5C280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Forestry Bog</w:t>
            </w:r>
          </w:p>
        </w:tc>
        <w:tc>
          <w:tcPr>
            <w:tcW w:w="1287" w:type="dxa"/>
          </w:tcPr>
          <w:p w14:paraId="6D78D82E"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Crystal Bog</w:t>
            </w:r>
          </w:p>
        </w:tc>
        <w:tc>
          <w:tcPr>
            <w:tcW w:w="1375" w:type="dxa"/>
          </w:tcPr>
          <w:p w14:paraId="500A40AA"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North Sparkling Bog</w:t>
            </w:r>
          </w:p>
        </w:tc>
        <w:tc>
          <w:tcPr>
            <w:tcW w:w="1375" w:type="dxa"/>
          </w:tcPr>
          <w:p w14:paraId="345F9F9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West Sparkling Bog</w:t>
            </w:r>
          </w:p>
        </w:tc>
        <w:tc>
          <w:tcPr>
            <w:tcW w:w="1375" w:type="dxa"/>
          </w:tcPr>
          <w:p w14:paraId="537A1190"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Trout Bog</w:t>
            </w:r>
          </w:p>
        </w:tc>
        <w:tc>
          <w:tcPr>
            <w:tcW w:w="1375" w:type="dxa"/>
          </w:tcPr>
          <w:p w14:paraId="0D00938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South Sparkling Bog</w:t>
            </w:r>
          </w:p>
        </w:tc>
        <w:tc>
          <w:tcPr>
            <w:tcW w:w="1378" w:type="dxa"/>
          </w:tcPr>
          <w:p w14:paraId="6A27C607"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Hell’s Kitchen</w:t>
            </w:r>
          </w:p>
        </w:tc>
        <w:tc>
          <w:tcPr>
            <w:tcW w:w="1279" w:type="dxa"/>
          </w:tcPr>
          <w:p w14:paraId="12E4F8A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Mary Lake</w:t>
            </w:r>
          </w:p>
        </w:tc>
      </w:tr>
      <w:tr w:rsidR="001B6679" w:rsidRPr="005E5305" w14:paraId="1E25B31C" w14:textId="77777777" w:rsidTr="003A5924">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537" w:type="dxa"/>
          </w:tcPr>
          <w:p w14:paraId="7889DAE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ID</w:t>
            </w:r>
          </w:p>
        </w:tc>
        <w:tc>
          <w:tcPr>
            <w:tcW w:w="1158" w:type="dxa"/>
          </w:tcPr>
          <w:p w14:paraId="5B9F93BA"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FB</w:t>
            </w:r>
          </w:p>
        </w:tc>
        <w:tc>
          <w:tcPr>
            <w:tcW w:w="1287" w:type="dxa"/>
          </w:tcPr>
          <w:p w14:paraId="13F32F40"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CB</w:t>
            </w:r>
          </w:p>
        </w:tc>
        <w:tc>
          <w:tcPr>
            <w:tcW w:w="1375" w:type="dxa"/>
          </w:tcPr>
          <w:p w14:paraId="73685435"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NS</w:t>
            </w:r>
          </w:p>
        </w:tc>
        <w:tc>
          <w:tcPr>
            <w:tcW w:w="1375" w:type="dxa"/>
          </w:tcPr>
          <w:p w14:paraId="04736AAC"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WS</w:t>
            </w:r>
          </w:p>
        </w:tc>
        <w:tc>
          <w:tcPr>
            <w:tcW w:w="1375" w:type="dxa"/>
          </w:tcPr>
          <w:p w14:paraId="5ACFEDDF"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TB</w:t>
            </w:r>
          </w:p>
        </w:tc>
        <w:tc>
          <w:tcPr>
            <w:tcW w:w="1375" w:type="dxa"/>
          </w:tcPr>
          <w:p w14:paraId="75E5765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SS</w:t>
            </w:r>
          </w:p>
        </w:tc>
        <w:tc>
          <w:tcPr>
            <w:tcW w:w="1378" w:type="dxa"/>
          </w:tcPr>
          <w:p w14:paraId="7EFA3B9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HK</w:t>
            </w:r>
          </w:p>
        </w:tc>
        <w:tc>
          <w:tcPr>
            <w:tcW w:w="1279" w:type="dxa"/>
          </w:tcPr>
          <w:p w14:paraId="60CC715C"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MA</w:t>
            </w:r>
          </w:p>
        </w:tc>
      </w:tr>
      <w:tr w:rsidR="001B6679" w:rsidRPr="005E5305" w14:paraId="3B5F1934" w14:textId="77777777" w:rsidTr="003A5924">
        <w:trPr>
          <w:trHeight w:val="251"/>
        </w:trPr>
        <w:tc>
          <w:tcPr>
            <w:cnfStyle w:val="001000000000" w:firstRow="0" w:lastRow="0" w:firstColumn="1" w:lastColumn="0" w:oddVBand="0" w:evenVBand="0" w:oddHBand="0" w:evenHBand="0" w:firstRowFirstColumn="0" w:firstRowLastColumn="0" w:lastRowFirstColumn="0" w:lastRowLastColumn="0"/>
            <w:tcW w:w="1537" w:type="dxa"/>
          </w:tcPr>
          <w:p w14:paraId="2755071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Depth</w:t>
            </w:r>
            <w:r w:rsidRPr="00CD244E">
              <w:rPr>
                <w:rFonts w:ascii="Bell MT" w:eastAsia="Times New Roman" w:hAnsi="Bell MT" w:cs="Nirmala UI Semilight"/>
                <w:i/>
                <w:sz w:val="20"/>
                <w:szCs w:val="20"/>
              </w:rPr>
              <w:t xml:space="preserve"> (m)</w:t>
            </w:r>
          </w:p>
        </w:tc>
        <w:tc>
          <w:tcPr>
            <w:tcW w:w="1158" w:type="dxa"/>
          </w:tcPr>
          <w:p w14:paraId="03FE2054"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w:t>
            </w:r>
          </w:p>
        </w:tc>
        <w:tc>
          <w:tcPr>
            <w:tcW w:w="1287" w:type="dxa"/>
          </w:tcPr>
          <w:p w14:paraId="472AEC9D"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2.5</w:t>
            </w:r>
          </w:p>
        </w:tc>
        <w:tc>
          <w:tcPr>
            <w:tcW w:w="1375" w:type="dxa"/>
          </w:tcPr>
          <w:p w14:paraId="54C4226B"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4.5</w:t>
            </w:r>
          </w:p>
        </w:tc>
        <w:tc>
          <w:tcPr>
            <w:tcW w:w="1375" w:type="dxa"/>
          </w:tcPr>
          <w:p w14:paraId="0369457B"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w:t>
            </w:r>
          </w:p>
        </w:tc>
        <w:tc>
          <w:tcPr>
            <w:tcW w:w="1375" w:type="dxa"/>
          </w:tcPr>
          <w:p w14:paraId="789B34A8"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7.0</w:t>
            </w:r>
          </w:p>
        </w:tc>
        <w:tc>
          <w:tcPr>
            <w:tcW w:w="1375" w:type="dxa"/>
          </w:tcPr>
          <w:p w14:paraId="753FFAFA"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8.0</w:t>
            </w:r>
          </w:p>
        </w:tc>
        <w:tc>
          <w:tcPr>
            <w:tcW w:w="1378" w:type="dxa"/>
          </w:tcPr>
          <w:p w14:paraId="328C4308"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19.3</w:t>
            </w:r>
          </w:p>
        </w:tc>
        <w:tc>
          <w:tcPr>
            <w:tcW w:w="1279" w:type="dxa"/>
          </w:tcPr>
          <w:p w14:paraId="49F4474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21.5</w:t>
            </w:r>
          </w:p>
        </w:tc>
      </w:tr>
      <w:tr w:rsidR="001B6679" w:rsidRPr="005E5305" w14:paraId="23F7868D" w14:textId="77777777" w:rsidTr="003A5924">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537" w:type="dxa"/>
          </w:tcPr>
          <w:p w14:paraId="4A56B26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Surface area</w:t>
            </w:r>
            <w:r w:rsidRPr="00CD244E">
              <w:rPr>
                <w:rFonts w:ascii="Bell MT" w:eastAsia="Times New Roman" w:hAnsi="Bell MT" w:cs="Nirmala UI Semilight"/>
                <w:i/>
                <w:sz w:val="20"/>
                <w:szCs w:val="20"/>
              </w:rPr>
              <w:t xml:space="preserve"> (m</w:t>
            </w:r>
            <w:r w:rsidRPr="00CD244E">
              <w:rPr>
                <w:rFonts w:ascii="Bell MT" w:eastAsia="Times New Roman" w:hAnsi="Bell MT" w:cs="Nirmala UI Semilight"/>
                <w:i/>
                <w:sz w:val="20"/>
                <w:szCs w:val="20"/>
                <w:vertAlign w:val="superscript"/>
              </w:rPr>
              <w:t>2</w:t>
            </w:r>
            <w:r w:rsidRPr="00CD244E">
              <w:rPr>
                <w:rFonts w:ascii="Bell MT" w:eastAsia="Times New Roman" w:hAnsi="Bell MT" w:cs="Nirmala UI Semilight"/>
                <w:i/>
                <w:sz w:val="20"/>
                <w:szCs w:val="20"/>
              </w:rPr>
              <w:t>)</w:t>
            </w:r>
          </w:p>
        </w:tc>
        <w:tc>
          <w:tcPr>
            <w:tcW w:w="1158" w:type="dxa"/>
          </w:tcPr>
          <w:p w14:paraId="7B065947"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1300</w:t>
            </w:r>
          </w:p>
        </w:tc>
        <w:tc>
          <w:tcPr>
            <w:tcW w:w="1287" w:type="dxa"/>
          </w:tcPr>
          <w:p w14:paraId="3D9BE66A"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5600</w:t>
            </w:r>
          </w:p>
        </w:tc>
        <w:tc>
          <w:tcPr>
            <w:tcW w:w="1375" w:type="dxa"/>
          </w:tcPr>
          <w:p w14:paraId="20E34075"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4700</w:t>
            </w:r>
          </w:p>
        </w:tc>
        <w:tc>
          <w:tcPr>
            <w:tcW w:w="1375" w:type="dxa"/>
          </w:tcPr>
          <w:p w14:paraId="492C9B1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11900</w:t>
            </w:r>
          </w:p>
        </w:tc>
        <w:tc>
          <w:tcPr>
            <w:tcW w:w="1375" w:type="dxa"/>
          </w:tcPr>
          <w:p w14:paraId="4F46082F"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10100</w:t>
            </w:r>
          </w:p>
        </w:tc>
        <w:tc>
          <w:tcPr>
            <w:tcW w:w="1375" w:type="dxa"/>
          </w:tcPr>
          <w:p w14:paraId="4CB4DC9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4400</w:t>
            </w:r>
          </w:p>
        </w:tc>
        <w:tc>
          <w:tcPr>
            <w:tcW w:w="1378" w:type="dxa"/>
          </w:tcPr>
          <w:p w14:paraId="517EC3A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30000</w:t>
            </w:r>
          </w:p>
        </w:tc>
        <w:tc>
          <w:tcPr>
            <w:tcW w:w="1279" w:type="dxa"/>
          </w:tcPr>
          <w:p w14:paraId="0724A5C1"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12000</w:t>
            </w:r>
          </w:p>
        </w:tc>
      </w:tr>
      <w:tr w:rsidR="001B6679" w:rsidRPr="005E5305" w14:paraId="1FC41A2A" w14:textId="77777777" w:rsidTr="003A5924">
        <w:trPr>
          <w:trHeight w:val="488"/>
        </w:trPr>
        <w:tc>
          <w:tcPr>
            <w:cnfStyle w:val="001000000000" w:firstRow="0" w:lastRow="0" w:firstColumn="1" w:lastColumn="0" w:oddVBand="0" w:evenVBand="0" w:oddHBand="0" w:evenHBand="0" w:firstRowFirstColumn="0" w:firstRowLastColumn="0" w:lastRowFirstColumn="0" w:lastRowLastColumn="0"/>
            <w:tcW w:w="1537" w:type="dxa"/>
          </w:tcPr>
          <w:p w14:paraId="69F193DB"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Mixing regime</w:t>
            </w:r>
          </w:p>
        </w:tc>
        <w:tc>
          <w:tcPr>
            <w:tcW w:w="1158" w:type="dxa"/>
          </w:tcPr>
          <w:p w14:paraId="73C22115"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287" w:type="dxa"/>
          </w:tcPr>
          <w:p w14:paraId="797C0B60"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75" w:type="dxa"/>
          </w:tcPr>
          <w:p w14:paraId="26CD5FAE"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75" w:type="dxa"/>
          </w:tcPr>
          <w:p w14:paraId="2FDC6F27"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75" w:type="dxa"/>
          </w:tcPr>
          <w:p w14:paraId="36A0F5F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75" w:type="dxa"/>
          </w:tcPr>
          <w:p w14:paraId="58082964"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78" w:type="dxa"/>
          </w:tcPr>
          <w:p w14:paraId="4C28D16C"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c>
          <w:tcPr>
            <w:tcW w:w="1279" w:type="dxa"/>
          </w:tcPr>
          <w:p w14:paraId="54F6EBE2"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r>
      <w:tr w:rsidR="001B6679" w:rsidRPr="005E5305" w14:paraId="7ACB90E0" w14:textId="77777777" w:rsidTr="003A5924">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14:paraId="412C87A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GPS coordinates</w:t>
            </w:r>
          </w:p>
        </w:tc>
        <w:tc>
          <w:tcPr>
            <w:tcW w:w="1158" w:type="dxa"/>
          </w:tcPr>
          <w:p w14:paraId="645D4665"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46.047776,  -89.651248</w:t>
            </w:r>
          </w:p>
        </w:tc>
        <w:tc>
          <w:tcPr>
            <w:tcW w:w="1287" w:type="dxa"/>
          </w:tcPr>
          <w:p w14:paraId="69626F0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46.007639,  -89.606341</w:t>
            </w:r>
          </w:p>
        </w:tc>
        <w:tc>
          <w:tcPr>
            <w:tcW w:w="1375" w:type="dxa"/>
          </w:tcPr>
          <w:p w14:paraId="004A2D5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 xml:space="preserve">46.004819,  </w:t>
            </w:r>
            <w:r w:rsidR="00CD244E" w:rsidRPr="00CD244E">
              <w:rPr>
                <w:rFonts w:ascii="Ebrima" w:eastAsia="Times New Roman" w:hAnsi="Ebrima" w:cs="Nirmala UI Semilight"/>
                <w:sz w:val="20"/>
                <w:szCs w:val="20"/>
              </w:rPr>
              <w:t xml:space="preserve">  </w:t>
            </w:r>
            <w:r w:rsidRPr="00CD244E">
              <w:rPr>
                <w:rFonts w:ascii="Ebrima" w:eastAsia="Times New Roman" w:hAnsi="Ebrima" w:cs="Nirmala UI Semilight"/>
                <w:sz w:val="20"/>
                <w:szCs w:val="20"/>
              </w:rPr>
              <w:t>-89.705214</w:t>
            </w:r>
          </w:p>
        </w:tc>
        <w:tc>
          <w:tcPr>
            <w:tcW w:w="1375" w:type="dxa"/>
          </w:tcPr>
          <w:p w14:paraId="38B96B18"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 xml:space="preserve">46.004633,  </w:t>
            </w:r>
            <w:r w:rsidR="00CD244E" w:rsidRPr="00CD244E">
              <w:rPr>
                <w:rFonts w:ascii="Ebrima" w:eastAsia="Times New Roman" w:hAnsi="Ebrima" w:cs="Nirmala UI Semilight"/>
                <w:sz w:val="20"/>
                <w:szCs w:val="20"/>
              </w:rPr>
              <w:t xml:space="preserve">  </w:t>
            </w:r>
            <w:r w:rsidRPr="00CD244E">
              <w:rPr>
                <w:rFonts w:ascii="Ebrima" w:eastAsia="Times New Roman" w:hAnsi="Ebrima" w:cs="Nirmala UI Semilight"/>
                <w:sz w:val="20"/>
                <w:szCs w:val="20"/>
              </w:rPr>
              <w:t>-89.709082</w:t>
            </w:r>
          </w:p>
        </w:tc>
        <w:tc>
          <w:tcPr>
            <w:tcW w:w="1375" w:type="dxa"/>
          </w:tcPr>
          <w:p w14:paraId="3C4E5C6D"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 xml:space="preserve">46.041140,  </w:t>
            </w:r>
            <w:r w:rsidR="00CD244E" w:rsidRPr="00CD244E">
              <w:rPr>
                <w:rFonts w:ascii="Ebrima" w:eastAsia="Times New Roman" w:hAnsi="Ebrima" w:cs="Nirmala UI Semilight"/>
                <w:sz w:val="20"/>
                <w:szCs w:val="20"/>
              </w:rPr>
              <w:t xml:space="preserve">  </w:t>
            </w:r>
            <w:r w:rsidRPr="00CD244E">
              <w:rPr>
                <w:rFonts w:ascii="Ebrima" w:eastAsia="Times New Roman" w:hAnsi="Ebrima" w:cs="Nirmala UI Semilight"/>
                <w:sz w:val="20"/>
                <w:szCs w:val="20"/>
              </w:rPr>
              <w:t>-89.686352</w:t>
            </w:r>
          </w:p>
        </w:tc>
        <w:tc>
          <w:tcPr>
            <w:tcW w:w="1375" w:type="dxa"/>
          </w:tcPr>
          <w:p w14:paraId="253C8842"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 xml:space="preserve">46.041140,  </w:t>
            </w:r>
            <w:r w:rsidR="00CD244E" w:rsidRPr="00CD244E">
              <w:rPr>
                <w:rFonts w:ascii="Ebrima" w:eastAsia="Times New Roman" w:hAnsi="Ebrima" w:cs="Nirmala UI Semilight"/>
                <w:sz w:val="20"/>
                <w:szCs w:val="20"/>
              </w:rPr>
              <w:t xml:space="preserve">  </w:t>
            </w:r>
            <w:r w:rsidRPr="00CD244E">
              <w:rPr>
                <w:rFonts w:ascii="Ebrima" w:eastAsia="Times New Roman" w:hAnsi="Ebrima" w:cs="Nirmala UI Semilight"/>
                <w:sz w:val="20"/>
                <w:szCs w:val="20"/>
              </w:rPr>
              <w:t>-89.709082</w:t>
            </w:r>
          </w:p>
        </w:tc>
        <w:tc>
          <w:tcPr>
            <w:tcW w:w="1378" w:type="dxa"/>
          </w:tcPr>
          <w:p w14:paraId="1E440A78"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 xml:space="preserve">46.186674,  </w:t>
            </w:r>
            <w:r w:rsidR="00CD244E" w:rsidRPr="00CD244E">
              <w:rPr>
                <w:rFonts w:ascii="Ebrima" w:eastAsia="Times New Roman" w:hAnsi="Ebrima" w:cs="Nirmala UI Semilight"/>
                <w:sz w:val="20"/>
                <w:szCs w:val="20"/>
              </w:rPr>
              <w:t xml:space="preserve">  </w:t>
            </w:r>
            <w:r w:rsidRPr="00CD244E">
              <w:rPr>
                <w:rFonts w:ascii="Ebrima" w:eastAsia="Times New Roman" w:hAnsi="Ebrima" w:cs="Nirmala UI Semilight"/>
                <w:sz w:val="20"/>
                <w:szCs w:val="20"/>
              </w:rPr>
              <w:t>-89.702510</w:t>
            </w:r>
          </w:p>
        </w:tc>
        <w:tc>
          <w:tcPr>
            <w:tcW w:w="1279" w:type="dxa"/>
          </w:tcPr>
          <w:p w14:paraId="335263CD"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46.250764,  -89.900419</w:t>
            </w:r>
          </w:p>
        </w:tc>
      </w:tr>
      <w:tr w:rsidR="001B6679" w:rsidRPr="005E5305" w14:paraId="1070C2CE" w14:textId="77777777" w:rsidTr="003A5924">
        <w:trPr>
          <w:trHeight w:val="505"/>
        </w:trPr>
        <w:tc>
          <w:tcPr>
            <w:cnfStyle w:val="001000000000" w:firstRow="0" w:lastRow="0" w:firstColumn="1" w:lastColumn="0" w:oddVBand="0" w:evenVBand="0" w:oddHBand="0" w:evenHBand="0" w:firstRowFirstColumn="0" w:firstRowLastColumn="0" w:lastRowFirstColumn="0" w:lastRowLastColumn="0"/>
            <w:tcW w:w="1537" w:type="dxa"/>
          </w:tcPr>
          <w:p w14:paraId="6E81E6AB"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Years sampled</w:t>
            </w:r>
          </w:p>
        </w:tc>
        <w:tc>
          <w:tcPr>
            <w:tcW w:w="1158" w:type="dxa"/>
          </w:tcPr>
          <w:p w14:paraId="087B33B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87" w:type="dxa"/>
          </w:tcPr>
          <w:p w14:paraId="797BEE9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2007, 2009</w:t>
            </w:r>
          </w:p>
        </w:tc>
        <w:tc>
          <w:tcPr>
            <w:tcW w:w="1375" w:type="dxa"/>
          </w:tcPr>
          <w:p w14:paraId="227CDB0B"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75" w:type="dxa"/>
          </w:tcPr>
          <w:p w14:paraId="2AEBF3DD"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375" w:type="dxa"/>
          </w:tcPr>
          <w:p w14:paraId="38F727F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c>
          <w:tcPr>
            <w:tcW w:w="1375" w:type="dxa"/>
          </w:tcPr>
          <w:p w14:paraId="7CC54841"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78" w:type="dxa"/>
          </w:tcPr>
          <w:p w14:paraId="3771ECC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79" w:type="dxa"/>
          </w:tcPr>
          <w:p w14:paraId="2895A892"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r>
      <w:tr w:rsidR="00CD244E" w:rsidRPr="005E5305" w14:paraId="7789DD01" w14:textId="77777777" w:rsidTr="003A5924">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537" w:type="dxa"/>
          </w:tcPr>
          <w:p w14:paraId="50EE238A" w14:textId="77777777" w:rsidR="00CD244E" w:rsidRPr="00CD244E" w:rsidRDefault="00CD244E"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Pr>
                <w:rFonts w:ascii="Bell MT" w:eastAsia="Times New Roman" w:hAnsi="Bell MT" w:cs="Nirmala UI Semilight"/>
                <w:sz w:val="20"/>
                <w:szCs w:val="20"/>
              </w:rPr>
              <w:t>pH</w:t>
            </w:r>
          </w:p>
        </w:tc>
        <w:tc>
          <w:tcPr>
            <w:tcW w:w="1158" w:type="dxa"/>
          </w:tcPr>
          <w:p w14:paraId="5AD642A4" w14:textId="77777777" w:rsidR="00CD244E" w:rsidRPr="00CD244E" w:rsidRDefault="003A5924"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4.97, 4.85</w:t>
            </w:r>
          </w:p>
        </w:tc>
        <w:tc>
          <w:tcPr>
            <w:tcW w:w="1287" w:type="dxa"/>
          </w:tcPr>
          <w:p w14:paraId="68C781CA" w14:textId="77777777" w:rsidR="00CD244E" w:rsidRPr="00CD244E" w:rsidRDefault="003A5924"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4.49, 4.41</w:t>
            </w:r>
          </w:p>
        </w:tc>
        <w:tc>
          <w:tcPr>
            <w:tcW w:w="1375" w:type="dxa"/>
          </w:tcPr>
          <w:p w14:paraId="48CB1805" w14:textId="77777777" w:rsidR="00CD244E" w:rsidRPr="00CD244E" w:rsidRDefault="003A5924"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4.69, 4.80</w:t>
            </w:r>
          </w:p>
        </w:tc>
        <w:tc>
          <w:tcPr>
            <w:tcW w:w="1375" w:type="dxa"/>
          </w:tcPr>
          <w:p w14:paraId="32655866" w14:textId="77777777" w:rsidR="00CD244E" w:rsidRPr="00CD244E" w:rsidRDefault="003A5924"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5.22, 5.14</w:t>
            </w:r>
          </w:p>
        </w:tc>
        <w:tc>
          <w:tcPr>
            <w:tcW w:w="1375" w:type="dxa"/>
          </w:tcPr>
          <w:p w14:paraId="74FD2010" w14:textId="77777777" w:rsidR="00CD244E" w:rsidRPr="00CD244E" w:rsidRDefault="003A5924"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4.60, 4.78</w:t>
            </w:r>
          </w:p>
        </w:tc>
        <w:tc>
          <w:tcPr>
            <w:tcW w:w="1375" w:type="dxa"/>
          </w:tcPr>
          <w:p w14:paraId="2DC3EBF1" w14:textId="77777777" w:rsidR="00CD244E" w:rsidRPr="00CD244E" w:rsidRDefault="003A5924"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4.46, 4.94</w:t>
            </w:r>
          </w:p>
        </w:tc>
        <w:tc>
          <w:tcPr>
            <w:tcW w:w="1378" w:type="dxa"/>
          </w:tcPr>
          <w:p w14:paraId="503F4634" w14:textId="77777777" w:rsidR="00CD244E" w:rsidRPr="00CD244E" w:rsidRDefault="00CD244E"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267527F0" w14:textId="77777777" w:rsidR="00CD244E" w:rsidRPr="00CD244E" w:rsidRDefault="003A5924"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5.81, 5.72</w:t>
            </w:r>
          </w:p>
        </w:tc>
      </w:tr>
      <w:tr w:rsidR="001B6679" w:rsidRPr="005E5305" w14:paraId="57EA8BFB" w14:textId="77777777" w:rsidTr="003A5924">
        <w:trPr>
          <w:trHeight w:val="759"/>
        </w:trPr>
        <w:tc>
          <w:tcPr>
            <w:cnfStyle w:val="001000000000" w:firstRow="0" w:lastRow="0" w:firstColumn="1" w:lastColumn="0" w:oddVBand="0" w:evenVBand="0" w:oddHBand="0" w:evenHBand="0" w:firstRowFirstColumn="0" w:firstRowLastColumn="0" w:lastRowFirstColumn="0" w:lastRowLastColumn="0"/>
            <w:tcW w:w="1537" w:type="dxa"/>
          </w:tcPr>
          <w:p w14:paraId="7EF05FC1"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Dissolved inorganic carbon (ppm)</w:t>
            </w:r>
          </w:p>
        </w:tc>
        <w:tc>
          <w:tcPr>
            <w:tcW w:w="1158" w:type="dxa"/>
          </w:tcPr>
          <w:p w14:paraId="66965AA2"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87" w:type="dxa"/>
          </w:tcPr>
          <w:p w14:paraId="311FEBDE"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0.69, 1.72</w:t>
            </w:r>
          </w:p>
        </w:tc>
        <w:tc>
          <w:tcPr>
            <w:tcW w:w="1375" w:type="dxa"/>
          </w:tcPr>
          <w:p w14:paraId="30A87685"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1.12, 2.31</w:t>
            </w:r>
          </w:p>
        </w:tc>
        <w:tc>
          <w:tcPr>
            <w:tcW w:w="1375" w:type="dxa"/>
          </w:tcPr>
          <w:p w14:paraId="49D7A21C"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75" w:type="dxa"/>
          </w:tcPr>
          <w:p w14:paraId="7072E52F"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1.73, 4.47</w:t>
            </w:r>
          </w:p>
        </w:tc>
        <w:tc>
          <w:tcPr>
            <w:tcW w:w="1375" w:type="dxa"/>
          </w:tcPr>
          <w:p w14:paraId="02CF3430"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1.97, 6.42</w:t>
            </w:r>
          </w:p>
        </w:tc>
        <w:tc>
          <w:tcPr>
            <w:tcW w:w="1378" w:type="dxa"/>
          </w:tcPr>
          <w:p w14:paraId="6211CF81"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79" w:type="dxa"/>
          </w:tcPr>
          <w:p w14:paraId="60527F4D"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5.54, 12.38</w:t>
            </w:r>
          </w:p>
        </w:tc>
      </w:tr>
      <w:tr w:rsidR="001B6679" w:rsidRPr="005E5305" w14:paraId="258E990B" w14:textId="77777777" w:rsidTr="003A5924">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14:paraId="5C09024F"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Dissolved organic carbon (ppm)</w:t>
            </w:r>
          </w:p>
        </w:tc>
        <w:tc>
          <w:tcPr>
            <w:tcW w:w="1158" w:type="dxa"/>
          </w:tcPr>
          <w:p w14:paraId="60AA80A4"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87" w:type="dxa"/>
          </w:tcPr>
          <w:p w14:paraId="0815FBA8"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15.47, 13.6</w:t>
            </w:r>
          </w:p>
          <w:p w14:paraId="4E641AF8"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716B8C1C"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10.05, 10.40</w:t>
            </w:r>
          </w:p>
        </w:tc>
        <w:tc>
          <w:tcPr>
            <w:tcW w:w="1375" w:type="dxa"/>
          </w:tcPr>
          <w:p w14:paraId="45EAFD37"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6301084F"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19.87, 20.58</w:t>
            </w:r>
          </w:p>
        </w:tc>
        <w:tc>
          <w:tcPr>
            <w:tcW w:w="1375" w:type="dxa"/>
          </w:tcPr>
          <w:p w14:paraId="39A8BD07"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12.40, 21.92</w:t>
            </w:r>
          </w:p>
        </w:tc>
        <w:tc>
          <w:tcPr>
            <w:tcW w:w="1378" w:type="dxa"/>
          </w:tcPr>
          <w:p w14:paraId="196898D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5CBBA3FA"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20.63, 67.10</w:t>
            </w:r>
          </w:p>
        </w:tc>
      </w:tr>
      <w:tr w:rsidR="001B6679" w:rsidRPr="005E5305" w14:paraId="56C575C6" w14:textId="77777777" w:rsidTr="003A5924">
        <w:trPr>
          <w:trHeight w:val="505"/>
        </w:trPr>
        <w:tc>
          <w:tcPr>
            <w:cnfStyle w:val="001000000000" w:firstRow="0" w:lastRow="0" w:firstColumn="1" w:lastColumn="0" w:oddVBand="0" w:evenVBand="0" w:oddHBand="0" w:evenHBand="0" w:firstRowFirstColumn="0" w:firstRowLastColumn="0" w:lastRowFirstColumn="0" w:lastRowLastColumn="0"/>
            <w:tcW w:w="1537" w:type="dxa"/>
          </w:tcPr>
          <w:p w14:paraId="6A92120F"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Total nitrogen (ppb)</w:t>
            </w:r>
          </w:p>
        </w:tc>
        <w:tc>
          <w:tcPr>
            <w:tcW w:w="1158" w:type="dxa"/>
          </w:tcPr>
          <w:p w14:paraId="00CBCC34"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87" w:type="dxa"/>
          </w:tcPr>
          <w:p w14:paraId="256598F2"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620.57, 846.00</w:t>
            </w:r>
          </w:p>
        </w:tc>
        <w:tc>
          <w:tcPr>
            <w:tcW w:w="1375" w:type="dxa"/>
          </w:tcPr>
          <w:p w14:paraId="45A93C47"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629.09, 809.45</w:t>
            </w:r>
          </w:p>
        </w:tc>
        <w:tc>
          <w:tcPr>
            <w:tcW w:w="1375" w:type="dxa"/>
          </w:tcPr>
          <w:p w14:paraId="087A564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75" w:type="dxa"/>
          </w:tcPr>
          <w:p w14:paraId="584BF7B2"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737.71, 1121.00</w:t>
            </w:r>
          </w:p>
        </w:tc>
        <w:tc>
          <w:tcPr>
            <w:tcW w:w="1375" w:type="dxa"/>
          </w:tcPr>
          <w:p w14:paraId="756A39B5"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813.88, 1498</w:t>
            </w:r>
          </w:p>
        </w:tc>
        <w:tc>
          <w:tcPr>
            <w:tcW w:w="1378" w:type="dxa"/>
          </w:tcPr>
          <w:p w14:paraId="0734D0FD"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79" w:type="dxa"/>
          </w:tcPr>
          <w:p w14:paraId="104233AF"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1332.57, 3652.38</w:t>
            </w:r>
          </w:p>
        </w:tc>
      </w:tr>
      <w:tr w:rsidR="001B6679" w:rsidRPr="005E5305" w14:paraId="5C627B73" w14:textId="77777777" w:rsidTr="003A5924">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14:paraId="7044056B"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Total phosphorus (ppb)</w:t>
            </w:r>
          </w:p>
        </w:tc>
        <w:tc>
          <w:tcPr>
            <w:tcW w:w="1158" w:type="dxa"/>
          </w:tcPr>
          <w:p w14:paraId="7C90C790"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87" w:type="dxa"/>
          </w:tcPr>
          <w:p w14:paraId="5944DC84"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30.00, 38.86</w:t>
            </w:r>
          </w:p>
          <w:p w14:paraId="41CCA1E0"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626AD3C2"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78.00, 135.45</w:t>
            </w:r>
          </w:p>
        </w:tc>
        <w:tc>
          <w:tcPr>
            <w:tcW w:w="1375" w:type="dxa"/>
          </w:tcPr>
          <w:p w14:paraId="374A9AF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44278EE8"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50.57, 53.25</w:t>
            </w:r>
          </w:p>
        </w:tc>
        <w:tc>
          <w:tcPr>
            <w:tcW w:w="1375" w:type="dxa"/>
          </w:tcPr>
          <w:p w14:paraId="3CA23552"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48.63, 69.14</w:t>
            </w:r>
          </w:p>
        </w:tc>
        <w:tc>
          <w:tcPr>
            <w:tcW w:w="1378" w:type="dxa"/>
          </w:tcPr>
          <w:p w14:paraId="35E458DE"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1431FA78"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78.00, 303.50</w:t>
            </w:r>
          </w:p>
        </w:tc>
      </w:tr>
      <w:tr w:rsidR="001B6679" w:rsidRPr="005E5305" w14:paraId="1DD4D1B2" w14:textId="77777777" w:rsidTr="003A5924">
        <w:trPr>
          <w:trHeight w:val="759"/>
        </w:trPr>
        <w:tc>
          <w:tcPr>
            <w:cnfStyle w:val="001000000000" w:firstRow="0" w:lastRow="0" w:firstColumn="1" w:lastColumn="0" w:oddVBand="0" w:evenVBand="0" w:oddHBand="0" w:evenHBand="0" w:firstRowFirstColumn="0" w:firstRowLastColumn="0" w:lastRowFirstColumn="0" w:lastRowLastColumn="0"/>
            <w:tcW w:w="1537" w:type="dxa"/>
          </w:tcPr>
          <w:p w14:paraId="4926CAE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nitrogen (ppb)</w:t>
            </w:r>
          </w:p>
        </w:tc>
        <w:tc>
          <w:tcPr>
            <w:tcW w:w="1158" w:type="dxa"/>
          </w:tcPr>
          <w:p w14:paraId="70432834"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87" w:type="dxa"/>
          </w:tcPr>
          <w:p w14:paraId="5B6A51BE"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1290.19, 490.13</w:t>
            </w:r>
          </w:p>
        </w:tc>
        <w:tc>
          <w:tcPr>
            <w:tcW w:w="1375" w:type="dxa"/>
          </w:tcPr>
          <w:p w14:paraId="18CED3CC"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442.39, 586.56</w:t>
            </w:r>
          </w:p>
        </w:tc>
        <w:tc>
          <w:tcPr>
            <w:tcW w:w="1375" w:type="dxa"/>
          </w:tcPr>
          <w:p w14:paraId="519FF08E"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75" w:type="dxa"/>
          </w:tcPr>
          <w:p w14:paraId="7FDC614E"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582.5, 820.21</w:t>
            </w:r>
          </w:p>
        </w:tc>
        <w:tc>
          <w:tcPr>
            <w:tcW w:w="1375" w:type="dxa"/>
          </w:tcPr>
          <w:p w14:paraId="448DF8DA"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451.63, 1179.21</w:t>
            </w:r>
          </w:p>
        </w:tc>
        <w:tc>
          <w:tcPr>
            <w:tcW w:w="1378" w:type="dxa"/>
          </w:tcPr>
          <w:p w14:paraId="1590A56E"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79" w:type="dxa"/>
          </w:tcPr>
          <w:p w14:paraId="69272574"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1024.5, 3220.14</w:t>
            </w:r>
          </w:p>
        </w:tc>
      </w:tr>
      <w:tr w:rsidR="001B6679" w:rsidRPr="005E5305" w14:paraId="2360DBCC" w14:textId="77777777" w:rsidTr="003A5924">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1537" w:type="dxa"/>
          </w:tcPr>
          <w:p w14:paraId="087D6B7D"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phosphorus (ppb)</w:t>
            </w:r>
          </w:p>
        </w:tc>
        <w:tc>
          <w:tcPr>
            <w:tcW w:w="1158" w:type="dxa"/>
          </w:tcPr>
          <w:p w14:paraId="4E915B5F"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87" w:type="dxa"/>
          </w:tcPr>
          <w:p w14:paraId="396B37DC"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84.25, 14.88</w:t>
            </w:r>
          </w:p>
        </w:tc>
        <w:tc>
          <w:tcPr>
            <w:tcW w:w="1375" w:type="dxa"/>
          </w:tcPr>
          <w:p w14:paraId="614ABF6C"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70.22, 22.67</w:t>
            </w:r>
          </w:p>
        </w:tc>
        <w:tc>
          <w:tcPr>
            <w:tcW w:w="1375" w:type="dxa"/>
          </w:tcPr>
          <w:p w14:paraId="0B9E7D8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5A42A871"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34.5, 31.57</w:t>
            </w:r>
          </w:p>
        </w:tc>
        <w:tc>
          <w:tcPr>
            <w:tcW w:w="1375" w:type="dxa"/>
          </w:tcPr>
          <w:p w14:paraId="4A44CF51"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16.25, 18.29</w:t>
            </w:r>
          </w:p>
        </w:tc>
        <w:tc>
          <w:tcPr>
            <w:tcW w:w="1378" w:type="dxa"/>
          </w:tcPr>
          <w:p w14:paraId="4CD22F37"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366A3430"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71.13, 228</w:t>
            </w:r>
          </w:p>
        </w:tc>
      </w:tr>
    </w:tbl>
    <w:p w14:paraId="55DCEA17" w14:textId="77777777" w:rsidR="00F513F6" w:rsidRDefault="001B6679" w:rsidP="001B6679">
      <w:pPr>
        <w:pStyle w:val="Heading1"/>
      </w:pPr>
      <w:r>
        <w:t>Results</w:t>
      </w:r>
    </w:p>
    <w:p w14:paraId="170D4B0D" w14:textId="77777777" w:rsidR="00E738AA" w:rsidRPr="00E738AA" w:rsidRDefault="00E738AA" w:rsidP="00E738AA">
      <w:pPr>
        <w:pStyle w:val="Heading2"/>
      </w:pPr>
      <w:r>
        <w:t>Overview of community composition</w:t>
      </w:r>
    </w:p>
    <w:p w14:paraId="7404EB44" w14:textId="592461CE" w:rsidR="00E738AA" w:rsidRDefault="00FC6A58" w:rsidP="00E738AA">
      <w:pPr>
        <w:spacing w:line="480" w:lineRule="auto"/>
        <w:ind w:firstLine="720"/>
        <w:jc w:val="both"/>
      </w:pPr>
      <w:r>
        <w:t xml:space="preserve">A </w:t>
      </w:r>
      <w:r w:rsidR="00E738AA" w:rsidRPr="004E4294">
        <w:t>time series</w:t>
      </w:r>
      <w:r w:rsidR="00E738AA">
        <w:t xml:space="preserve"> of 16S</w:t>
      </w:r>
      <w:r>
        <w:t xml:space="preserve"> amplicon</w:t>
      </w:r>
      <w:r w:rsidR="00E738AA">
        <w:t xml:space="preserve"> data </w:t>
      </w:r>
      <w:r w:rsidR="00AE4FD7">
        <w:t xml:space="preserve">recovered from 1,387 samples </w:t>
      </w:r>
      <w:r w:rsidR="00E738AA">
        <w:t xml:space="preserve">was used to investigate bacterial community </w:t>
      </w:r>
      <w:r>
        <w:t>composition</w:t>
      </w:r>
      <w:r w:rsidR="007C1459">
        <w:t xml:space="preserve"> over time and across lakes</w:t>
      </w:r>
      <w:r w:rsidR="00E738AA">
        <w:t xml:space="preserve">. </w:t>
      </w:r>
      <w:r w:rsidR="00AE4FD7">
        <w:t xml:space="preserve">A total of </w:t>
      </w:r>
      <w:r w:rsidR="00E738AA">
        <w:t>8,795 OTU</w:t>
      </w:r>
      <w:r w:rsidR="00AE4FD7">
        <w:t>s were detected</w:t>
      </w:r>
      <w:r w:rsidR="00E738AA">
        <w:t xml:space="preserve">. </w:t>
      </w:r>
      <w:r w:rsidR="00AE4FD7">
        <w:t xml:space="preserve">As is typical for most freshwater ecosystems, </w:t>
      </w:r>
      <w:r w:rsidR="00E738AA" w:rsidRPr="00152BE5">
        <w:t>Proteobacteria, Actinobacteria, Bacteroidetes, and Verrucomicrobia</w:t>
      </w:r>
      <w:r w:rsidR="00E738AA">
        <w:rPr>
          <w:i/>
        </w:rPr>
        <w:t xml:space="preserve"> </w:t>
      </w:r>
      <w:r w:rsidR="00E738AA">
        <w:t>were the most abundant phyla</w:t>
      </w:r>
      <w:r>
        <w:t xml:space="preserve"> (Figure S1)</w:t>
      </w:r>
      <w:r w:rsidR="00E738AA">
        <w:t>. Wit</w:t>
      </w:r>
      <w:r w:rsidR="00AE4FD7">
        <w:t>hin these phyla, OTU abundance wa</w:t>
      </w:r>
      <w:r w:rsidR="00E738AA">
        <w:t xml:space="preserve">s highly uneven. For example, much of the abundance of </w:t>
      </w:r>
      <w:r w:rsidR="00E738AA">
        <w:rPr>
          <w:i/>
        </w:rPr>
        <w:t xml:space="preserve">Proteobacteria </w:t>
      </w:r>
      <w:r w:rsidR="00AE4FD7">
        <w:t>could</w:t>
      </w:r>
      <w:r w:rsidR="00E738AA">
        <w:t xml:space="preserve"> be attributed to OTUs belonging to the well-known freshwater groups </w:t>
      </w:r>
      <w:r w:rsidR="00E738AA">
        <w:rPr>
          <w:i/>
        </w:rPr>
        <w:t xml:space="preserve">Polynucleobacter </w:t>
      </w:r>
      <w:r w:rsidR="00E738AA">
        <w:t xml:space="preserve">and </w:t>
      </w:r>
      <w:r w:rsidR="00E738AA">
        <w:rPr>
          <w:i/>
        </w:rPr>
        <w:t xml:space="preserve">Limnohabitans, </w:t>
      </w:r>
      <w:r w:rsidR="00E738AA">
        <w:t xml:space="preserve">and </w:t>
      </w:r>
      <w:r w:rsidR="00E738AA">
        <w:lastRenderedPageBreak/>
        <w:t xml:space="preserve">the </w:t>
      </w:r>
      <w:r w:rsidR="00AE4FD7">
        <w:t>freshwater clade acI contributed</w:t>
      </w:r>
      <w:r w:rsidR="00E738AA">
        <w:t xml:space="preserve"> disproportionately to the observed abundance </w:t>
      </w:r>
      <w:r w:rsidR="00E738AA" w:rsidRPr="00152BE5">
        <w:t>of Actinobacteria</w:t>
      </w:r>
      <w:r w:rsidR="00AE4FD7">
        <w:t>.  Like many microbial communities, unevenness wa</w:t>
      </w:r>
      <w:r w:rsidR="00E738AA">
        <w:t xml:space="preserve">s a recurring </w:t>
      </w:r>
      <w:r w:rsidR="00AE4FD7">
        <w:t>theme in this dataset, which had</w:t>
      </w:r>
      <w:r w:rsidR="00E738AA">
        <w:t xml:space="preserve"> a long rare tail of OTUs and trends driven largely by the most abundant OTUs</w:t>
      </w:r>
      <w:r w:rsidR="006139B4">
        <w:t xml:space="preserve"> </w:t>
      </w:r>
      <w:r w:rsidR="006139B4">
        <w:fldChar w:fldCharType="begin" w:fldLock="1"/>
      </w:r>
      <w:r w:rsidR="00EE703B">
        <w:instrText>ADDIN CSL_CITATION { "citationItems" : [ { "id" : "ITEM-1", "itemData" : { "DOI" : "10.1111/ele.12478", "ISSN" : "1461023X", "author" : [ { "dropping-particle" : "", "family" : "Mariadassou", "given" : "Mahendra", "non-dropping-particle" : "", "parse-names" : false, "suffix" : "" }, { "dropping-particle" : "", "family" : "Pichon", "given" : "Samuel", "non-dropping-particle" : "", "parse-names" : false, "suffix" : "" }, { "dropping-particle" : "", "family" : "Ebert", "given" : "Dieter", "non-dropping-particle" : "", "parse-names" : false, "suffix" : "" } ], "container-title" : "Ecology Letters", "id" : "ITEM-1", "issued" : { "date-parts" : [ [ "2015" ] ] }, "page" : "974-982", "title" : "Microbial ecosystems are dominated by specialist taxa", "type" : "article-journal", "volume" : "18" }, "uris" : [ "http://www.mendeley.com/documents/?uuid=85441042-33a2-4d0d-aa32-b26abd55200b" ] }, { "id" : "ITEM-2", "itemData" : { "DOI" : "10.3354/ame01801", "author" : [ { "dropping-particle" : "", "family" : "Newton", "given" : "Ryan J", "non-dropping-particle" : "", "parse-names" : false, "suffix" : "" }, { "dropping-particle" : "", "family" : "Shade", "given" : "Ashley", "non-dropping-particle" : "", "parse-names" : false, "suffix" : "" } ], "container-title" : "Aquatic Microbial Ecology", "id" : "ITEM-2", "issued" : { "date-parts" : [ [ "2016" ] ] }, "page" : "51-63", "title" : "Lifestyles of rarity : understanding heterotrophic strategies to inform the ecology of the microbial rare biosphere", "type" : "article-journal", "volume" : "78" }, "uris" : [ "http://www.mendeley.com/documents/?uuid=9f7851e6-d269-455c-bd1a-0672466bc9bb" ] } ], "mendeley" : { "formattedCitation" : "(1, 2)", "plainTextFormattedCitation" : "(1, 2)", "previouslyFormattedCitation" : "(1, 2)" }, "properties" : { "noteIndex" : 0 }, "schema" : "https://github.com/citation-style-language/schema/raw/master/csl-citation.json" }</w:instrText>
      </w:r>
      <w:r w:rsidR="006139B4">
        <w:fldChar w:fldCharType="separate"/>
      </w:r>
      <w:r w:rsidR="006139B4" w:rsidRPr="006139B4">
        <w:rPr>
          <w:noProof/>
        </w:rPr>
        <w:t>(1, 2)</w:t>
      </w:r>
      <w:r w:rsidR="006139B4">
        <w:fldChar w:fldCharType="end"/>
      </w:r>
      <w:r w:rsidR="00E738AA">
        <w:t>.</w:t>
      </w:r>
      <w:r w:rsidR="00BF468C">
        <w:t xml:space="preserve"> Trimming of rare taxa did not impact the clustering observed in ordinations, such as those present in Figure 2, even when taxa observed less than 1000 times were removed.</w:t>
      </w:r>
    </w:p>
    <w:p w14:paraId="7BC27CB8" w14:textId="77777777" w:rsidR="00E738AA" w:rsidRDefault="00E738AA" w:rsidP="00E738AA">
      <w:pPr>
        <w:pStyle w:val="Heading2"/>
      </w:pPr>
      <w:r>
        <w:t>Community richness</w:t>
      </w:r>
    </w:p>
    <w:p w14:paraId="4586CDF7" w14:textId="389F0662" w:rsidR="00415F71" w:rsidRDefault="00E738AA" w:rsidP="006B2F4E">
      <w:pPr>
        <w:pStyle w:val="ManuscriptText"/>
      </w:pPr>
      <w:r>
        <w:tab/>
        <w:t xml:space="preserve">We hypothesized that disturbance frequency, indicated by mixing regime, determines biodiversity levels. </w:t>
      </w:r>
      <w:r w:rsidRPr="00836ADE">
        <w:t>Observed richness was calculated f</w:t>
      </w:r>
      <w:r>
        <w:t>or every sample at the OTU level, and samples were aggregated by lake and layer</w:t>
      </w:r>
      <w:r w:rsidRPr="00836ADE">
        <w:t xml:space="preserve">. </w:t>
      </w:r>
      <w:r w:rsidR="00ED1AA6">
        <w:t>Hypolimina were on average more rich than epilimnia (Figure 1</w:t>
      </w:r>
      <w:r w:rsidR="005245FD">
        <w:t>, Table S1</w:t>
      </w:r>
      <w:r w:rsidR="00ED1AA6">
        <w:t xml:space="preserve">). </w:t>
      </w:r>
      <w:r w:rsidR="00FC6A58">
        <w:t xml:space="preserve">Significant differences in richness between lakes were detected. </w:t>
      </w:r>
      <w:r>
        <w:t>For both layers, polymictic lakes had</w:t>
      </w:r>
      <w:r w:rsidRPr="00836ADE">
        <w:t xml:space="preserve"> the </w:t>
      </w:r>
      <w:r>
        <w:t>fewest taxa,</w:t>
      </w:r>
      <w:r w:rsidRPr="00836ADE">
        <w:t xml:space="preserve"> meromictic lake</w:t>
      </w:r>
      <w:r>
        <w:t>s had the most taxa, and dimictic lakes had interme</w:t>
      </w:r>
      <w:r w:rsidR="00AE4FD7">
        <w:t>diate numbers of taxa</w:t>
      </w:r>
      <w:r>
        <w:t xml:space="preserve">. </w:t>
      </w:r>
      <w:r w:rsidR="00415F71">
        <w:t xml:space="preserve">This does not support our initial hypothesis that intermediate disturbance leads to the greatest amount of biodiversity. Instead, richness appears to increase with depth. </w:t>
      </w:r>
      <w:r w:rsidR="00AE4FD7">
        <w:t>We note that</w:t>
      </w:r>
      <w:r w:rsidR="00415F71" w:rsidRPr="00AE4FD7">
        <w:t xml:space="preserve"> many variables c</w:t>
      </w:r>
      <w:r w:rsidR="00AE4FD7">
        <w:t xml:space="preserve">ovary with lake depth, </w:t>
      </w:r>
      <w:r w:rsidR="00FC6A58" w:rsidRPr="00AE4FD7">
        <w:t>such as mixing regime, volume of integrated water column</w:t>
      </w:r>
      <w:r w:rsidR="00415F71" w:rsidRPr="00AE4FD7">
        <w:t xml:space="preserve">, </w:t>
      </w:r>
      <w:r w:rsidR="00652CD8" w:rsidRPr="00AE4FD7">
        <w:t>dissolved carbon concentrations</w:t>
      </w:r>
      <w:r w:rsidR="00415F71" w:rsidRPr="00AE4FD7">
        <w:t xml:space="preserve"> and total nitrogen concentration</w:t>
      </w:r>
      <w:r w:rsidR="00AE4FD7">
        <w:t>.</w:t>
      </w:r>
      <w:r w:rsidR="00ED1AA6">
        <w:t xml:space="preserve"> Thus, it is not clear which factor is responsible for the observed trend in richness.</w:t>
      </w:r>
    </w:p>
    <w:p w14:paraId="5F98610F" w14:textId="77777777" w:rsidR="00415F71" w:rsidRDefault="00415F71" w:rsidP="00415F71">
      <w:pPr>
        <w:pStyle w:val="ManuscriptText"/>
        <w:ind w:firstLine="0"/>
      </w:pPr>
    </w:p>
    <w:p w14:paraId="73D05E9A" w14:textId="507779CE" w:rsidR="00415F71" w:rsidRDefault="000C4725" w:rsidP="000C4725">
      <w:pPr>
        <w:pStyle w:val="Heading2"/>
        <w:jc w:val="center"/>
      </w:pPr>
      <w:r>
        <w:rPr>
          <w:noProof/>
        </w:rPr>
        <w:lastRenderedPageBreak/>
        <w:drawing>
          <wp:inline distT="0" distB="0" distL="0" distR="0" wp14:anchorId="1288C5F4" wp14:editId="68B449AC">
            <wp:extent cx="5638334" cy="434608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png"/>
                    <pic:cNvPicPr/>
                  </pic:nvPicPr>
                  <pic:blipFill>
                    <a:blip r:embed="rId5">
                      <a:extLst>
                        <a:ext uri="{28A0092B-C50C-407E-A947-70E740481C1C}">
                          <a14:useLocalDpi xmlns:a14="http://schemas.microsoft.com/office/drawing/2010/main" val="0"/>
                        </a:ext>
                      </a:extLst>
                    </a:blip>
                    <a:stretch>
                      <a:fillRect/>
                    </a:stretch>
                  </pic:blipFill>
                  <pic:spPr>
                    <a:xfrm>
                      <a:off x="0" y="0"/>
                      <a:ext cx="5638334" cy="4346089"/>
                    </a:xfrm>
                    <a:prstGeom prst="rect">
                      <a:avLst/>
                    </a:prstGeom>
                  </pic:spPr>
                </pic:pic>
              </a:graphicData>
            </a:graphic>
          </wp:inline>
        </w:drawing>
      </w:r>
    </w:p>
    <w:p w14:paraId="1BCA3834" w14:textId="77777777" w:rsidR="00E738AA" w:rsidRPr="00415F71" w:rsidRDefault="00415F71" w:rsidP="00053DFA">
      <w:r>
        <w:rPr>
          <w:b/>
        </w:rPr>
        <w:t xml:space="preserve">Figure 1. Richness by layer and lake. </w:t>
      </w:r>
      <w:r>
        <w:t>Lakes on the x axis are arranged by depth (see Table 1 for lake abbreviations</w:t>
      </w:r>
      <w:r w:rsidR="00652CD8">
        <w:t xml:space="preserve"> and depth measurements</w:t>
      </w:r>
      <w:r>
        <w:t xml:space="preserve">). Lakes CB, FB, and WS are polymictic, lakes NS, TB, and SS are dimictic, and lakes HK and MA are meromictic. Colored bars above each plot represent significant differences in richness between lakes, with each colored bar matching the color of a lakes boxplot. For example, in Panel A, the boxplot for CB has the colored bars matching FB, NS, TB, SS, HK, and MA above it. This indicates that it is significantly different from these lakes, but not significantly different from the missing colored bar, WS. </w:t>
      </w:r>
    </w:p>
    <w:p w14:paraId="37DAD8EA" w14:textId="77777777" w:rsidR="00075D98" w:rsidRDefault="00075D98" w:rsidP="00053DFA">
      <w:pPr>
        <w:pStyle w:val="Heading2"/>
        <w:rPr>
          <w:rFonts w:cs="Times New Roman"/>
        </w:rPr>
      </w:pPr>
    </w:p>
    <w:p w14:paraId="61C0616C" w14:textId="77777777" w:rsidR="00C91FE3" w:rsidRDefault="00C91FE3" w:rsidP="00C91FE3">
      <w:pPr>
        <w:spacing w:line="480" w:lineRule="auto"/>
        <w:jc w:val="both"/>
      </w:pPr>
      <w:r>
        <w:rPr>
          <w:noProof/>
        </w:rPr>
        <w:drawing>
          <wp:inline distT="0" distB="0" distL="0" distR="0" wp14:anchorId="1DD8845D" wp14:editId="165A95FD">
            <wp:extent cx="5943600" cy="4957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957445"/>
                    </a:xfrm>
                    <a:prstGeom prst="rect">
                      <a:avLst/>
                    </a:prstGeom>
                  </pic:spPr>
                </pic:pic>
              </a:graphicData>
            </a:graphic>
          </wp:inline>
        </w:drawing>
      </w:r>
    </w:p>
    <w:p w14:paraId="2C6652F6" w14:textId="4F94A885" w:rsidR="00C91FE3" w:rsidRDefault="00C91FE3" w:rsidP="00C91FE3">
      <w:pPr>
        <w:spacing w:line="240" w:lineRule="auto"/>
        <w:jc w:val="both"/>
        <w:rPr>
          <w:rFonts w:cs="Times New Roman"/>
          <w:szCs w:val="24"/>
        </w:rPr>
      </w:pPr>
      <w:r>
        <w:rPr>
          <w:b/>
        </w:rPr>
        <w:t xml:space="preserve">Figure 2. </w:t>
      </w:r>
      <w:r>
        <w:rPr>
          <w:rFonts w:cs="Times New Roman"/>
          <w:szCs w:val="24"/>
        </w:rPr>
        <w:t xml:space="preserve">Weighted UniFrac distance was used to perform principal coordinates analysis on epilimnion (A) and hypolimnion (B) samples. In both layers, samples cluster significantly by lake and mixing regime as tested using </w:t>
      </w:r>
      <w:r w:rsidR="0074058E">
        <w:rPr>
          <w:rFonts w:cs="Times New Roman"/>
          <w:szCs w:val="24"/>
        </w:rPr>
        <w:t>PERMANOVA</w:t>
      </w:r>
      <w:r>
        <w:rPr>
          <w:rFonts w:cs="Times New Roman"/>
          <w:szCs w:val="24"/>
        </w:rPr>
        <w:t xml:space="preserve">. (See Table 1 for lake abbreviations; CB, FB, and WS are polymictic, NS, TB, and SS are dimictic, HK and MA are meromictic). </w:t>
      </w:r>
      <w:r w:rsidR="00652CD8">
        <w:rPr>
          <w:rFonts w:cs="Times New Roman"/>
          <w:szCs w:val="24"/>
        </w:rPr>
        <w:t xml:space="preserve"> Ellipses indicating the clustering of each lake were calculate based on standard error using a 95% confidence interval. Differences in bacterial community composition between lakes and mixing regimes are more pronounced in hypolimnia than epilimnia.</w:t>
      </w:r>
    </w:p>
    <w:p w14:paraId="6C898254" w14:textId="77777777" w:rsidR="00C91FE3" w:rsidRDefault="00C91FE3" w:rsidP="00053DFA">
      <w:pPr>
        <w:spacing w:line="480" w:lineRule="auto"/>
        <w:ind w:firstLine="720"/>
        <w:jc w:val="both"/>
      </w:pPr>
    </w:p>
    <w:p w14:paraId="7259BDFC" w14:textId="77777777" w:rsidR="00C91FE3" w:rsidRDefault="00C91FE3" w:rsidP="00053DFA">
      <w:pPr>
        <w:spacing w:line="480" w:lineRule="auto"/>
        <w:ind w:firstLine="720"/>
        <w:jc w:val="both"/>
      </w:pPr>
    </w:p>
    <w:p w14:paraId="77DA54EB" w14:textId="77777777" w:rsidR="00C91FE3" w:rsidRDefault="00C91FE3" w:rsidP="00652CD8">
      <w:pPr>
        <w:spacing w:line="480" w:lineRule="auto"/>
        <w:jc w:val="both"/>
      </w:pPr>
    </w:p>
    <w:p w14:paraId="0DF8BCA0" w14:textId="77777777" w:rsidR="00C91FE3" w:rsidRPr="000D4BB0" w:rsidRDefault="00C91FE3" w:rsidP="00C91FE3">
      <w:pPr>
        <w:pStyle w:val="Heading2"/>
      </w:pPr>
      <w:r w:rsidRPr="000D4BB0">
        <w:lastRenderedPageBreak/>
        <w:t>Clusters of community composition</w:t>
      </w:r>
    </w:p>
    <w:p w14:paraId="1A690657" w14:textId="55B5B0D9" w:rsidR="00C91FE3" w:rsidRDefault="00C91FE3" w:rsidP="00C91FE3">
      <w:pPr>
        <w:spacing w:line="480" w:lineRule="auto"/>
        <w:ind w:firstLine="720"/>
        <w:jc w:val="both"/>
      </w:pPr>
      <w:r>
        <w:t>When differ</w:t>
      </w:r>
      <w:r w:rsidR="00692CC9">
        <w:t>ences in community composition we</w:t>
      </w:r>
      <w:r>
        <w:t>re quantified using weighted UniFrac distance and visualized using principal coordinates analysis, several trends emerge</w:t>
      </w:r>
      <w:r w:rsidR="00692CC9">
        <w:t>d</w:t>
      </w:r>
      <w:r>
        <w:t xml:space="preserve">. </w:t>
      </w:r>
      <w:r w:rsidR="008532A6">
        <w:t>The large number of samples precluded much interpretation using a single PCoA, but sample clustering by layer, mixing regime,</w:t>
      </w:r>
      <w:r w:rsidR="005245FD">
        <w:t xml:space="preserve"> and lake was evident (Figure S2</w:t>
      </w:r>
      <w:r w:rsidR="008532A6">
        <w:t xml:space="preserve">). Thus, we also examined PCoA for single lakes </w:t>
      </w:r>
      <w:r w:rsidR="00830ACD">
        <w:t xml:space="preserve">(both layers). </w:t>
      </w:r>
      <w:r>
        <w:t>Communities from the epi</w:t>
      </w:r>
      <w:r w:rsidR="00692CC9">
        <w:t>limnion and hypolimnion layers we</w:t>
      </w:r>
      <w:r>
        <w:t>re significantly distinct from each other at p &lt; 0.05 in all lakes except Forestry Bog (FB) (p = 0.10)</w:t>
      </w:r>
      <w:r w:rsidR="005245FD">
        <w:t xml:space="preserve"> (Figure S3</w:t>
      </w:r>
      <w:r w:rsidR="00692CC9">
        <w:t>)</w:t>
      </w:r>
      <w:r>
        <w:t xml:space="preserve">. </w:t>
      </w:r>
    </w:p>
    <w:p w14:paraId="4A2504A2" w14:textId="403AE7D0" w:rsidR="00053DFA" w:rsidRDefault="00475922" w:rsidP="009F1636">
      <w:pPr>
        <w:spacing w:line="480" w:lineRule="auto"/>
        <w:ind w:firstLine="720"/>
        <w:jc w:val="both"/>
      </w:pPr>
      <w:r>
        <w:t>Within layers, mixing regime was the next factor explaining differences in</w:t>
      </w:r>
      <w:r w:rsidR="00053DFA">
        <w:t xml:space="preserve"> community composition</w:t>
      </w:r>
      <w:r>
        <w:t xml:space="preserve"> (Figure 2)</w:t>
      </w:r>
      <w:r w:rsidR="008532A6">
        <w:t xml:space="preserve">. </w:t>
      </w:r>
      <w:r w:rsidR="00763929">
        <w:t>Clustering by mixing regime was significant</w:t>
      </w:r>
      <w:r w:rsidR="009F1636">
        <w:t xml:space="preserve"> by PERMANOVA</w:t>
      </w:r>
      <w:r w:rsidR="00763929">
        <w:t xml:space="preserve"> in both epilimnia and hypolimnia samples (</w:t>
      </w:r>
      <w:r w:rsidR="009F1636">
        <w:t xml:space="preserve">r2 = 0.20 and r2 = 22, respectively, and </w:t>
      </w:r>
      <w:r w:rsidR="00763929">
        <w:t xml:space="preserve">p = 0.001 in both groups). </w:t>
      </w:r>
      <w:r w:rsidR="009F1636">
        <w:t xml:space="preserve">Lake was a strong factor explaining community composition, with significant cluster in epilimnia (p = 0.001, r2 = 0.34) and hypolimnia (p = 0.001, r2 = 0.49). </w:t>
      </w:r>
      <w:r w:rsidR="00C91FE3">
        <w:t xml:space="preserve">As previously mentioned, depth and mixing regime </w:t>
      </w:r>
      <w:r w:rsidR="009F1636">
        <w:t xml:space="preserve">in lakes </w:t>
      </w:r>
      <w:r w:rsidR="008532A6">
        <w:t>co-vary</w:t>
      </w:r>
      <w:r w:rsidR="00C91FE3">
        <w:t xml:space="preserve"> with several other environmental variables such as </w:t>
      </w:r>
      <w:r w:rsidR="008532A6">
        <w:t xml:space="preserve">dissolved </w:t>
      </w:r>
      <w:r w:rsidR="00C91FE3">
        <w:t>carbon and nitrogen concentrations.</w:t>
      </w:r>
      <w:r w:rsidR="00763929">
        <w:t xml:space="preserve"> </w:t>
      </w:r>
    </w:p>
    <w:p w14:paraId="092F8A34" w14:textId="77777777" w:rsidR="009B7954" w:rsidRDefault="00C91FE3" w:rsidP="00DD7644">
      <w:pPr>
        <w:pStyle w:val="Heading2"/>
        <w:spacing w:line="240" w:lineRule="auto"/>
      </w:pPr>
      <w:r>
        <w:t>Variability and dispersion</w:t>
      </w:r>
    </w:p>
    <w:p w14:paraId="53ECD75A" w14:textId="77777777" w:rsidR="00913A4E" w:rsidRDefault="00C91FE3" w:rsidP="00217481">
      <w:pPr>
        <w:spacing w:line="480" w:lineRule="auto"/>
      </w:pPr>
      <w:r>
        <w:tab/>
      </w:r>
      <w:r w:rsidR="00DD7644">
        <w:t>While community composition was distinct by layer, lake, and mixing regime, there was still variability in community composition over time. Each year in each lake had a significantly different community composition, indicating interannual variability in the community composition (Figure 3a-c</w:t>
      </w:r>
      <w:r w:rsidR="00DC7A12">
        <w:t>, Figure S4</w:t>
      </w:r>
      <w:r w:rsidR="00DD7644">
        <w:t xml:space="preserve">). </w:t>
      </w:r>
      <w:r w:rsidR="00217481">
        <w:t xml:space="preserve">We found no evidence of repeating seasonal trends during the stratified summer months in these lakes. </w:t>
      </w:r>
      <w:r w:rsidR="00C33BCD">
        <w:t>Likewise, we examined t</w:t>
      </w:r>
      <w:r w:rsidR="00217481">
        <w:t xml:space="preserve">he abundance trends of </w:t>
      </w:r>
      <w:r w:rsidR="00C33BCD">
        <w:t xml:space="preserve">the most abundant </w:t>
      </w:r>
      <w:r w:rsidR="00217481">
        <w:t xml:space="preserve">individual OTUs </w:t>
      </w:r>
      <w:r w:rsidR="00C33BCD">
        <w:t>and they did not</w:t>
      </w:r>
      <w:r w:rsidR="00217481">
        <w:t xml:space="preserve"> </w:t>
      </w:r>
      <w:r w:rsidR="00C33BCD">
        <w:t xml:space="preserve">seem to </w:t>
      </w:r>
      <w:r w:rsidR="00217481">
        <w:t>repeat each year, even when</w:t>
      </w:r>
      <w:r w:rsidR="005B2AD4">
        <w:t xml:space="preserve"> abundances in each year were</w:t>
      </w:r>
      <w:r w:rsidR="00217481">
        <w:t xml:space="preserve"> normalized using z-scores</w:t>
      </w:r>
      <w:r w:rsidR="00DC7A12">
        <w:t xml:space="preserve"> (Figure S5)</w:t>
      </w:r>
      <w:r w:rsidR="00217481">
        <w:t xml:space="preserve">. </w:t>
      </w:r>
    </w:p>
    <w:p w14:paraId="43841027" w14:textId="73A5FE30" w:rsidR="009B7954" w:rsidRDefault="00EC28F0" w:rsidP="00217481">
      <w:pPr>
        <w:spacing w:line="480" w:lineRule="auto"/>
      </w:pPr>
      <w:r>
        <w:rPr>
          <w:noProof/>
        </w:rPr>
        <w:lastRenderedPageBreak/>
        <w:drawing>
          <wp:anchor distT="0" distB="0" distL="114300" distR="114300" simplePos="0" relativeHeight="251669504" behindDoc="1" locked="0" layoutInCell="1" allowOverlap="1" wp14:anchorId="768955C7" wp14:editId="1D3E36F3">
            <wp:simplePos x="0" y="0"/>
            <wp:positionH relativeFrom="margin">
              <wp:posOffset>-590550</wp:posOffset>
            </wp:positionH>
            <wp:positionV relativeFrom="paragraph">
              <wp:posOffset>0</wp:posOffset>
            </wp:positionV>
            <wp:extent cx="6953250" cy="4635500"/>
            <wp:effectExtent l="0" t="0" r="0" b="0"/>
            <wp:wrapTight wrapText="bothSides">
              <wp:wrapPolygon edited="0">
                <wp:start x="0" y="0"/>
                <wp:lineTo x="0" y="21482"/>
                <wp:lineTo x="21541" y="21482"/>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3.png"/>
                    <pic:cNvPicPr/>
                  </pic:nvPicPr>
                  <pic:blipFill>
                    <a:blip r:embed="rId7"/>
                    <a:stretch>
                      <a:fillRect/>
                    </a:stretch>
                  </pic:blipFill>
                  <pic:spPr>
                    <a:xfrm>
                      <a:off x="0" y="0"/>
                      <a:ext cx="6953574" cy="4635716"/>
                    </a:xfrm>
                    <a:prstGeom prst="rect">
                      <a:avLst/>
                    </a:prstGeom>
                  </pic:spPr>
                </pic:pic>
              </a:graphicData>
            </a:graphic>
            <wp14:sizeRelH relativeFrom="margin">
              <wp14:pctWidth>0</wp14:pctWidth>
            </wp14:sizeRelH>
            <wp14:sizeRelV relativeFrom="margin">
              <wp14:pctHeight>0</wp14:pctHeight>
            </wp14:sizeRelV>
          </wp:anchor>
        </w:drawing>
      </w:r>
    </w:p>
    <w:p w14:paraId="3C6C8EBF" w14:textId="236B869D" w:rsidR="009B7954" w:rsidRDefault="00217481" w:rsidP="004A6171">
      <w:pPr>
        <w:spacing w:line="240" w:lineRule="auto"/>
        <w:jc w:val="both"/>
        <w:rPr>
          <w:rFonts w:cs="Times New Roman"/>
          <w:noProof/>
          <w:szCs w:val="24"/>
        </w:rPr>
      </w:pPr>
      <w:r>
        <w:rPr>
          <w:b/>
        </w:rPr>
        <w:t xml:space="preserve">Figure 3. </w:t>
      </w:r>
      <w:r>
        <w:rPr>
          <w:rFonts w:cs="Times New Roman"/>
          <w:b/>
          <w:noProof/>
          <w:szCs w:val="24"/>
        </w:rPr>
        <w:t>Internannual variability and dispersion by lake</w:t>
      </w:r>
      <w:r w:rsidR="00C91FE3">
        <w:rPr>
          <w:rFonts w:cs="Times New Roman"/>
          <w:b/>
          <w:noProof/>
          <w:szCs w:val="24"/>
        </w:rPr>
        <w:t xml:space="preserve">. </w:t>
      </w:r>
      <w:r w:rsidR="00C91FE3">
        <w:rPr>
          <w:rFonts w:cs="Times New Roman"/>
          <w:noProof/>
          <w:szCs w:val="24"/>
        </w:rPr>
        <w:t>Principal coordinates analysis using weighted</w:t>
      </w:r>
      <w:r w:rsidR="00437869">
        <w:rPr>
          <w:rFonts w:cs="Times New Roman"/>
          <w:noProof/>
          <w:szCs w:val="24"/>
        </w:rPr>
        <w:t xml:space="preserve"> UniFrac as the distance metric</w:t>
      </w:r>
      <w:r w:rsidR="00C91FE3">
        <w:rPr>
          <w:rFonts w:cs="Times New Roman"/>
          <w:noProof/>
          <w:szCs w:val="24"/>
        </w:rPr>
        <w:t xml:space="preserve"> was used to measure the amount of interannual variation in lake hypolimnia</w:t>
      </w:r>
      <w:r>
        <w:rPr>
          <w:rFonts w:cs="Times New Roman"/>
          <w:noProof/>
          <w:szCs w:val="24"/>
        </w:rPr>
        <w:t xml:space="preserve"> (A-C)</w:t>
      </w:r>
      <w:r w:rsidR="00C91FE3">
        <w:rPr>
          <w:rFonts w:cs="Times New Roman"/>
          <w:noProof/>
          <w:szCs w:val="24"/>
        </w:rPr>
        <w:t>. Black crosses indicated the centroid for each year. All hypolimnia showed significant clustering by year</w:t>
      </w:r>
      <w:r w:rsidR="00D61773">
        <w:rPr>
          <w:rFonts w:cs="Times New Roman"/>
          <w:noProof/>
          <w:szCs w:val="24"/>
        </w:rPr>
        <w:t xml:space="preserve"> by PERMANOVA</w:t>
      </w:r>
      <w:r w:rsidR="00C91FE3">
        <w:rPr>
          <w:rFonts w:cs="Times New Roman"/>
          <w:noProof/>
          <w:szCs w:val="24"/>
        </w:rPr>
        <w:t>. Six outliers in Mary Lake from 2007 are not shown, as their coordinate</w:t>
      </w:r>
      <w:r w:rsidR="00673323">
        <w:rPr>
          <w:rFonts w:cs="Times New Roman"/>
          <w:noProof/>
          <w:szCs w:val="24"/>
        </w:rPr>
        <w:t>s lie outside the range specified for consistency between plots</w:t>
      </w:r>
      <w:r w:rsidR="00C91FE3">
        <w:rPr>
          <w:rFonts w:cs="Times New Roman"/>
          <w:noProof/>
          <w:szCs w:val="24"/>
        </w:rPr>
        <w:t xml:space="preserve">; these points were included in the </w:t>
      </w:r>
      <w:r w:rsidR="00835F08">
        <w:rPr>
          <w:rFonts w:cs="Times New Roman"/>
          <w:noProof/>
          <w:szCs w:val="24"/>
        </w:rPr>
        <w:t>PERMANOVA</w:t>
      </w:r>
      <w:r w:rsidR="00437869">
        <w:rPr>
          <w:rFonts w:cs="Times New Roman"/>
          <w:noProof/>
          <w:szCs w:val="24"/>
        </w:rPr>
        <w:t xml:space="preserve"> significance test</w:t>
      </w:r>
      <w:r w:rsidR="00C91FE3">
        <w:rPr>
          <w:rFonts w:cs="Times New Roman"/>
          <w:noProof/>
          <w:szCs w:val="24"/>
        </w:rPr>
        <w:t xml:space="preserve">. </w:t>
      </w:r>
      <w:r w:rsidR="004A6171">
        <w:rPr>
          <w:rFonts w:cs="Times New Roman"/>
          <w:noProof/>
          <w:szCs w:val="24"/>
        </w:rPr>
        <w:t xml:space="preserve">Panel D shows dispersion of </w:t>
      </w:r>
      <w:r w:rsidR="00774C08">
        <w:rPr>
          <w:rFonts w:cs="Times New Roman"/>
          <w:noProof/>
          <w:szCs w:val="24"/>
        </w:rPr>
        <w:t>each lake and layer in a PCoA including all samples</w:t>
      </w:r>
      <w:r w:rsidR="004A6171">
        <w:rPr>
          <w:rFonts w:cs="Times New Roman"/>
          <w:noProof/>
          <w:szCs w:val="24"/>
        </w:rPr>
        <w:t xml:space="preserve"> (Lake abbreviations found in Table 1; E indicates epilimnion and H indicates hypolimnion</w:t>
      </w:r>
      <w:r w:rsidR="009F1636">
        <w:rPr>
          <w:rFonts w:cs="Times New Roman"/>
          <w:noProof/>
          <w:szCs w:val="24"/>
        </w:rPr>
        <w:t>; 6 outliers with distances from the centroid greater than 0.45 were removed</w:t>
      </w:r>
      <w:r w:rsidR="004A6171">
        <w:rPr>
          <w:rFonts w:cs="Times New Roman"/>
          <w:noProof/>
          <w:szCs w:val="24"/>
        </w:rPr>
        <w:t>).</w:t>
      </w:r>
      <w:r w:rsidR="00437869">
        <w:rPr>
          <w:rFonts w:cs="Times New Roman"/>
          <w:noProof/>
          <w:szCs w:val="24"/>
        </w:rPr>
        <w:t xml:space="preserve"> Stars indicate</w:t>
      </w:r>
      <w:r w:rsidR="0098316F">
        <w:rPr>
          <w:rFonts w:cs="Times New Roman"/>
          <w:noProof/>
          <w:szCs w:val="24"/>
        </w:rPr>
        <w:t xml:space="preserve"> significant difference</w:t>
      </w:r>
      <w:r w:rsidR="00437869">
        <w:rPr>
          <w:rFonts w:cs="Times New Roman"/>
          <w:noProof/>
          <w:szCs w:val="24"/>
        </w:rPr>
        <w:t>s</w:t>
      </w:r>
      <w:r w:rsidR="0098316F">
        <w:rPr>
          <w:rFonts w:cs="Times New Roman"/>
          <w:noProof/>
          <w:szCs w:val="24"/>
        </w:rPr>
        <w:t xml:space="preserve"> between layers at p &lt; 0.05 by </w:t>
      </w:r>
      <w:r w:rsidR="00774C08">
        <w:rPr>
          <w:rFonts w:cs="Times New Roman"/>
          <w:noProof/>
          <w:szCs w:val="24"/>
        </w:rPr>
        <w:t>PERMADISP with a Bonferroni correction for multiple pairwise comparisons</w:t>
      </w:r>
      <w:r w:rsidR="0098316F">
        <w:rPr>
          <w:rFonts w:cs="Times New Roman"/>
          <w:noProof/>
          <w:szCs w:val="24"/>
        </w:rPr>
        <w:t>.</w:t>
      </w:r>
      <w:r w:rsidR="004A6171">
        <w:rPr>
          <w:rFonts w:cs="Times New Roman"/>
          <w:noProof/>
          <w:szCs w:val="24"/>
        </w:rPr>
        <w:t xml:space="preserve"> Layers wer</w:t>
      </w:r>
      <w:r w:rsidR="00774C08">
        <w:rPr>
          <w:rFonts w:cs="Times New Roman"/>
          <w:noProof/>
          <w:szCs w:val="24"/>
        </w:rPr>
        <w:t>e signfican</w:t>
      </w:r>
      <w:r w:rsidR="009F1636">
        <w:rPr>
          <w:rFonts w:cs="Times New Roman"/>
          <w:noProof/>
          <w:szCs w:val="24"/>
        </w:rPr>
        <w:t>tly different in TB,</w:t>
      </w:r>
      <w:r w:rsidR="00774C08">
        <w:rPr>
          <w:rFonts w:cs="Times New Roman"/>
          <w:noProof/>
          <w:szCs w:val="24"/>
        </w:rPr>
        <w:t xml:space="preserve"> SS,</w:t>
      </w:r>
      <w:r w:rsidR="009F1636">
        <w:rPr>
          <w:rFonts w:cs="Times New Roman"/>
          <w:noProof/>
          <w:szCs w:val="24"/>
        </w:rPr>
        <w:t xml:space="preserve"> and MA.</w:t>
      </w:r>
      <w:r w:rsidR="00774C08">
        <w:rPr>
          <w:rFonts w:cs="Times New Roman"/>
          <w:noProof/>
          <w:szCs w:val="24"/>
        </w:rPr>
        <w:t xml:space="preserve"> </w:t>
      </w:r>
      <w:r w:rsidR="004A6171">
        <w:rPr>
          <w:rFonts w:cs="Times New Roman"/>
          <w:noProof/>
          <w:szCs w:val="24"/>
        </w:rPr>
        <w:t>No significant differences in dispersion between layers in the polymictic lakes (CB, FB, and WS), meromictic</w:t>
      </w:r>
      <w:r w:rsidR="009F1636">
        <w:rPr>
          <w:rFonts w:cs="Times New Roman"/>
          <w:noProof/>
          <w:szCs w:val="24"/>
        </w:rPr>
        <w:t xml:space="preserve"> lake HK, </w:t>
      </w:r>
      <w:r w:rsidR="00774C08">
        <w:rPr>
          <w:rFonts w:cs="Times New Roman"/>
          <w:noProof/>
          <w:szCs w:val="24"/>
        </w:rPr>
        <w:t>or NS, a dimictic lake with an additional artificial mixing event</w:t>
      </w:r>
      <w:r w:rsidR="004A6171">
        <w:rPr>
          <w:rFonts w:cs="Times New Roman"/>
          <w:noProof/>
          <w:szCs w:val="24"/>
        </w:rPr>
        <w:t xml:space="preserve">. </w:t>
      </w:r>
    </w:p>
    <w:p w14:paraId="2BAD026A" w14:textId="77777777" w:rsidR="004A6171" w:rsidRDefault="004A6171" w:rsidP="004A6171">
      <w:pPr>
        <w:spacing w:line="240" w:lineRule="auto"/>
        <w:jc w:val="both"/>
        <w:rPr>
          <w:rFonts w:cs="Times New Roman"/>
          <w:noProof/>
          <w:szCs w:val="24"/>
        </w:rPr>
      </w:pPr>
    </w:p>
    <w:p w14:paraId="7548450F" w14:textId="436B7DCA" w:rsidR="004A6171" w:rsidRDefault="004A6171" w:rsidP="004A6171">
      <w:pPr>
        <w:spacing w:line="240" w:lineRule="auto"/>
        <w:jc w:val="both"/>
        <w:rPr>
          <w:rFonts w:cs="Times New Roman"/>
          <w:noProof/>
          <w:szCs w:val="24"/>
        </w:rPr>
      </w:pPr>
    </w:p>
    <w:p w14:paraId="708E36F3" w14:textId="43F3AA8A" w:rsidR="004A6171" w:rsidRDefault="004A6171" w:rsidP="004A6171">
      <w:pPr>
        <w:spacing w:line="480" w:lineRule="auto"/>
        <w:jc w:val="both"/>
        <w:rPr>
          <w:rFonts w:cs="Times New Roman"/>
          <w:noProof/>
          <w:szCs w:val="24"/>
        </w:rPr>
      </w:pPr>
      <w:r>
        <w:rPr>
          <w:rFonts w:cs="Times New Roman"/>
          <w:noProof/>
          <w:szCs w:val="24"/>
        </w:rPr>
        <w:lastRenderedPageBreak/>
        <w:tab/>
        <w:t xml:space="preserve">Varibility can also be assessed by measuring the dispersion of groups in PCoA. Dispersion is the distance of each point from the centroid of a group on an ordination plot. This analysis showed that layers had significantly different </w:t>
      </w:r>
      <w:r w:rsidR="00863976">
        <w:rPr>
          <w:rFonts w:cs="Times New Roman"/>
          <w:noProof/>
          <w:szCs w:val="24"/>
        </w:rPr>
        <w:t xml:space="preserve">degrees of </w:t>
      </w:r>
      <w:r>
        <w:rPr>
          <w:rFonts w:cs="Times New Roman"/>
          <w:noProof/>
          <w:szCs w:val="24"/>
        </w:rPr>
        <w:t>dispersion in two of the dimictic lakes (Trout Bog and South Sparkling Bog) and a meromictic lake (Mary Lake)</w:t>
      </w:r>
      <w:r w:rsidR="00863976">
        <w:rPr>
          <w:rFonts w:cs="Times New Roman"/>
          <w:noProof/>
          <w:szCs w:val="24"/>
        </w:rPr>
        <w:t xml:space="preserve"> (Figure 3d)</w:t>
      </w:r>
      <w:r>
        <w:rPr>
          <w:rFonts w:cs="Times New Roman"/>
          <w:noProof/>
          <w:szCs w:val="24"/>
        </w:rPr>
        <w:t>.</w:t>
      </w:r>
      <w:r w:rsidR="009F1636">
        <w:rPr>
          <w:rFonts w:cs="Times New Roman"/>
          <w:noProof/>
          <w:szCs w:val="24"/>
        </w:rPr>
        <w:t xml:space="preserve"> Two outliers in Mary Lake were removed; these dates showed different community compositions dominated by few taxa, likely the result of a bloom event.</w:t>
      </w:r>
      <w:r>
        <w:rPr>
          <w:rFonts w:cs="Times New Roman"/>
          <w:noProof/>
          <w:szCs w:val="24"/>
        </w:rPr>
        <w:t xml:space="preserve"> </w:t>
      </w:r>
      <w:r w:rsidR="009F1636">
        <w:rPr>
          <w:rFonts w:cs="Times New Roman"/>
          <w:noProof/>
          <w:szCs w:val="24"/>
        </w:rPr>
        <w:t>Dispersion</w:t>
      </w:r>
      <w:r>
        <w:rPr>
          <w:rFonts w:cs="Times New Roman"/>
          <w:noProof/>
          <w:szCs w:val="24"/>
        </w:rPr>
        <w:t xml:space="preserve"> was not significantly different in the polymictic lakes, dimictic North Sparkling Bog, and meromictic Hell’s Kitchen.</w:t>
      </w:r>
      <w:r w:rsidR="00D23D90">
        <w:rPr>
          <w:rFonts w:cs="Times New Roman"/>
          <w:noProof/>
          <w:szCs w:val="24"/>
        </w:rPr>
        <w:t xml:space="preserve"> North Sparkling Bog likely did</w:t>
      </w:r>
      <w:r>
        <w:rPr>
          <w:rFonts w:cs="Times New Roman"/>
          <w:noProof/>
          <w:szCs w:val="24"/>
        </w:rPr>
        <w:t xml:space="preserve"> not </w:t>
      </w:r>
      <w:r w:rsidR="00D23D90">
        <w:rPr>
          <w:rFonts w:cs="Times New Roman"/>
          <w:noProof/>
          <w:szCs w:val="24"/>
        </w:rPr>
        <w:t xml:space="preserve">have </w:t>
      </w:r>
      <w:r>
        <w:rPr>
          <w:rFonts w:cs="Times New Roman"/>
          <w:noProof/>
          <w:szCs w:val="24"/>
        </w:rPr>
        <w:t>significant differences between layers because it was artificially mixed during stratificatio</w:t>
      </w:r>
      <w:r w:rsidR="006139B4">
        <w:rPr>
          <w:rFonts w:cs="Times New Roman"/>
          <w:noProof/>
          <w:szCs w:val="24"/>
        </w:rPr>
        <w:t xml:space="preserve">n in 2008 </w:t>
      </w:r>
      <w:r w:rsidR="006139B4">
        <w:rPr>
          <w:rFonts w:cs="Times New Roman"/>
          <w:noProof/>
          <w:szCs w:val="24"/>
        </w:rPr>
        <w:fldChar w:fldCharType="begin" w:fldLock="1"/>
      </w:r>
      <w:r w:rsidR="006139B4">
        <w:rPr>
          <w:rFonts w:cs="Times New Roman"/>
          <w:noProof/>
          <w:szCs w:val="24"/>
        </w:rPr>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"(3)", "plainTextFormattedCitation" : "(3)", "previouslyFormattedCitation" : "(3)" }, "properties" : { "noteIndex" : 0 }, "schema" : "https://github.com/citation-style-language/schema/raw/master/csl-citation.json" }</w:instrText>
      </w:r>
      <w:r w:rsidR="006139B4">
        <w:rPr>
          <w:rFonts w:cs="Times New Roman"/>
          <w:noProof/>
          <w:szCs w:val="24"/>
        </w:rPr>
        <w:fldChar w:fldCharType="separate"/>
      </w:r>
      <w:r w:rsidR="006139B4" w:rsidRPr="006139B4">
        <w:rPr>
          <w:rFonts w:cs="Times New Roman"/>
          <w:noProof/>
          <w:szCs w:val="24"/>
        </w:rPr>
        <w:t>(3)</w:t>
      </w:r>
      <w:r w:rsidR="006139B4">
        <w:rPr>
          <w:rFonts w:cs="Times New Roman"/>
          <w:noProof/>
          <w:szCs w:val="24"/>
        </w:rPr>
        <w:fldChar w:fldCharType="end"/>
      </w:r>
      <w:r w:rsidR="00D23D90">
        <w:rPr>
          <w:rFonts w:cs="Times New Roman"/>
          <w:noProof/>
          <w:szCs w:val="24"/>
        </w:rPr>
        <w:t>, essentially making it</w:t>
      </w:r>
      <w:r>
        <w:rPr>
          <w:rFonts w:cs="Times New Roman"/>
          <w:noProof/>
          <w:szCs w:val="24"/>
        </w:rPr>
        <w:t xml:space="preserve"> polymictic for one year. </w:t>
      </w:r>
      <w:r w:rsidR="005245FD">
        <w:rPr>
          <w:rFonts w:cs="Times New Roman"/>
          <w:noProof/>
          <w:szCs w:val="24"/>
        </w:rPr>
        <w:t xml:space="preserve">Hell’s Kitchen has only one year of sampling, which may prevent detection of significance. </w:t>
      </w:r>
      <w:r w:rsidR="00D23D90">
        <w:rPr>
          <w:rFonts w:cs="Times New Roman"/>
          <w:noProof/>
          <w:szCs w:val="24"/>
        </w:rPr>
        <w:t>When dispersion between layers was significant, the epilimnion wa</w:t>
      </w:r>
      <w:r>
        <w:rPr>
          <w:rFonts w:cs="Times New Roman"/>
          <w:noProof/>
          <w:szCs w:val="24"/>
        </w:rPr>
        <w:t>s on a</w:t>
      </w:r>
      <w:r w:rsidR="00D23D90">
        <w:rPr>
          <w:rFonts w:cs="Times New Roman"/>
          <w:noProof/>
          <w:szCs w:val="24"/>
        </w:rPr>
        <w:t>verage more dispersed than the hypo</w:t>
      </w:r>
      <w:r>
        <w:rPr>
          <w:rFonts w:cs="Times New Roman"/>
          <w:noProof/>
          <w:szCs w:val="24"/>
        </w:rPr>
        <w:t>limnion, indicating higher variability. This is consistent with previously published</w:t>
      </w:r>
      <w:r w:rsidR="00D23D90">
        <w:rPr>
          <w:rFonts w:cs="Times New Roman"/>
          <w:noProof/>
          <w:szCs w:val="24"/>
        </w:rPr>
        <w:t xml:space="preserve"> results, and confirms that epi</w:t>
      </w:r>
      <w:r>
        <w:rPr>
          <w:rFonts w:cs="Times New Roman"/>
          <w:noProof/>
          <w:szCs w:val="24"/>
        </w:rPr>
        <w:t>limni</w:t>
      </w:r>
      <w:r w:rsidR="00D23D90">
        <w:rPr>
          <w:rFonts w:cs="Times New Roman"/>
          <w:noProof/>
          <w:szCs w:val="24"/>
        </w:rPr>
        <w:t>a are more variable than hypo</w:t>
      </w:r>
      <w:r>
        <w:rPr>
          <w:rFonts w:cs="Times New Roman"/>
          <w:noProof/>
          <w:szCs w:val="24"/>
        </w:rPr>
        <w:t>limnia.</w:t>
      </w:r>
    </w:p>
    <w:p w14:paraId="1ADEF4B4" w14:textId="77777777" w:rsidR="004A6171" w:rsidRDefault="0098316F" w:rsidP="0098316F">
      <w:pPr>
        <w:pStyle w:val="Heading2"/>
        <w:rPr>
          <w:noProof/>
        </w:rPr>
      </w:pPr>
      <w:r>
        <w:rPr>
          <w:noProof/>
        </w:rPr>
        <w:t>The core community of bog lakes</w:t>
      </w:r>
    </w:p>
    <w:p w14:paraId="765E4A92" w14:textId="30A332CF" w:rsidR="008311BE" w:rsidRDefault="0098316F" w:rsidP="0098316F">
      <w:pPr>
        <w:spacing w:line="480" w:lineRule="auto"/>
      </w:pPr>
      <w:r>
        <w:tab/>
        <w:t xml:space="preserve">One of the goals of this study was to determine the core bacterial community of bog lakes in general, and of specific types of lakes. Our previous analyses in Figure 2 showed that </w:t>
      </w:r>
      <w:r w:rsidR="00ED5157">
        <w:t>community composition wa</w:t>
      </w:r>
      <w:r>
        <w:t>s distinct in each layer and lake, while the data present</w:t>
      </w:r>
      <w:r w:rsidR="00385C5B">
        <w:t>ed</w:t>
      </w:r>
      <w:r w:rsidR="00ED5157">
        <w:t xml:space="preserve"> in Figure 3 showed</w:t>
      </w:r>
      <w:r>
        <w:t xml:space="preserve"> </w:t>
      </w:r>
      <w:r w:rsidR="00385C5B">
        <w:t>substantial</w:t>
      </w:r>
      <w:r>
        <w:t xml:space="preserve"> variability in community composition within the same lake and layer. Still, rarefaction curves generated for the entire dataset and for each layer begin to level off, suggesting that we have sampled the majority of taxa fou</w:t>
      </w:r>
      <w:r w:rsidR="008311BE">
        <w:t>nd in our study sites</w:t>
      </w:r>
      <w:r w:rsidR="00385C5B">
        <w:t xml:space="preserve"> (Figure S</w:t>
      </w:r>
      <w:r w:rsidR="00DC7A12">
        <w:t>6</w:t>
      </w:r>
      <w:r w:rsidR="00385C5B">
        <w:t>)</w:t>
      </w:r>
      <w:r w:rsidR="008311BE">
        <w:t>. T</w:t>
      </w:r>
      <w:r>
        <w:t>o identify the taxa that comprise the bog lake</w:t>
      </w:r>
      <w:r w:rsidR="00ED5157">
        <w:t xml:space="preserve"> core community</w:t>
      </w:r>
      <w:r>
        <w:t>, we defined “core”</w:t>
      </w:r>
      <w:r w:rsidR="008311BE">
        <w:t xml:space="preserve"> as being present in 90</w:t>
      </w:r>
      <w:r>
        <w:t xml:space="preserve">% of a group of </w:t>
      </w:r>
      <w:r w:rsidR="008311BE">
        <w:t xml:space="preserve">samples, regardless of abundance. Four OTUs met this criteria for all samples in the dataset: OTU0076 (bacI-A1), OTU0097 (PnecC), OTU0813 (acI-B2), and OTU0678 (LD28). These taxa were therefore also core in both epilimnia and hypolimnia.  </w:t>
      </w:r>
      <w:r w:rsidR="008311BE">
        <w:lastRenderedPageBreak/>
        <w:t xml:space="preserve">Additional core taxa in epilimnia also included OTU0004 (betI), OTU0184 (acI-B3), OTU0472 (Lhab-A4), and OTU0522 (alfI-A1), while additional </w:t>
      </w:r>
      <w:r w:rsidR="00025474">
        <w:t xml:space="preserve">hypolimnia </w:t>
      </w:r>
      <w:r w:rsidR="008311BE">
        <w:t>core taxa included OTU0042 (Rhodo), OTU0053 (unclassified Verrucomicrobia), and OTU0189 (acI-B2).</w:t>
      </w:r>
    </w:p>
    <w:p w14:paraId="1A5FB130" w14:textId="0DBAC4E8" w:rsidR="0098316F" w:rsidRDefault="008311BE" w:rsidP="0098316F">
      <w:pPr>
        <w:spacing w:line="480" w:lineRule="auto"/>
      </w:pPr>
      <w:r>
        <w:tab/>
      </w:r>
      <w:r w:rsidR="00603D46">
        <w:t>W</w:t>
      </w:r>
      <w:r>
        <w:t>e performed the same core analysis on groups created by combining OTUs with the same tribe level classification</w:t>
      </w:r>
      <w:r w:rsidR="00913A4E">
        <w:t xml:space="preserve"> (defined by 9</w:t>
      </w:r>
      <w:r w:rsidR="006139B4">
        <w:t>5% nucleotide similarity in the</w:t>
      </w:r>
      <w:r w:rsidR="00913A4E">
        <w:t xml:space="preserve"> full length16S region)</w:t>
      </w:r>
      <w:r w:rsidR="00603D46">
        <w:t xml:space="preserve">, since </w:t>
      </w:r>
      <w:r w:rsidR="005245FD">
        <w:t xml:space="preserve">in some tribes, OTUs were specific to certain </w:t>
      </w:r>
      <w:commentRangeStart w:id="1"/>
      <w:r w:rsidR="005245FD">
        <w:t>sites</w:t>
      </w:r>
      <w:commentRangeEnd w:id="1"/>
      <w:r w:rsidR="005245FD">
        <w:rPr>
          <w:rStyle w:val="CommentReference"/>
        </w:rPr>
        <w:commentReference w:id="1"/>
      </w:r>
      <w:r>
        <w:t xml:space="preserve">. </w:t>
      </w:r>
      <w:r w:rsidR="00E82ACD">
        <w:t xml:space="preserve">Notably, some OTUs were endemic to specific lakes, even though their corresponding tribe was found in multiple lakes/layers. </w:t>
      </w:r>
      <w:r w:rsidR="00C8344B">
        <w:t xml:space="preserve">OTUs not classified at the tribe level were not included. </w:t>
      </w:r>
      <w:r>
        <w:t>Results were similar to those at the OTU level. Core tribes of all samples included bacI-A1, PnecC, acI-B2, and LD28, but also betIII-A1 and acI-B4. In epilimnia, the core tribes were bacI-A1, PnecC, betIII-A1, acI-B3, acI-B2, Lhab-A4, alfI-A1, LD28, and acI-B4, while in hypolimnia, they were Rhodo, bacI-A1, PnecC, betIII-A1, acI-B2</w:t>
      </w:r>
      <w:r w:rsidR="00C8344B">
        <w:t xml:space="preserve">, and acI-B4. </w:t>
      </w:r>
      <w:r w:rsidR="0098316F">
        <w:t xml:space="preserve"> </w:t>
      </w:r>
      <w:r w:rsidR="00C8344B">
        <w:t>These</w:t>
      </w:r>
      <w:r w:rsidR="00F96203">
        <w:t xml:space="preserve"> results show that despite lake-to-lake </w:t>
      </w:r>
      <w:r w:rsidR="00C8344B">
        <w:t>differences and interannual variability, there are bacterial taxa that are consistently present in bog lakes.</w:t>
      </w:r>
    </w:p>
    <w:p w14:paraId="641D3283" w14:textId="5F19FAE1" w:rsidR="00C8344B" w:rsidRDefault="00C8344B" w:rsidP="0098316F">
      <w:pPr>
        <w:spacing w:line="480" w:lineRule="auto"/>
      </w:pPr>
      <w:r>
        <w:tab/>
      </w:r>
      <w:r w:rsidR="00474A6E">
        <w:t>Principal coordinates analysis</w:t>
      </w:r>
      <w:r w:rsidR="007655CF">
        <w:t xml:space="preserve"> in Figure 2</w:t>
      </w:r>
      <w:r w:rsidR="00474A6E">
        <w:t xml:space="preserve"> suggested that samples clustered by mixing regime </w:t>
      </w:r>
      <w:r w:rsidR="007655CF">
        <w:t xml:space="preserve">as well as by lake and layer. </w:t>
      </w:r>
      <w:r w:rsidR="00003FF6">
        <w:t>To better visualize the overlap in community composition among lakes with different mixing regimes</w:t>
      </w:r>
      <w:r w:rsidR="007655CF">
        <w:t xml:space="preserve">, we began by making Venn diagrams of OTUs shared and unique to each mixing regime (Figure 4). In this analysis, an OTU needs to </w:t>
      </w:r>
      <w:r w:rsidR="00003FF6">
        <w:t xml:space="preserve">have </w:t>
      </w:r>
      <w:r w:rsidR="007655CF">
        <w:t>appear</w:t>
      </w:r>
      <w:r w:rsidR="00003FF6">
        <w:t>ed</w:t>
      </w:r>
      <w:r w:rsidR="007655CF">
        <w:t xml:space="preserve"> in only one sample at any abundance to be considered present. In both epilimnia and h</w:t>
      </w:r>
      <w:r w:rsidR="00003FF6">
        <w:t>ypolimnia, meromictic lakes had</w:t>
      </w:r>
      <w:r w:rsidR="007655CF">
        <w:t xml:space="preserve"> the greatest numbers </w:t>
      </w:r>
      <w:r w:rsidR="00003FF6">
        <w:t xml:space="preserve">of </w:t>
      </w:r>
      <w:r w:rsidR="007655CF">
        <w:t xml:space="preserve">unique </w:t>
      </w:r>
      <w:r w:rsidR="00003FF6">
        <w:t>OTUs while polymictic lakes had</w:t>
      </w:r>
      <w:r w:rsidR="007655CF">
        <w:t xml:space="preserve"> the least, consistent with the differences in richness between lakes </w:t>
      </w:r>
      <w:r w:rsidR="00003FF6">
        <w:t>(</w:t>
      </w:r>
      <w:r w:rsidR="007655CF">
        <w:t>Figure 1</w:t>
      </w:r>
      <w:r w:rsidR="00003FF6">
        <w:t>)</w:t>
      </w:r>
      <w:r w:rsidR="007655CF">
        <w:t>. Meromictic and dimictic lakes share</w:t>
      </w:r>
      <w:r w:rsidR="00E07062">
        <w:t>d</w:t>
      </w:r>
      <w:r w:rsidR="007655CF">
        <w:t xml:space="preserve"> the most OTUs in both layers, followed by dimictic and polymictic </w:t>
      </w:r>
      <w:r w:rsidR="007655CF">
        <w:lastRenderedPageBreak/>
        <w:t xml:space="preserve">lakes, and then by meromictic and polymictic lakes. This suggests that there is a gradient of </w:t>
      </w:r>
      <w:r w:rsidR="00E07062">
        <w:t xml:space="preserve">shared </w:t>
      </w:r>
      <w:r w:rsidR="007655CF">
        <w:t xml:space="preserve">community </w:t>
      </w:r>
      <w:r w:rsidR="00351011">
        <w:t>membership</w:t>
      </w:r>
      <w:r w:rsidR="007655CF">
        <w:t xml:space="preserve"> across mixing frequencies.</w:t>
      </w:r>
    </w:p>
    <w:p w14:paraId="4F27AEA5" w14:textId="77777777" w:rsidR="004715CA" w:rsidRDefault="004715CA" w:rsidP="0098316F">
      <w:pPr>
        <w:spacing w:line="480" w:lineRule="auto"/>
      </w:pPr>
    </w:p>
    <w:p w14:paraId="4063CEBA" w14:textId="1F810BDE" w:rsidR="004715CA" w:rsidRDefault="001A706E" w:rsidP="00BF1911">
      <w:pPr>
        <w:spacing w:line="480" w:lineRule="auto"/>
        <w:jc w:val="center"/>
      </w:pPr>
      <w:r>
        <w:rPr>
          <w:noProof/>
        </w:rPr>
        <w:drawing>
          <wp:inline distT="0" distB="0" distL="0" distR="0" wp14:anchorId="34B10762" wp14:editId="5111831B">
            <wp:extent cx="5686425" cy="295273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png"/>
                    <pic:cNvPicPr/>
                  </pic:nvPicPr>
                  <pic:blipFill>
                    <a:blip r:embed="rId10">
                      <a:extLst>
                        <a:ext uri="{28A0092B-C50C-407E-A947-70E740481C1C}">
                          <a14:useLocalDpi xmlns:a14="http://schemas.microsoft.com/office/drawing/2010/main" val="0"/>
                        </a:ext>
                      </a:extLst>
                    </a:blip>
                    <a:stretch>
                      <a:fillRect/>
                    </a:stretch>
                  </pic:blipFill>
                  <pic:spPr>
                    <a:xfrm>
                      <a:off x="0" y="0"/>
                      <a:ext cx="5706754" cy="2963291"/>
                    </a:xfrm>
                    <a:prstGeom prst="rect">
                      <a:avLst/>
                    </a:prstGeom>
                  </pic:spPr>
                </pic:pic>
              </a:graphicData>
            </a:graphic>
          </wp:inline>
        </w:drawing>
      </w:r>
    </w:p>
    <w:p w14:paraId="4FFE86CB" w14:textId="2CF83500" w:rsidR="004715CA" w:rsidRPr="004B6FB8" w:rsidRDefault="00BF1911" w:rsidP="00A77E51">
      <w:pPr>
        <w:spacing w:line="240" w:lineRule="auto"/>
      </w:pPr>
      <w:r>
        <w:rPr>
          <w:b/>
        </w:rPr>
        <w:t xml:space="preserve">Figure 4. Numbers of unique and shared OTUs by </w:t>
      </w:r>
      <w:commentRangeStart w:id="2"/>
      <w:r>
        <w:rPr>
          <w:b/>
        </w:rPr>
        <w:t>mixing</w:t>
      </w:r>
      <w:commentRangeEnd w:id="2"/>
      <w:r w:rsidR="00385C5B">
        <w:rPr>
          <w:rStyle w:val="CommentReference"/>
        </w:rPr>
        <w:commentReference w:id="2"/>
      </w:r>
      <w:r>
        <w:rPr>
          <w:b/>
        </w:rPr>
        <w:t xml:space="preserve"> regime. </w:t>
      </w:r>
      <w:r w:rsidR="00A77E51">
        <w:t xml:space="preserve">To better understand how </w:t>
      </w:r>
      <w:r w:rsidR="00351011">
        <w:t xml:space="preserve">shared </w:t>
      </w:r>
      <w:r w:rsidR="00A77E51">
        <w:t xml:space="preserve">community </w:t>
      </w:r>
      <w:r w:rsidR="00351011">
        <w:t>membership</w:t>
      </w:r>
      <w:r w:rsidR="00A77E51">
        <w:t xml:space="preserve"> differs by mixing regime, we quantified the number of shared and unique OTUs in each category. An OTU needs only to appear in one sample at any abundance to be considered present in a category. We found that in both layers, meromictic lakes have the greatest numbers of unique OTUs and polymictic lakes have the least. Meromictic and dimictic lakes share the most OTUs, while meromictic and polymictic lakes share the least. Dimictic lakes share more OTUs with meromictic lakes than with polymictic lakes.</w:t>
      </w:r>
    </w:p>
    <w:p w14:paraId="7E5E7643" w14:textId="77777777" w:rsidR="0033104B" w:rsidRDefault="0033104B" w:rsidP="0098316F">
      <w:pPr>
        <w:spacing w:line="480" w:lineRule="auto"/>
      </w:pPr>
    </w:p>
    <w:p w14:paraId="7285EFB0" w14:textId="3AA245D9" w:rsidR="007655CF" w:rsidRDefault="007655CF" w:rsidP="0098316F">
      <w:pPr>
        <w:spacing w:line="480" w:lineRule="auto"/>
      </w:pPr>
      <w:r>
        <w:tab/>
        <w:t xml:space="preserve">We next used indicator analysis to identify the taxa unique to each mixing regime. Indicator analysis is a statistical method used to determine if taxa are found significantly more often in certain pre-determined groups of samples than in others. In this case, the groups were defined by mixing regime, and normalization was applied to account for different numbers of samples in each group.  </w:t>
      </w:r>
      <w:r w:rsidR="001504E8">
        <w:t xml:space="preserve">OTUs were combined at every taxonomic level, and all taxonomic levels were run in the indictor analysis at once to account for differences in the ability of these levels as </w:t>
      </w:r>
      <w:r w:rsidR="001504E8">
        <w:lastRenderedPageBreak/>
        <w:t xml:space="preserve">indicators (for example, the order Actinomycetales is a </w:t>
      </w:r>
      <w:r w:rsidR="006139B4">
        <w:t>stronger</w:t>
      </w:r>
      <w:r w:rsidR="001504E8">
        <w:t xml:space="preserve"> indicator of polymictic </w:t>
      </w:r>
      <w:r w:rsidR="006139B4">
        <w:t xml:space="preserve">lakes </w:t>
      </w:r>
      <w:r w:rsidR="001504E8">
        <w:t xml:space="preserve">than the phylum Actinobacteria). An abundance threshold of 500 reads was imposed on each taxonomic group. The full table of results from the indicator analysis are available in the supplemental material, while a few indicator taxa of interest are highlighted here. </w:t>
      </w:r>
    </w:p>
    <w:p w14:paraId="6A73097B" w14:textId="7CCFFD48" w:rsidR="001504E8" w:rsidRDefault="001504E8" w:rsidP="0098316F">
      <w:pPr>
        <w:spacing w:line="480" w:lineRule="auto"/>
      </w:pPr>
      <w:r>
        <w:tab/>
        <w:t>The clade acI is a ubiquitous freshwater group, with specific lineages and tribes showing a preference for bog lakes in previous studies</w:t>
      </w:r>
      <w:r w:rsidR="006139B4">
        <w:t xml:space="preserve"> </w:t>
      </w:r>
      <w:r w:rsidR="006139B4">
        <w:fldChar w:fldCharType="begin" w:fldLock="1"/>
      </w:r>
      <w:r w:rsidR="001046F9">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"Katrina T.", "non-dropping-particle" : "", "parse-names" : false, "suffix" : "" }, { "dropping-particle" : "", "family" : "Mutschler", "given" : "James", "non-dropping-particle" : "", "parse-names" : false, "suffix" : "" }, { "dropping-particle" : "", "family" : "Dwulit-Smith", "given" : "Jeffrey",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"container-title" : "The ISME journal", "id" : "ITEM-2", "issue" : "12", "issued" : { "date-parts" : [ [ "2014" ] ] }, "page" : "2503-2516", "title" : "Comparative single-cell genomics reveals potential ecological niches for the freshwater acI Actinobacteria lineage", "type" : "article-journal", "volume" : "8" }, "uris" : [ "http://www.mendeley.com/documents/?uuid=8fad002b-78ce-491b-8163-90e2aca5817f" ] } ], "mendeley" : { "formattedCitation" : "(4, 5)", "plainTextFormattedCitation" : "(4, 5)", "previouslyFormattedCitation" : "(4, 5)" }, "properties" : { "noteIndex" : 0 }, "schema" : "https://github.com/citation-style-language/schema/raw/master/csl-citation.json" }</w:instrText>
      </w:r>
      <w:r w:rsidR="006139B4">
        <w:fldChar w:fldCharType="separate"/>
      </w:r>
      <w:r w:rsidR="006139B4" w:rsidRPr="006139B4">
        <w:rPr>
          <w:noProof/>
        </w:rPr>
        <w:t>(4, 5)</w:t>
      </w:r>
      <w:r w:rsidR="006139B4">
        <w:fldChar w:fldCharType="end"/>
      </w:r>
      <w:r>
        <w:t xml:space="preserve">. Our dataset shows a further distinction of acI by mixing regime in epilimnia; </w:t>
      </w:r>
      <w:r w:rsidR="00AF29A1">
        <w:t>acI-A tribes are found predominantly in meromictic lakes, with exception of Phila, which is an indicator of polymictic lakes</w:t>
      </w:r>
      <w:r>
        <w:t xml:space="preserve">. </w:t>
      </w:r>
      <w:r w:rsidR="00AF29A1">
        <w:t xml:space="preserve">Tribes of acI-B, particularly OTUs belonging to acI-B2, are indicators of dimictic lakes. </w:t>
      </w:r>
      <w:r>
        <w:t xml:space="preserve">Methylophilales, a putative methylotroph, is </w:t>
      </w:r>
      <w:r w:rsidR="00AF29A1">
        <w:t xml:space="preserve">also </w:t>
      </w:r>
      <w:r>
        <w:t xml:space="preserve">an indicator of dimictic </w:t>
      </w:r>
      <w:r w:rsidR="00AF29A1">
        <w:t>lakes</w:t>
      </w:r>
      <w:r>
        <w:t xml:space="preserve">, </w:t>
      </w:r>
      <w:r w:rsidR="00AF29A1">
        <w:t>as is putative sulfate reducer Desulfobulbaceae. The phyla</w:t>
      </w:r>
      <w:r w:rsidR="009F6A15">
        <w:t xml:space="preserve"> Planctomyces, Omnitrophica (formerly OP3), OP8, and Verrucomicrobia</w:t>
      </w:r>
      <w:r>
        <w:t xml:space="preserve"> found </w:t>
      </w:r>
      <w:r w:rsidR="009F6A15">
        <w:t>more often</w:t>
      </w:r>
      <w:r>
        <w:t xml:space="preserve"> in meromictic </w:t>
      </w:r>
      <w:r w:rsidR="00AF29A1">
        <w:t>lakes</w:t>
      </w:r>
      <w:r w:rsidR="009F6A15">
        <w:t>, as are putative sulfate reducers Syntrophobacterales and Desulfobacteraceae</w:t>
      </w:r>
      <w:r>
        <w:t>.</w:t>
      </w:r>
      <w:r w:rsidR="00AF29A1">
        <w:t xml:space="preserve"> Indicators of polymictic lakes include ubiquitous freshwater groups such as Limnohabitans, Polynucleobacter (PnecC), betI-A, and verI-A.</w:t>
      </w:r>
      <w:r w:rsidR="009F6A15">
        <w:t xml:space="preserve">  </w:t>
      </w:r>
      <w:r w:rsidR="004715CA">
        <w:t>These indicator taxa likely reflect the environmental conditions unique to each mixing regime.</w:t>
      </w:r>
    </w:p>
    <w:p w14:paraId="5A3FA2BA" w14:textId="77777777" w:rsidR="004715CA" w:rsidRDefault="00A77E51" w:rsidP="00A77E51">
      <w:pPr>
        <w:pStyle w:val="Heading2"/>
      </w:pPr>
      <w:r>
        <w:t>Community composition during mixing events</w:t>
      </w:r>
    </w:p>
    <w:p w14:paraId="56529AC0" w14:textId="354ECA1F" w:rsidR="00A77E51" w:rsidRDefault="00AF4C53" w:rsidP="00AF4C53">
      <w:pPr>
        <w:spacing w:line="480" w:lineRule="auto"/>
        <w:ind w:firstLine="720"/>
      </w:pPr>
      <w:r>
        <w:t>One of the reasons bog lakes were chosen for this study was their fast transitions from mixed to stratified and back to mixed. Despite the transient nature of mixing events, two were captured in this dataset. One is a natural fall mixing event in dimictic Trout Bog in 2007, and the other is the artificial mixing of dimictic North Sparkling Bog in the summer of 2008</w:t>
      </w:r>
      <w:r w:rsidR="006139B4">
        <w:t xml:space="preserve"> </w:t>
      </w:r>
      <w:r w:rsidR="006139B4">
        <w:fldChar w:fldCharType="begin" w:fldLock="1"/>
      </w:r>
      <w:r w:rsidR="006139B4">
        <w:instrText>ADDIN CSL_CITATION { "citationItems" : [ { "id" : "ITEM-1", "itemData" : { "DOI" : "10.1016/j.copbio.2011.11.017", "ISSN" : "1879-0429", "PMID" : "22154467", "abstract" : "Until recently, the study of microbial diversity has mainly been limited to descriptive approaches, rather than predictive model-based analyses. The development of advanced analytical tools and decreasing cost of high-throughput multi-omics technologies has made the later approach more feasible. However, consensus is lacking as to which spatial and temporal scales best facilitate understanding of the role of microbial diversity in determining both public and environmental health. Here, we review the potential for combining these new technologies with both traditional and nascent spatio-temporal analysis methods. The fusion of proper spatio-temporal sampling, combined with modern multi-omics and computational tools, will provide insight into the tracking, development and manipulation of microbial communities.", "author" : [ { "dropping-particle" : "", "family" : "Gonzalez", "given" : "Antonio", "non-dropping-particle" : "", "parse-names" : false, "suffix" : "" }, { "dropping-particle" : "", "family" : "King", "given" : "Andrew", "non-dropping-particle" : "", "parse-names" : false, "suffix" : "" }, { "dropping-particle" : "", "family" : "Robeson", "given" : "Michael S", "non-dropping-particle" : "", "parse-names" : false, "suffix" : "" }, { "dropping-particle" : "", "family" : "Song", "given" : "Sejin", "non-dropping-particle" : "", "parse-names" : false, "suffix" : "" }, { "dropping-particle" : "", "family" : "Shade", "given" : "Ashley", "non-dropping-particle" : "", "parse-names" : false, "suffix" : "" }, { "dropping-particle" : "", "family" : "Metcalf", "given" : "Jessica L", "non-dropping-particle" : "", "parse-names" : false, "suffix" : "" }, { "dropping-particle" : "", "family" : "Knight", "given" : "Rob", "non-dropping-particle" : "", "parse-names" : false, "suffix" : "" } ], "container-title" : "Current opinion in biotechnology", "id" : "ITEM-1", "issue" : "3", "issued" : { "date-parts" : [ [ "2012", "6" ] ] }, "page" : "431-6", "publisher" : "Elsevier Ltd", "title" : "Characterizing microbial communities through space and time.", "type" : "article-journal", "volume" : "23" }, "uris" : [ "http://www.mendeley.com/documents/?uuid=e6e6c379-56eb-4be4-8fff-8c1f21e07667" ] } ], "mendeley" : { "formattedCitation" : "(6)", "plainTextFormattedCitation" : "(6)", "previouslyFormattedCitation" : "(6)" }, "properties" : { "noteIndex" : 0 }, "schema" : "https://github.com/citation-style-language/schema/raw/master/csl-citation.json" }</w:instrText>
      </w:r>
      <w:r w:rsidR="006139B4">
        <w:fldChar w:fldCharType="separate"/>
      </w:r>
      <w:r w:rsidR="006139B4" w:rsidRPr="006139B4">
        <w:rPr>
          <w:noProof/>
        </w:rPr>
        <w:t>(6)</w:t>
      </w:r>
      <w:r w:rsidR="006139B4">
        <w:fldChar w:fldCharType="end"/>
      </w:r>
      <w:r>
        <w:t>. These two events give us a unique perspective on how the bacterial community changes in response to mixing events.</w:t>
      </w:r>
    </w:p>
    <w:p w14:paraId="3A07A825" w14:textId="77777777" w:rsidR="00AF4C53" w:rsidRDefault="00AF4C53" w:rsidP="00AF4C53">
      <w:pPr>
        <w:spacing w:line="480" w:lineRule="auto"/>
        <w:ind w:firstLine="720"/>
      </w:pPr>
    </w:p>
    <w:p w14:paraId="52CA5899" w14:textId="77777777" w:rsidR="00AF4C53" w:rsidRPr="0035214D" w:rsidRDefault="00AF4C53" w:rsidP="0035214D">
      <w:pPr>
        <w:spacing w:line="240" w:lineRule="auto"/>
      </w:pPr>
      <w:r>
        <w:rPr>
          <w:noProof/>
        </w:rPr>
        <w:lastRenderedPageBreak/>
        <w:drawing>
          <wp:anchor distT="0" distB="0" distL="114300" distR="114300" simplePos="0" relativeHeight="251660288" behindDoc="1" locked="0" layoutInCell="1" allowOverlap="1" wp14:anchorId="1A0EC0A0" wp14:editId="43007B2A">
            <wp:simplePos x="0" y="0"/>
            <wp:positionH relativeFrom="margin">
              <wp:align>right</wp:align>
            </wp:positionH>
            <wp:positionV relativeFrom="paragraph">
              <wp:posOffset>0</wp:posOffset>
            </wp:positionV>
            <wp:extent cx="5943600" cy="3962400"/>
            <wp:effectExtent l="0" t="0" r="0" b="0"/>
            <wp:wrapTight wrapText="bothSides">
              <wp:wrapPolygon edited="0">
                <wp:start x="0" y="0"/>
                <wp:lineTo x="0" y="21496"/>
                <wp:lineTo x="21531" y="21496"/>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r>
        <w:rPr>
          <w:b/>
        </w:rPr>
        <w:t xml:space="preserve">Figure 5. </w:t>
      </w:r>
      <w:r w:rsidR="0035214D">
        <w:rPr>
          <w:b/>
        </w:rPr>
        <w:t xml:space="preserve">Richness over time during mixing events. </w:t>
      </w:r>
      <w:r w:rsidR="0035214D">
        <w:t>In both panels, the black line traces the number of OTUs observed at each time point, and the red dots indicate dates on which the water column was uniform in temperature (mixed). Sharp decreases in richness are observed during both the fall mixing in Trout Bog, 2007 (A) and the artificial mixing in July in North Sparkling Bog, 2008 (B). Transient mixing dates in the fall of 2008 in North Sparkling Bog also show lower richness.</w:t>
      </w:r>
    </w:p>
    <w:p w14:paraId="3C7F8AFD" w14:textId="77777777" w:rsidR="0033104B" w:rsidRDefault="0033104B" w:rsidP="0035214D">
      <w:pPr>
        <w:spacing w:line="480" w:lineRule="auto"/>
        <w:jc w:val="both"/>
      </w:pPr>
    </w:p>
    <w:p w14:paraId="37B5D886" w14:textId="24F0948C" w:rsidR="009B7954" w:rsidRDefault="0035214D" w:rsidP="0035214D">
      <w:pPr>
        <w:spacing w:line="480" w:lineRule="auto"/>
        <w:jc w:val="both"/>
      </w:pPr>
      <w:r>
        <w:tab/>
        <w:t>Observed richness was traced over time in the years of both mixing events. This analysis revealed sharp decreases in both lakes. In the case of the Trout Bog fall mixing, richness remained low until the end of the sampling season. In North Sparkling Bog, richness quickly returned to the levels observed before the artificial mixing. This</w:t>
      </w:r>
      <w:r w:rsidR="006139B4">
        <w:t xml:space="preserve"> confirms previous results indicating resilience in the freshwater bacteria community </w:t>
      </w:r>
      <w:r w:rsidR="006139B4">
        <w:fldChar w:fldCharType="begin" w:fldLock="1"/>
      </w:r>
      <w:r w:rsidR="00EE703B">
        <w:instrText>ADDIN CSL_CITATION { "citationItems" : [ { "id" : "ITEM-1", "itemData" : { "DOI" : "10.1111/j.1462-2920.2011.02546.x", "ISBN" : "1462-2920", "ISSN" : "14622912", "PMID" : "21883795", "abstract" : "For lake microbes, water column mixing acts as a disturbance because it homogenizes thermal and chemical gradients known to define the distributions of microbial taxa. Our first objective was to isolate hypothesized drivers of lake bacterial response to water column mixing. To accomplish this, we designed an enclosure experiment with three treatments to independently test key biogeochemical changes induced by mixing: oxygen addition to the hypolimnion, nutrient addition to the epilimnion, and full water column mixing. We used molecular fingerprinting to observe bacterial community dynamics in the treatment and control enclosures, and in ambient lake water. We found that oxygen and nutrient amendments simulated the physical-chemical water column environment following mixing and resulted in similar bacterial communities to the mixing treatment, affirming that these were important drivers of community change. These results demonstrate that specific environmental changes can replicate broad disturbance effects on microbial communities. Our second objective was to characterize bacterial community stability by quantifying community resistance, recovery and resilience to an episodic disturbance. The communities in the nutrient and oxygen amendments changed quickly (had low resistance), but generally matched the control composition by the 10th day after treatment, exhibiting resilience. These results imply that aquatic bacterial assemblages are generally stable in the face of disturbance.", "author" : [ { "dropping-particle" : "", "family" : "Shade", "given" : "Ashley", "non-dropping-particle" : "", "parse-names" : false, "suffix" : "" }, { "dropping-particle" : "", "family" : "Read", "given" : "Jordan S.", "non-dropping-particle" : "", "parse-names" : false, "suffix" : "" }, { "dropping-particle" : "", "family" : "Welkie", "given" : "David G.", "non-dropping-particle" : "", "parse-names" : false, "suffix" : "" }, { "dropping-particle" : "", "family" : "Kratz", "given" : "Timothy K.", "non-dropping-particle" : "", "parse-names" : false, "suffix" : "" }, { "dropping-particle" : "", "family" : "Wu", "given" : "Chin H.", "non-dropping-particle" : "", "parse-names" : false, "suffix" : "" }, { "dropping-particle" : "", "family" : "McMahon", "given" : "Katherine D.", "non-dropping-particle" : "", "parse-names" : false, "suffix" : "" } ], "container-title" : "Environmental Microbiology", "id" : "ITEM-1", "issue" : "10", "issued" : { "date-parts" : [ [ "2011" ] ] }, "page" : "2752-2767", "title" : "Resistance, resilience and recovery: Aquatic bacterial dynamics after water column disturbance", "type" : "article-journal", "volume" : "13" }, "uris" : [ "http://www.mendeley.com/documents/?uuid=d7e5717c-8a2b-4624-9b6f-30855d14d874" ] } ], "mendeley" : { "formattedCitation" : "(7)", "plainTextFormattedCitation" : "(7)", "previouslyFormattedCitation" : "(7)" }, "properties" : { "noteIndex" : 0 }, "schema" : "https://github.com/citation-style-language/schema/raw/master/csl-citation.json" }</w:instrText>
      </w:r>
      <w:r w:rsidR="006139B4">
        <w:fldChar w:fldCharType="separate"/>
      </w:r>
      <w:r w:rsidR="006139B4" w:rsidRPr="006139B4">
        <w:rPr>
          <w:noProof/>
        </w:rPr>
        <w:t>(7)</w:t>
      </w:r>
      <w:r w:rsidR="006139B4">
        <w:fldChar w:fldCharType="end"/>
      </w:r>
      <w:r w:rsidR="006139B4">
        <w:t>, and</w:t>
      </w:r>
      <w:r>
        <w:t xml:space="preserve"> suggests that </w:t>
      </w:r>
      <w:r w:rsidR="006139B4">
        <w:t xml:space="preserve">while </w:t>
      </w:r>
      <w:r>
        <w:t>mixing acts as a bottleneck that only certain taxa can tolerate, but that a source of diversity exists that allows fast re-establishment of the community.</w:t>
      </w:r>
    </w:p>
    <w:p w14:paraId="56405895" w14:textId="77777777" w:rsidR="0035214D" w:rsidRDefault="0035214D" w:rsidP="0035214D">
      <w:pPr>
        <w:spacing w:line="480" w:lineRule="auto"/>
        <w:jc w:val="both"/>
      </w:pPr>
      <w:r>
        <w:lastRenderedPageBreak/>
        <w:tab/>
      </w:r>
      <w:commentRangeStart w:id="3"/>
      <w:r w:rsidR="00EC6335">
        <w:t xml:space="preserve">If </w:t>
      </w:r>
      <w:commentRangeEnd w:id="3"/>
      <w:r w:rsidR="00385C5B">
        <w:rPr>
          <w:rStyle w:val="CommentReference"/>
        </w:rPr>
        <w:commentReference w:id="3"/>
      </w:r>
      <w:r w:rsidR="00EC6335">
        <w:t xml:space="preserve">a reduced number of taxa can survive or even thrive during mixing events, which taxa are they? </w:t>
      </w:r>
      <w:r w:rsidR="00A40FC4">
        <w:t>In Trout Bog hypolimnion in 2007, the top ten most abundant OTUs belonged to groups such as PnecC, Methylococcales, bacI-A1, acI-B2, Methylophilales, Acetobacteraceae, and acV-A2. The North Sparkling Bog hypolimnion mixed dates shared PnecC, Methylococcales, bacI-A1, acI-B2, and acV-A2, suggesting that these are the taxa selected for by the conditions of a mixing event. However, North Sparkling Bog also had high abundances of acI-B3, acI-B4, and Lhab-A4, but did not contain Acetobacteraceae and Methylophilales in its top ten most abundant OTUs during mixed dates.</w:t>
      </w:r>
    </w:p>
    <w:p w14:paraId="7D93260A" w14:textId="1C63A611" w:rsidR="00A40FC4" w:rsidRDefault="001A4EFF" w:rsidP="001A4EFF">
      <w:pPr>
        <w:pStyle w:val="Heading1"/>
      </w:pPr>
      <w:r>
        <w:t>Discussion</w:t>
      </w:r>
    </w:p>
    <w:p w14:paraId="23B040CF" w14:textId="77777777" w:rsidR="001A4EFF" w:rsidRDefault="001A4EFF" w:rsidP="001A4EFF">
      <w:pPr>
        <w:spacing w:line="480" w:lineRule="auto"/>
        <w:ind w:firstLine="720"/>
        <w:jc w:val="both"/>
        <w:rPr>
          <w:rFonts w:cs="Times New Roman"/>
          <w:szCs w:val="24"/>
        </w:rPr>
      </w:pPr>
      <w:r>
        <w:rPr>
          <w:rFonts w:cs="Times New Roman"/>
          <w:szCs w:val="24"/>
        </w:rPr>
        <w:t>The North Temperate Lakes - Microbial Observatory dataset is a comprehensive 16S amplicon survey spanning four years, eight lakes, and two depths. We found that multiple years of sampling were necessary to describe the community of bog lake ecosystems. Richness and membership in these communities were structured by layer, mixing regime, and lake. We identified</w:t>
      </w:r>
      <w:r w:rsidRPr="008468EF">
        <w:rPr>
          <w:rFonts w:cs="Times New Roman"/>
          <w:szCs w:val="24"/>
        </w:rPr>
        <w:t xml:space="preserve"> specific bacterial taxa </w:t>
      </w:r>
      <w:r>
        <w:rPr>
          <w:rFonts w:cs="Times New Roman"/>
          <w:szCs w:val="24"/>
        </w:rPr>
        <w:t>present throughout the dataset, as well as taxa endemic to certain depths or mixing regimes</w:t>
      </w:r>
      <w:r w:rsidRPr="008468EF">
        <w:rPr>
          <w:rFonts w:cs="Times New Roman"/>
          <w:szCs w:val="24"/>
        </w:rPr>
        <w:t xml:space="preserve">. </w:t>
      </w:r>
      <w:r>
        <w:rPr>
          <w:rFonts w:cs="Times New Roman"/>
          <w:szCs w:val="24"/>
        </w:rPr>
        <w:t>Mixing events were associated with reduced richness and an increase in the proportion of certain taxa. High levels of variability were detected in this dataset; each year in each lake harbored</w:t>
      </w:r>
      <w:r w:rsidRPr="008468EF">
        <w:rPr>
          <w:rFonts w:cs="Times New Roman"/>
          <w:szCs w:val="24"/>
        </w:rPr>
        <w:t xml:space="preserve"> a unique bacterial community.  Our results emphasize the importance of </w:t>
      </w:r>
      <w:r>
        <w:rPr>
          <w:rFonts w:cs="Times New Roman"/>
          <w:szCs w:val="24"/>
        </w:rPr>
        <w:t>multiple sampling events to assess full bacterial community membership and variability.</w:t>
      </w:r>
    </w:p>
    <w:p w14:paraId="3BB31C44" w14:textId="4BADA95D" w:rsidR="001A4EFF" w:rsidRDefault="001A4EFF" w:rsidP="001A4EFF">
      <w:pPr>
        <w:pStyle w:val="ManuscriptText"/>
      </w:pPr>
      <w:r>
        <w:t xml:space="preserve">The bog lakes in this study have been model systems for freshwater microbial ecology for many years. Early studies used Automated Ribosomal Intergenic Spacer Analysis (ARISA), a fingerprinting technique for identifying unique bacterial taxa in environmental samples </w:t>
      </w:r>
      <w:r>
        <w:fldChar w:fldCharType="begin" w:fldLock="1"/>
      </w:r>
      <w:r w:rsidR="00EE703B">
        <w:instrText>ADDIN CSL_CITATION { "citationItems" : [ { "id" : "ITEM-1", "itemData" : { "ISBN" : "0099-2240 (Print)\\r0099-2240 (Linking)", "ISSN" : "00992240", "PMID" : "10508099", "author" : [ { "dropping-particle" : "", "family" : "Fisher", "given" : "Madeline M", "non-dropping-particle" : "", "parse-names" : false, "suffix" : "" }, { "dropping-particle" : "", "family" : "Triplett", "given" : "Eric W", "non-dropping-particle" : "", "parse-names" : false, "suffix" : "" } ], "container-title" : "Applied and Environmental Microbiology", "id" : "ITEM-1", "issue" : "10", "issued" : { "date-parts" : [ [ "1999" ] ] }, "page" : "4630-4636", "title" : "Automated approach for ribosomal intergenic spacer analysis of microbial diversity and its application to freshwater bacterial communities", "type" : "article-journal", "volume" : "65" }, "uris" : [ "http://www.mendeley.com/documents/?uuid=d0007598-3a9d-4a6e-b659-8bad98e5556c" ] } ], "mendeley" : { "formattedCitation" : "(8)", "plainTextFormattedCitation" : "(8)", "previouslyFormattedCitation" : "(8)" }, "properties" : { "noteIndex" : 0 }, "schema" : "https://github.com/citation-style-language/schema/raw/master/csl-citation.json" }</w:instrText>
      </w:r>
      <w:r>
        <w:fldChar w:fldCharType="separate"/>
      </w:r>
      <w:r w:rsidR="006139B4" w:rsidRPr="006139B4">
        <w:rPr>
          <w:noProof/>
        </w:rPr>
        <w:t>(8)</w:t>
      </w:r>
      <w:r>
        <w:fldChar w:fldCharType="end"/>
      </w:r>
      <w:r>
        <w:t xml:space="preserve">. Our research built upon these studies and added information about the taxonomic identities of bacterial groups. For example, persistent and unique bacterial groups were detected in the bog lakes using </w:t>
      </w:r>
      <w:r>
        <w:lastRenderedPageBreak/>
        <w:t xml:space="preserve">ARISA </w:t>
      </w:r>
      <w:r>
        <w:fldChar w:fldCharType="begin" w:fldLock="1"/>
      </w:r>
      <w:r w:rsidR="00EE703B">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"(9)", "plainTextFormattedCitation" : "(9)", "previouslyFormattedCitation" : "(9)" }, "properties" : { "noteIndex" : 0 }, "schema" : "https://github.com/citation-style-language/schema/raw/master/csl-citation.json" }</w:instrText>
      </w:r>
      <w:r>
        <w:fldChar w:fldCharType="separate"/>
      </w:r>
      <w:r w:rsidR="006139B4" w:rsidRPr="006139B4">
        <w:rPr>
          <w:noProof/>
        </w:rPr>
        <w:t>(9)</w:t>
      </w:r>
      <w:r>
        <w:fldChar w:fldCharType="end"/>
      </w:r>
      <w:r>
        <w:t xml:space="preserve">; using 16S amplicon sequencing, we determined that these groups are the ubiquitous freshwater bacteria LD28, acI-B2, PnecC, and bacI-A1. Differences in richness and community membership were previously detected in Crystal Bog, Trout Bog, and Mary Lake, three sites representative of the three mixing regime categories of polymictic, dimictic, and meromictic </w:t>
      </w:r>
      <w:r>
        <w:fldChar w:fldCharType="begin" w:fldLock="1"/>
      </w:r>
      <w:r w:rsidR="00EE703B">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"(9)", "plainTextFormattedCitation" : "(9)", "previouslyFormattedCitation" : "(9)" }, "properties" : { "noteIndex" : 0 }, "schema" : "https://github.com/citation-style-language/schema/raw/master/csl-citation.json" }</w:instrText>
      </w:r>
      <w:r>
        <w:fldChar w:fldCharType="separate"/>
      </w:r>
      <w:r w:rsidR="006139B4" w:rsidRPr="006139B4">
        <w:rPr>
          <w:noProof/>
        </w:rPr>
        <w:t>(9)</w:t>
      </w:r>
      <w:r>
        <w:fldChar w:fldCharType="end"/>
      </w:r>
      <w:r>
        <w:t xml:space="preserve">. Our data supported these results and suggest that these trends are indeed linked with mixing regime, as we included multiple lakes of each type in this study.  </w:t>
      </w:r>
    </w:p>
    <w:p w14:paraId="61503917" w14:textId="40990048" w:rsidR="001A4EFF" w:rsidRDefault="001A4EFF" w:rsidP="001A4EFF">
      <w:pPr>
        <w:pStyle w:val="ManuscriptText"/>
      </w:pPr>
      <w:r>
        <w:t xml:space="preserve">We also supported previous research on the characteristics of bacterial communities in the epilimnion and hypolimnion, and the impacts of lake mixing on these communities. We confirmed that epilimnia tended to be more variable than hypolimnia, potentially due to increased exposure to climatic events </w:t>
      </w:r>
      <w:r>
        <w:fldChar w:fldCharType="begin" w:fldLock="1"/>
      </w:r>
      <w:r w:rsidR="00EE703B">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"(9)", "plainTextFormattedCitation" : "(9)", "previouslyFormattedCitation" : "(9)" }, "properties" : { "noteIndex" : 0 }, "schema" : "https://github.com/citation-style-language/schema/raw/master/csl-citation.json" }</w:instrText>
      </w:r>
      <w:r>
        <w:fldChar w:fldCharType="separate"/>
      </w:r>
      <w:r w:rsidR="006139B4" w:rsidRPr="006139B4">
        <w:rPr>
          <w:noProof/>
        </w:rPr>
        <w:t>(9)</w:t>
      </w:r>
      <w:r>
        <w:fldChar w:fldCharType="end"/>
      </w:r>
      <w:r>
        <w:t xml:space="preserve">. Mixing was disruptive to both epilimnion and hypolimnion communities, selecting for only a few taxa that can thrive during this disturbance, but quickly recovering diversity </w:t>
      </w:r>
      <w:r>
        <w:fldChar w:fldCharType="begin" w:fldLock="1"/>
      </w:r>
      <w:r w:rsidR="00EE703B">
        <w:instrText>ADDIN CSL_CITATION { "citationItems" : [ { "id" : "ITEM-1", "itemData" : { "DOI" : "10.1111/j.1462-2920.2011.02546.x", "ISBN" : "1462-2920", "ISSN" : "14622912", "PMID" : "21883795", "abstract" : "For lake microbes, water column mixing acts as a disturbance because it homogenizes thermal and chemical gradients known to define the distributions of microbial taxa. Our first objective was to isolate hypothesized drivers of lake bacterial response to water column mixing. To accomplish this, we designed an enclosure experiment with three treatments to independently test key biogeochemical changes induced by mixing: oxygen addition to the hypolimnion, nutrient addition to the epilimnion, and full water column mixing. We used molecular fingerprinting to observe bacterial community dynamics in the treatment and control enclosures, and in ambient lake water. We found that oxygen and nutrient amendments simulated the physical-chemical water column environment following mixing and resulted in similar bacterial communities to the mixing treatment, affirming that these were important drivers of community change. These results demonstrate that specific environmental changes can replicate broad disturbance effects on microbial communities. Our second objective was to characterize bacterial community stability by quantifying community resistance, recovery and resilience to an episodic disturbance. The communities in the nutrient and oxygen amendments changed quickly (had low resistance), but generally matched the control composition by the 10th day after treatment, exhibiting resilience. These results imply that aquatic bacterial assemblages are generally stable in the face of disturbance.", "author" : [ { "dropping-particle" : "", "family" : "Shade", "given" : "Ashley", "non-dropping-particle" : "", "parse-names" : false, "suffix" : "" }, { "dropping-particle" : "", "family" : "Read", "given" : "Jordan S.", "non-dropping-particle" : "", "parse-names" : false, "suffix" : "" }, { "dropping-particle" : "", "family" : "Welkie", "given" : "David G.", "non-dropping-particle" : "", "parse-names" : false, "suffix" : "" }, { "dropping-particle" : "", "family" : "Kratz", "given" : "Timothy K.", "non-dropping-particle" : "", "parse-names" : false, "suffix" : "" }, { "dropping-particle" : "", "family" : "Wu", "given" : "Chin H.", "non-dropping-particle" : "", "parse-names" : false, "suffix" : "" }, { "dropping-particle" : "", "family" : "McMahon", "given" : "Katherine D.", "non-dropping-particle" : "", "parse-names" : false, "suffix" : "" } ], "container-title" : "Environmental Microbiology", "id" : "ITEM-1", "issue" : "10", "issued" : { "date-parts" : [ [ "2011" ] ] }, "page" : "2752-2767", "title" : "Resistance, resilience and recovery: Aquatic bacterial dynamics after water column disturbance", "type" : "article-journal", "volume" : "13" }, "uris" : [ "http://www.mendeley.com/documents/?uuid=d7e5717c-8a2b-4624-9b6f-30855d14d874" ] }, { "id" : "ITEM-2",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"ITEM-2",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"(7, 3)", "plainTextFormattedCitation" : "(7, 3)", "previouslyFormattedCitation" : "(7, 3)" }, "properties" : { "noteIndex" : 0 }, "schema" : "https://github.com/citation-style-language/schema/raw/master/csl-citation.json" }</w:instrText>
      </w:r>
      <w:r>
        <w:fldChar w:fldCharType="separate"/>
      </w:r>
      <w:r w:rsidR="006139B4" w:rsidRPr="006139B4">
        <w:rPr>
          <w:noProof/>
        </w:rPr>
        <w:t>(7, 3)</w:t>
      </w:r>
      <w:r>
        <w:fldChar w:fldCharType="end"/>
      </w:r>
      <w:r>
        <w:t>. Comparing richness between lakes of different mixing regimes did not support the intermediate disturbance hypothesis, our initial inspiration for the collection of this dataset; rather, the least mixed lakes had the most diverse communities. As many variables are co-dependent with mixing regime (such as depth, volume of integrated water column, dissolved carbon concentrations and total nitrogen concentration), it is not clear which variables are driving this trend.</w:t>
      </w:r>
    </w:p>
    <w:p w14:paraId="5DAAFFC5" w14:textId="46258F9B" w:rsidR="001A4EFF" w:rsidRDefault="001A4EFF" w:rsidP="001A4EFF">
      <w:pPr>
        <w:spacing w:line="480" w:lineRule="auto"/>
        <w:ind w:firstLine="720"/>
        <w:jc w:val="both"/>
        <w:rPr>
          <w:rFonts w:cs="Times New Roman"/>
          <w:szCs w:val="24"/>
        </w:rPr>
      </w:pPr>
      <w:r>
        <w:rPr>
          <w:rFonts w:cs="Times New Roman"/>
          <w:szCs w:val="24"/>
        </w:rPr>
        <w:t>We were not able to detect seasonal trends in bog lakes</w:t>
      </w:r>
      <w:r w:rsidRPr="007D33BE">
        <w:rPr>
          <w:rFonts w:cs="Times New Roman"/>
          <w:szCs w:val="24"/>
        </w:rPr>
        <w:t xml:space="preserve"> </w:t>
      </w:r>
      <w:r>
        <w:rPr>
          <w:rFonts w:cs="Times New Roman"/>
          <w:szCs w:val="24"/>
        </w:rPr>
        <w:t xml:space="preserve">in our multiple years of sampling. While seasonality in marine and river systems has been well-established by our colleagues, previous research on seasonality in freshwater lakes has produced mixed results </w:t>
      </w:r>
      <w:r>
        <w:rPr>
          <w:rFonts w:cs="Times New Roman"/>
          <w:szCs w:val="24"/>
        </w:rPr>
        <w:fldChar w:fldCharType="begin" w:fldLock="1"/>
      </w:r>
      <w:r w:rsidR="006139B4">
        <w:rPr>
          <w:rFonts w:cs="Times New Roman"/>
          <w:szCs w:val="24"/>
        </w:rPr>
        <w:instrText>ADDIN CSL_CITATION { "citationItems" : [ { "id" : "ITEM-1", "itemData" : { "DOI" : "10.4319/lo.2005.50.6.1718", "ISBN" : "0024-3590", "ISSN" : "00243590", "PMID" : "18039821", "abstract" : "The bacterioplankton community composition (measured with denaturing gradient gel electrophoresis of 16S ribosomal DNA [rDNA]) of two nonintersecting temperate rivers was nearly identical and changed synchronously over 2.5 yr, suggesting that intrinsic controls on bacteria were similar in the two rivers and that seasonal changes were driven by extrinsic factors such as climate. Most potential controls on community composition also exhibited synchrony; these included bacterial production rate (leucine incorporation), water temperature, river flow rate, and a suite of chemical measurements. Temperature and river flow rate were the best predictors of temporal patterns in diversity. However, diversity patterns also correlated with bacterial production and concentrations of dissolved organic nitrogen and nitrate, suggesting that diversity is directly or indirectly influenced by complex seasonal shifts in environmental conditions. Winter and summer communities were somewhat predictable over 3 yr, although these communities were not identical. Two polymerase chain reaction (PCR)-amplified clone libraries of 16S rDNA, constructed with summer samples from each river, were not significantly different and contained typical freshwater bacterioplankton of the beta-Proteobacteria, Bacteroidetes, and Actinobacteria, including members of five new freshwater bacterioplankton clusters. However, libraries also included several phylotypes related to bacteria from soil and sediment, indicating the potential importance of allochthonous organisms in river diversity.", "author" : [ { "dropping-particle" : "", "family" : "Crump", "given" : "Byron C.", "non-dropping-particle" : "", "parse-names" : false, "suffix" : "" }, { "dropping-particle" : "", "family" : "Hobbie", "given" : "John E.", "non-dropping-particle" : "", "parse-names" : false, "suffix" : "" } ], "container-title" : "Limnology and Oceanography", "id" : "ITEM-1", "issue" : "6", "issued" : { "date-parts" : [ [ "2005" ] ] }, "page" : "1718-1729", "title" : "Synchrony and seasonality in bacterioplankton communities of two temperate rivers", "type" : "article-journal", "volume" : "50" }, "uris" : [ "http://www.mendeley.com/documents/?uuid=bf3d998e-95f7-4425-b50d-cb1c51db6e20" ] }, { "id" : "ITEM-2", "itemData" : { "DOI" : "10.1038/ismej.2011.107", "ISBN" : "1751-7370 (Electronic)\\n1751-7362 (Linking)", "ISSN" : "1751-7370", "PMID" : "21850055", "abstract" : "Here we describe, the longest microbial time-series analyzed to date using high-resolution 16S rRNA tag pyrosequencing of samples taken monthly over 6 years at a temperate marine coastal site off Plymouth, UK. Data treatment effected the estimation of community richness over a 6-year period, whereby 8794 operational taxonomic units (OTUs) were identified using single-linkage preclustering and 21 130 OTUs were identified by denoising the data. The Alphaproteobacteria were the most abundant Class, and the most frequently recorded OTUs were members of the Rickettsiales (SAR 11) and Rhodobacteriales. This near-surface ocean bacterial community showed strong repeatable seasonal patterns, which were defined by winter peaks in diversity across all years. Environmental variables explained far more variation in seasonally predictable bacteria than did data on protists or metazoan biomass. Change in day length alone explains &gt;65% of the variance in community diversity. The results suggested that seasonal changes in environmental variables are more important than trophic interactions. Interestingly, microbial association network analysis showed that correlations in abundance were stronger within bacterial taxa rather than between bacteria and eukaryotes, or between bacteria and environmental variables.", "author" : [ { "dropping-particle" : "", "family" : "Gilbert", "given" : "J A", "non-dropping-particle" : "", "parse-names" : false, "suffix" : "" }, { "dropping-particle" : "", "family" : "Steele", "given" : "J A", "non-dropping-particle" : "", "parse-names" : false, "suffix" : "" }, { "dropping-particle" : "", "family" : "Caporaso", "given" : "J G", "non-dropping-particle" : "", "parse-names" : false, "suffix" : "" }, { "dropping-particle" : "", "family" : "Steinbruck", "given" : "L", "non-dropping-particle" : "", "parse-names" : false, "suffix" : "" }, { "dropping-particle" : "", "family" : "Reeder", "given" : "J", "non-dropping-particle" : "", "parse-names" : false, "suffix" : "" }, { "dropping-particle" : "", "family" : "Temperton", "given" : "B", "non-dropping-particle" : "", "parse-names" : false, "suffix" : "" }, { "dropping-particle" : "", "family" : "Huse", "given" : "S", "non-dropping-particle" : "", "parse-names" : false, "suffix" : "" }, { "dropping-particle" : "", "family" : "McHardy", "given" : "A C", "non-dropping-particle" : "", "parse-names" : false, "suffix" : "" }, { "dropping-particle" : "", "family" : "Knight", "given" : "R", "non-dropping-particle" : "", "parse-names" : false, "suffix" : "" }, { "dropping-particle" : "", "family" : "Joint", "given" : "I", "non-dropping-particle" : "", "parse-names" : false, "suffix" : "" }, { "dropping-particle" : "", "family" : "Somerfield", "given" : "P", "non-dropping-particle" : "", "parse-names" : false, "suffix" : "" }, { "dropping-particle" : "", "family" : "Fuhrman", "given" : "J A", "non-dropping-particle" : "", "parse-names" : false, "suffix" : "" }, { "dropping-particle" : "", "family" : "Field", "given" : "D", "non-dropping-particle" : "", "parse-names" : false, "suffix" : "" } ], "container-title" : "The ISME Journal", "id" : "ITEM-2", "issue" : "2", "issued" : { "date-parts" : [ [ "2012" ] ] }, "page" : "298-308", "title" : "Defining seasonal marine microbial community dynamics", "type" : "article-journal", "volume" : "6" }, "uris" : [ "http://www.mendeley.com/documents/?uuid=4b276c1c-be19-4601-8bfd-10d960e8c35a" ] }, { "id" : "ITEM-3", "itemData" : { "DOI" : "10.1073/pnas.0602399103", "ISBN" : "0027-8424", "ISSN" : "0027-8424", "PMID" : "16938845", "abstract" : "Factors influencing patterns in the distribution and abundance of plant and animal taxa modulate ecosystem function and ecosystem response to environmental change, which is often taken to infer low functional redundancy among such species, but such relationships are poorly known for microbial communities. Using high-resolution molecular fingerprinting, we demonstrate the existence of extraordinarily repeatable temporal patterns in the community composition of 171 operational taxonomic units of marine bacterioplankton over 4.5 years at our Microbial Observatory site, 20 km off the southern California coast. These patterns in distribution and abundance of microbial taxa were highly predictable and significantly influenced by a broad range of both abiotic and biotic factors. These findings provide statistically robust demonstration of temporal patterning in marine bacterial distribution and abundance, which suggests that the distribution and abundance of bacterial taxa may modulate ecosystem function and response and that a significant subset of the bacteria exhibit low levels of functional redundancy as documented for many plant and animal communities.", "author" : [ { "dropping-particle" : "", "family" : "Fuhrman", "given" : "Jed A", "non-dropping-particle" : "", "parse-names" : false, "suffix" : "" }, { "dropping-particle" : "", "family" : "Hewson", "given" : "Ian", "non-dropping-particle" : "", "parse-names" : false, "suffix" : "" }, { "dropping-particle" : "", "family" : "Schwalbach", "given" : "Michael S", "non-dropping-particle" : "", "parse-names" : false, "suffix" : "" }, { "dropping-particle" : "", "family" : "Steele", "given" : "Joshua A", "non-dropping-particle" : "", "parse-names" : false, "suffix" : "" }, { "dropping-particle" : "V", "family" : "Brown", "given" : "Mark", "non-dropping-particle" : "", "parse-names" : false, "suffix" : "" }, { "dropping-particle" : "", "family" : "Naeem", "given" : "Shahid", "non-dropping-particle" : "", "parse-names" : false, "suffix" : "" } ], "container-title" : "Proceedings of the National Academy of Sciences of the USA", "id" : "ITEM-3", "issue" : "35", "issued" : { "date-parts" : [ [ "2006" ] ] }, "page" : "13104-13109", "title" : "Annually reoccurring bacterial communities are predictable from ocean conditions", "type" : "article-journal", "volume" : "103" }, "uris" : [ "http://www.mendeley.com/documents/?uuid=391cc6f9-d9c0-481c-96b2-448674e30e64" ] }, { "id" : "ITEM-4", "itemData" : { "author" : [ { "dropping-particle" : "", "family" : "Cram", "given" : "JA", "non-dropping-particle" : "", "parse-names" : false, "suffix" : "" }, { "dropping-particle" : "", "family" : "Chow", "given" : "CT", "non-dropping-particle" : "", "parse-names" : false, "suffix" : "" }, { "dropping-particle" : "", "family" : "Sachdeva", "given" : "R", "non-dropping-particle" : "", "parse-names" : false, "suffix" : "" }, { "dropping-particle" : "", "family" : "Needham", "given" : "DM", "non-dropping-particle" : "", "parse-names" : false, "suffix" : "" }, { "dropping-particle" : "", "family" : "Parada", "given" : "AE", "non-dropping-particle" : "", "parse-names" : false, "suffix" : "" }, { "dropping-particle" : "", "family" : "Steele", "given" : "JA", "non-dropping-particle" : "", "parse-names" : false, "suffix" : "" }, { "dropping-particle" : "", "family" : "Fuhrman", "given" : "JA", "non-dropping-particle" : "", "parse-names" : false, "suffix" : "" } ], "container-title" : "The ISME journal", "id" : "ITEM-4", "issued" : { "date-parts" : [ [ "2015" ] ] }, "page" : "563-580", "title" : "Seasonal and interannual variability of the marine bacterioplankton community throughout the water column over ten years", "type" : "article-journal", "volume" : "9" }, "uris" : [ "http://www.mendeley.com/documents/?uuid=3e171bfa-ff82-4b2a-82b2-9c8b5f16b8b3" ] } ], "mendeley" : { "formattedCitation" : "(10\u201313)", "plainTextFormattedCitation" : "(10\u201313)", "previouslyFormattedCitation" : "(10\u201313)" }, "properties" : { "noteIndex" : 0 }, "schema" : "https://github.com/citation-style-language/schema/raw/master/csl-citation.json" }</w:instrText>
      </w:r>
      <w:r>
        <w:rPr>
          <w:rFonts w:cs="Times New Roman"/>
          <w:szCs w:val="24"/>
        </w:rPr>
        <w:fldChar w:fldCharType="separate"/>
      </w:r>
      <w:r w:rsidR="006139B4" w:rsidRPr="006139B4">
        <w:rPr>
          <w:rFonts w:cs="Times New Roman"/>
          <w:noProof/>
          <w:szCs w:val="24"/>
        </w:rPr>
        <w:t>(10–13)</w:t>
      </w:r>
      <w:r>
        <w:rPr>
          <w:rFonts w:cs="Times New Roman"/>
          <w:szCs w:val="24"/>
        </w:rPr>
        <w:fldChar w:fldCharType="end"/>
      </w:r>
      <w:r>
        <w:rPr>
          <w:rFonts w:cs="Times New Roman"/>
          <w:szCs w:val="24"/>
        </w:rPr>
        <w:t xml:space="preserve">. Nelson identified distinct, repeatable community types in his seminal paper on seasonality in alpine lakes, but noted that stratified summer communities were distinct each year </w:t>
      </w:r>
      <w:r>
        <w:rPr>
          <w:rFonts w:cs="Times New Roman"/>
          <w:szCs w:val="24"/>
        </w:rPr>
        <w:fldChar w:fldCharType="begin" w:fldLock="1"/>
      </w:r>
      <w:r w:rsidR="006139B4">
        <w:rPr>
          <w:rFonts w:cs="Times New Roman"/>
          <w:szCs w:val="24"/>
        </w:rPr>
        <w:instrText>ADDIN CSL_CITATION { "citationItems" : [ { "id" : "ITEM-1", "itemData" : { "DOI" : "10.1038/ismej.2008.81", "ISSN" : "1751-7362", "author" : [ { "dropping-particle" : "", "family" : "Nelson", "given" : "Craig E", "non-dropping-particle" : "", "parse-names" : false, "suffix" : "" } ], "container-title" : "The ISME Journal", "id" : "ITEM-1", "issue" : "1", "issued" : { "date-parts" : [ [ "2009" ] ] }, "page" : "13-30", "title" : "Phenology of high-elevation pelagic bacteria: the roles of meteorologic variability, catchment inputs and thermal stratification in structuring communities", "type" : "article-journal", "volume" : "3" }, "uris" : [ "http://www.mendeley.com/documents/?uuid=f28f5782-6f9d-4356-af8d-a161f292bc41" ] } ], "mendeley" : { "formattedCitation" : "(14)", "plainTextFormattedCitation" : "(14)", "previouslyFormattedCitation" : "(14)" }, "properties" : { "noteIndex" : 0 }, "schema" : "https://github.com/citation-style-language/schema/raw/master/csl-citation.json" }</w:instrText>
      </w:r>
      <w:r>
        <w:rPr>
          <w:rFonts w:cs="Times New Roman"/>
          <w:szCs w:val="24"/>
        </w:rPr>
        <w:fldChar w:fldCharType="separate"/>
      </w:r>
      <w:r w:rsidR="006139B4" w:rsidRPr="006139B4">
        <w:rPr>
          <w:rFonts w:cs="Times New Roman"/>
          <w:noProof/>
          <w:szCs w:val="24"/>
        </w:rPr>
        <w:t>(14)</w:t>
      </w:r>
      <w:r>
        <w:rPr>
          <w:rFonts w:cs="Times New Roman"/>
          <w:szCs w:val="24"/>
        </w:rPr>
        <w:fldChar w:fldCharType="end"/>
      </w:r>
      <w:r>
        <w:rPr>
          <w:rFonts w:cs="Times New Roman"/>
          <w:szCs w:val="24"/>
        </w:rPr>
        <w:t xml:space="preserve">. Seasonal trends were detected in a time series from Lake Mendota similar to ours, but summer samples in Lake Mendota were more variable then those collected in other seasons </w:t>
      </w:r>
      <w:r>
        <w:rPr>
          <w:rFonts w:cs="Times New Roman"/>
          <w:szCs w:val="24"/>
        </w:rPr>
        <w:fldChar w:fldCharType="begin" w:fldLock="1"/>
      </w:r>
      <w:r w:rsidR="006139B4">
        <w:rPr>
          <w:rFonts w:cs="Times New Roman"/>
          <w:szCs w:val="24"/>
        </w:rPr>
        <w:instrText>ADDIN CSL_CITATION { "citationItems" : [ { "id" : "ITEM-1", "itemData" : { "DOI" : "10.1038/ismej.2012.118", "ISSN" : "1751-7370", "PMID" : "23051691", "abstract" : "With an unprecedented decade-long time series from a temperate eutrophic lake, we analyzed bacterial and environmental co-occurrence networks to gain insight into seasonal dynamics at the community level. We found that (1) bacterial co-occurrence networks were non-random, (2) season explained the network complexity and (3) co-occurrence network complexity was negatively correlated with the underlying community diversity across different seasons. Network complexity was not related to the variance of associated environmental factors. Temperature and productivity may drive changes in diversity across seasons in temperate aquatic systems, much as they control diversity across latitude. While the implications of bacterioplankton network structure on ecosystem function are still largely unknown, network analysis, in conjunction with traditional multivariate techniques, continues to increase our understanding of bacterioplankton temporal dynamics.", "author" : [ { "dropping-particle" : "", "family" : "Kara", "given" : "Emily L", "non-dropping-particle" : "", "parse-names" : false, "suffix" : "" }, { "dropping-particle" : "", "family" : "Hanson", "given" : "Paul C", "non-dropping-particle" : "", "parse-names" : false, "suffix" : "" }, { "dropping-particle" : "", "family" : "Hu", "given" : "Yu Hen", "non-dropping-particle" : "", "parse-names" : false, "suffix" : "" }, { "dropping-particle" : "", "family" : "Winslow", "given" : "Luke", "non-dropping-particle" : "", "parse-names" : false, "suffix" : "" }, { "dropping-particle" : "", "family" : "McMahon", "given" : "Katherine D", "non-dropping-particle" : "", "parse-names" : false, "suffix" : "" } ], "container-title" : "The ISME journal", "id" : "ITEM-1", "issue" : "3", "issued" : { "date-parts" : [ [ "2013", "3" ] ] }, "note" : "10 yrs of ARISA in Mendota to test community co-occurance, seasonal changes in co-occurance, and network complexity\nFound non-random co-occurnace networks\nAn inverse relationship between network complexity and diversity/richness\nNo relation between network complexity and habitat heterogeniety", "page" : "680-4", "publisher" : "Nature Publishing Group", "title" : "A decade of seasonal dynamics and co-occurrences within freshwater bacterioplankton communities from eutrophic Lake Mendota, WI, USA.", "type" : "article-journal", "volume" : "7" }, "uris" : [ "http://www.mendeley.com/documents/?uuid=41880bda-cb08-4f0f-bf4e-2394b8d2b3f8" ] } ], "mendeley" : { "formattedCitation" : "(15)", "plainTextFormattedCitation" : "(15)", "previouslyFormattedCitation" : "(15)" }, "properties" : { "noteIndex" : 0 }, "schema" : "https://github.com/citation-style-language/schema/raw/master/csl-citation.json" }</w:instrText>
      </w:r>
      <w:r>
        <w:rPr>
          <w:rFonts w:cs="Times New Roman"/>
          <w:szCs w:val="24"/>
        </w:rPr>
        <w:fldChar w:fldCharType="separate"/>
      </w:r>
      <w:r w:rsidR="006139B4" w:rsidRPr="006139B4">
        <w:rPr>
          <w:rFonts w:cs="Times New Roman"/>
          <w:noProof/>
          <w:szCs w:val="24"/>
        </w:rPr>
        <w:t>(15)</w:t>
      </w:r>
      <w:r>
        <w:rPr>
          <w:rFonts w:cs="Times New Roman"/>
          <w:szCs w:val="24"/>
        </w:rPr>
        <w:fldChar w:fldCharType="end"/>
      </w:r>
      <w:r>
        <w:rPr>
          <w:rFonts w:cs="Times New Roman"/>
          <w:szCs w:val="24"/>
        </w:rPr>
        <w:t xml:space="preserve">. In the previous ARISA-based </w:t>
      </w:r>
      <w:r>
        <w:rPr>
          <w:rFonts w:cs="Times New Roman"/>
          <w:szCs w:val="24"/>
        </w:rPr>
        <w:lastRenderedPageBreak/>
        <w:t xml:space="preserve">research on the bog lakes included in our dataset, community properties such as richness and rate of change were consistent each year, and the phytoplankton community hypothesized to drive seasonal trends in the bacterial community based on correlation studies </w:t>
      </w:r>
      <w:r>
        <w:rPr>
          <w:rFonts w:cs="Times New Roman"/>
          <w:szCs w:val="24"/>
        </w:rPr>
        <w:fldChar w:fldCharType="begin" w:fldLock="1"/>
      </w:r>
      <w:r w:rsidR="006139B4">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"id" : "ITEM-2",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"ITEM-2", "issue" : "1", "issued" : { "date-parts" : [ [ "2007" ] ] }, "page" : "38-47", "title" : "Synchrony in aquatic microbial community dynamics.", "type" : "article-journal", "volume" : "1" }, "uris" : [ "http://www.mendeley.com/documents/?uuid=c8846422-748d-4ad5-83e0-cfa007b465c2" ] }, { "id" : "ITEM-3", "itemData" : { "DOI" : "10.1111/j.1462-2920.2006.01039.x", "ISBN" : "1462-2912 (Print)", "ISSN" : "14622912", "PMID" : "16872407", "abstract" : "A previous multiyear study observed correlations between bacterioplankton community composition (BCC) and abundance and the dynamics of phytoplankton populations and bacterivorous grazers in a humic lake. These observations generated hypotheses about the importance of trophic interactions (both top-down and bottom-up) for structuring bacterial communities in this lake, which were tested using two multifactorial food web manipulation experiments that separately manipulated the intensity of grazing and the composition of the phytoplankton community. Our results, combined with field observations, suggest that a hierarchy of drivers structures bacterial communities in this lake. While other studies have noted links between aggregate measures of phytoplankton and bacterioplankton communities, we demonstrate here correlations between succession of phytoplankton assemblages and BCC as assessed by automated ribosomal intergenic spacer analysis (ARISA). We used a novel approach linking community ARISA data to phylogenetic assignments from sequence analysis of 16S rRNA gene clone libraries to examine the responses of specific bacterial phylotypes to the experimental manipulations. The synchronous dynamics of these populations suggests that primary producers may mediate BCC and diversity through labile organic matter production, which evolves in quality and quantity during phytoplankton succession. Superimposed on this resource-mediated control of BCC are brief periods of intense bacterivory that impact bacterial abundance and composition.", "author" : [ { "dropping-particle" : "", "family" : "Kent", "given" : "Angela D.", "non-dropping-particle" : "", "parse-names" : false, "suffix" : "" }, { "dropping-particle" : "", "family" : "Jones", "given" : "Stuart E.", "non-dropping-particle" : "", "parse-names" : false, "suffix" : "" }, { "dropping-particle" : "", "family" : "Lauster", "given" : "George H.", "non-dropping-particle" : "", "parse-names" : false, "suffix" : "" }, { "dropping-particle" : "", "family" : "Graham", "given" : "James M.", "non-dropping-particle" : "", "parse-names" : false, "suffix" : "" }, { "dropping-particle" : "", "family" : "Newton", "given" : "Ryan J.", "non-dropping-particle" : "", "parse-names" : false, "suffix" : "" }, { "dropping-particle" : "", "family" : "McMahon", "given" : "Katherine D.", "non-dropping-particle" : "", "parse-names" : false, "suffix" : "" } ], "container-title" : "Environmental Microbiology", "id" : "ITEM-3", "issue" : "8", "issued" : { "date-parts" : [ [ "2006" ] ] }, "page" : "1448-1459", "title" : "Experimental manipulations of microbial food web interactions in a humic lake: Shifting biological drivers of bacterial community structure", "type" : "article-journal", "volume" : "8" }, "uris" : [ "http://www.mendeley.com/documents/?uuid=c635e550-3de6-4414-a4c8-b4f57ae983ee" ] } ], "mendeley" : { "formattedCitation" : "(16\u201318)", "plainTextFormattedCitation" : "(16\u201318)", "previouslyFormattedCitation" : "(16\u201318)" }, "properties" : { "noteIndex" : 0 }, "schema" : "https://github.com/citation-style-language/schema/raw/master/csl-citation.json" }</w:instrText>
      </w:r>
      <w:r>
        <w:rPr>
          <w:rFonts w:cs="Times New Roman"/>
          <w:szCs w:val="24"/>
        </w:rPr>
        <w:fldChar w:fldCharType="separate"/>
      </w:r>
      <w:r w:rsidR="006139B4" w:rsidRPr="006139B4">
        <w:rPr>
          <w:rFonts w:cs="Times New Roman"/>
          <w:noProof/>
          <w:szCs w:val="24"/>
        </w:rPr>
        <w:t>(16–18)</w:t>
      </w:r>
      <w:r>
        <w:rPr>
          <w:rFonts w:cs="Times New Roman"/>
          <w:szCs w:val="24"/>
        </w:rPr>
        <w:fldChar w:fldCharType="end"/>
      </w:r>
      <w:r>
        <w:rPr>
          <w:rFonts w:cs="Times New Roman"/>
          <w:szCs w:val="24"/>
        </w:rPr>
        <w:t xml:space="preserve">. Synchrony in seasonal trends was observed by Kent, et al. </w:t>
      </w:r>
      <w:r>
        <w:rPr>
          <w:rFonts w:cs="Times New Roman"/>
          <w:szCs w:val="24"/>
        </w:rPr>
        <w:fldChar w:fldCharType="begin" w:fldLock="1"/>
      </w:r>
      <w:r w:rsidR="006139B4">
        <w:rPr>
          <w:rFonts w:cs="Times New Roman"/>
          <w:szCs w:val="24"/>
        </w:rPr>
        <w:instrText>ADDIN CSL_CITATION { "citationItems" : [ { "id" : "ITEM-1",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"ITEM-1", "issue" : "1", "issued" : { "date-parts" : [ [ "2007" ] ] }, "page" : "38-47", "title" : "Synchrony in aquatic microbial community dynamics.", "type" : "article-journal", "volume" : "1" }, "uris" : [ "http://www.mendeley.com/documents/?uuid=c8846422-748d-4ad5-83e0-cfa007b465c2" ] } ], "mendeley" : { "formattedCitation" : "(17)", "plainTextFormattedCitation" : "(17)", "previouslyFormattedCitation" : "(17)" }, "properties" : { "noteIndex" : 0 }, "schema" : "https://github.com/citation-style-language/schema/raw/master/csl-citation.json" }</w:instrText>
      </w:r>
      <w:r>
        <w:rPr>
          <w:rFonts w:cs="Times New Roman"/>
          <w:szCs w:val="24"/>
        </w:rPr>
        <w:fldChar w:fldCharType="separate"/>
      </w:r>
      <w:r w:rsidR="006139B4" w:rsidRPr="006139B4">
        <w:rPr>
          <w:rFonts w:cs="Times New Roman"/>
          <w:noProof/>
          <w:szCs w:val="24"/>
        </w:rPr>
        <w:t>(17)</w:t>
      </w:r>
      <w:r>
        <w:rPr>
          <w:rFonts w:cs="Times New Roman"/>
          <w:szCs w:val="24"/>
        </w:rPr>
        <w:fldChar w:fldCharType="end"/>
      </w:r>
      <w:r>
        <w:rPr>
          <w:rFonts w:cs="Times New Roman"/>
          <w:szCs w:val="24"/>
        </w:rPr>
        <w:t xml:space="preserve">; however, in a second year of sampling for seasonal trends in Crystal Bog and Trout Bog, these findings were not reproduced </w:t>
      </w:r>
      <w:r>
        <w:rPr>
          <w:rFonts w:cs="Times New Roman"/>
          <w:szCs w:val="24"/>
        </w:rPr>
        <w:fldChar w:fldCharType="begin" w:fldLock="1"/>
      </w:r>
      <w:r w:rsidR="001046F9">
        <w:rPr>
          <w:rFonts w:cs="Times New Roman"/>
          <w:szCs w:val="24"/>
        </w:rPr>
        <w:instrText>ADDIN CSL_CITATION { "citationItems" : [ { "id" : "ITEM-1", "itemData" : { "author" : [ { "dropping-particle" : "", "family" : "Rusak", "given" : "James A", "non-dropping-particle" : "", "parse-names" : false, "suffix" : "" }, { "dropping-particle" : "", "family" : "Jones", "given" : "Stuart E", "non-dropping-particle" : "", "parse-names" : false, "suffix" : "" }, { "dropping-particle" : "", "family" : "Kent", "given" : "Angela D", "non-dropping-particle" : "", "parse-names" : false, "suffix" : "" }, { "dropping-particle" : "", "family" : "Shade", "given" : "Ashley", "non-dropping-particle" : "", "parse-names" : false, "suffix" : "" }, { "dropping-particle" : "", "family" : "McMahon", "given" : "Trina D", "non-dropping-particle" : "", "parse-names" : false, "suffix" : "" } ], "container-title" : "Verh. Internat. Verein. Limnol.", "id" : "ITEM-1", "issue" : "6", "issued" : { "date-parts" : [ [ "2009" ] ] }, "page" : "936-940", "title" : "Spatial synchrony in microbial community dynamics : testing among-year and lake patterns", "type" : "article-journal", "volume" : "30" }, "uris" : [ "http://www.mendeley.com/documents/?uuid=0ce6a303-779b-438a-8cd8-61e7f81c44ba" ] } ], "mendeley" : { "formattedCitation" : "(19)", "plainTextFormattedCitation" : "(19)", "previouslyFormattedCitation" : "(19)" }, "properties" : { "noteIndex" : 0 }, "schema" : "https://github.com/citation-style-language/schema/raw/master/csl-citation.json" }</w:instrText>
      </w:r>
      <w:r>
        <w:rPr>
          <w:rFonts w:cs="Times New Roman"/>
          <w:szCs w:val="24"/>
        </w:rPr>
        <w:fldChar w:fldCharType="separate"/>
      </w:r>
      <w:r w:rsidR="006139B4" w:rsidRPr="006139B4">
        <w:rPr>
          <w:rFonts w:cs="Times New Roman"/>
          <w:noProof/>
          <w:szCs w:val="24"/>
        </w:rPr>
        <w:t>(19)</w:t>
      </w:r>
      <w:r>
        <w:rPr>
          <w:rFonts w:cs="Times New Roman"/>
          <w:szCs w:val="24"/>
        </w:rPr>
        <w:fldChar w:fldCharType="end"/>
      </w:r>
      <w:r>
        <w:rPr>
          <w:rFonts w:cs="Times New Roman"/>
          <w:szCs w:val="24"/>
        </w:rPr>
        <w:t xml:space="preserve">. Successional trends were studied in Crystal Bog and Lake Mendota in 2000-2001 and “dramatic changes” in community composition associated with drops in biodiversity are described during the summer months, while spring, winter, and fall had more stable community composition </w:t>
      </w:r>
      <w:r>
        <w:rPr>
          <w:rFonts w:cs="Times New Roman"/>
          <w:szCs w:val="24"/>
        </w:rPr>
        <w:fldChar w:fldCharType="begin" w:fldLock="1"/>
      </w:r>
      <w:r w:rsidR="006139B4">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"mendeley" : { "formattedCitation" : "(16)", "plainTextFormattedCitation" : "(16)", "previouslyFormattedCitation" : "(16)" }, "properties" : { "noteIndex" : 0 }, "schema" : "https://github.com/citation-style-language/schema/raw/master/csl-citation.json" }</w:instrText>
      </w:r>
      <w:r>
        <w:rPr>
          <w:rFonts w:cs="Times New Roman"/>
          <w:szCs w:val="24"/>
        </w:rPr>
        <w:fldChar w:fldCharType="separate"/>
      </w:r>
      <w:r w:rsidR="006139B4" w:rsidRPr="006139B4">
        <w:rPr>
          <w:rFonts w:cs="Times New Roman"/>
          <w:noProof/>
          <w:szCs w:val="24"/>
        </w:rPr>
        <w:t>(16)</w:t>
      </w:r>
      <w:r>
        <w:rPr>
          <w:rFonts w:cs="Times New Roman"/>
          <w:szCs w:val="24"/>
        </w:rPr>
        <w:fldChar w:fldCharType="end"/>
      </w:r>
      <w:r>
        <w:rPr>
          <w:rFonts w:cs="Times New Roman"/>
          <w:szCs w:val="24"/>
        </w:rPr>
        <w:t>. Because the majority of our dataset was collected during the summer stratified period, increased summer variability may explain why we see a different community each year and a lack of seasonal trends. However, we cannot disprove the presence of seasonality in temperate freshwater lakes.</w:t>
      </w:r>
    </w:p>
    <w:p w14:paraId="04230F4C" w14:textId="31E433B8" w:rsidR="001A4EFF" w:rsidRPr="00BE4030" w:rsidRDefault="001A4EFF" w:rsidP="001A4EFF">
      <w:pPr>
        <w:spacing w:line="480" w:lineRule="auto"/>
        <w:ind w:firstLine="720"/>
        <w:jc w:val="both"/>
        <w:rPr>
          <w:rFonts w:cs="Times New Roman"/>
          <w:szCs w:val="24"/>
        </w:rPr>
      </w:pPr>
      <w:r>
        <w:rPr>
          <w:rFonts w:cs="Times New Roman"/>
          <w:szCs w:val="24"/>
        </w:rPr>
        <w:t xml:space="preserve">One of the biggest benefits of 16S amplicon sequecing over ARISA is the ability to classify sequences. In addition to a core of persistent taxa found in nearly every sample collected, we also identified taxa endemic to either the epilimnion or hypolimnion and to specific mixing regimes. These endemic taxa likely reflect the biogeochemical differences driven by mixing regime. Dimictic and meromictic hypolimnia, which are consistently anaerobic, harbor putative sulfur reducers not present in polymictic hypolimnia, which are more frequently oxygenated. Members of clade acI partition by mixing regime in epilimnia, though the functional traits driving this filtering effect are the subject of active study </w:t>
      </w:r>
      <w:r>
        <w:rPr>
          <w:rFonts w:cs="Times New Roman"/>
          <w:szCs w:val="24"/>
        </w:rPr>
        <w:fldChar w:fldCharType="begin" w:fldLock="1"/>
      </w:r>
      <w:r w:rsidR="00EE703B">
        <w:rPr>
          <w:rFonts w:cs="Times New Roman"/>
          <w:szCs w:val="24"/>
        </w:rPr>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"mendeley" : { "formattedCitation" : "(4)", "plainTextFormattedCitation" : "(4)", "previouslyFormattedCitation" : "(4)" }, "properties" : { "noteIndex" : 0 }, "schema" : "https://github.com/citation-style-language/schema/raw/master/csl-citation.json" }</w:instrText>
      </w:r>
      <w:r>
        <w:rPr>
          <w:rFonts w:cs="Times New Roman"/>
          <w:szCs w:val="24"/>
        </w:rPr>
        <w:fldChar w:fldCharType="separate"/>
      </w:r>
      <w:r w:rsidR="006139B4" w:rsidRPr="006139B4">
        <w:rPr>
          <w:rFonts w:cs="Times New Roman"/>
          <w:noProof/>
          <w:szCs w:val="24"/>
        </w:rPr>
        <w:t>(4)</w:t>
      </w:r>
      <w:r>
        <w:rPr>
          <w:rFonts w:cs="Times New Roman"/>
          <w:szCs w:val="24"/>
        </w:rPr>
        <w:fldChar w:fldCharType="end"/>
      </w:r>
      <w:r>
        <w:rPr>
          <w:rFonts w:cs="Times New Roman"/>
          <w:szCs w:val="24"/>
        </w:rPr>
        <w:t xml:space="preserve">. Interestingly, the hypolimnion of meromictic Mary Lake contains several taxa classified into the candidate phyla radiation and a larger proportion of completely unclassified reads than other hypolimnia </w:t>
      </w:r>
      <w:r>
        <w:rPr>
          <w:rFonts w:cs="Times New Roman"/>
          <w:szCs w:val="24"/>
        </w:rPr>
        <w:fldChar w:fldCharType="begin" w:fldLock="1"/>
      </w:r>
      <w:r w:rsidR="001046F9">
        <w:rPr>
          <w:rFonts w:cs="Times New Roman"/>
          <w:szCs w:val="24"/>
        </w:rPr>
        <w:instrText>ADDIN CSL_CITATION { "citationItems" : [ { "id" : "ITEM-1", "itemData" : { "DOI" : "10.1038/nmicrobiol.2016.48", "author" : [ { "dropping-particle" : "", "family" : "Hug", "given" : "Laura A", "non-dropping-particle" : "", "parse-names" : false, "suffix" : "" }, { "dropping-particle" : "", "family" : "Baker", "given" : "Brett J", "non-dropping-particle" : "", "parse-names" : false, "suffix" : "" }, { "dropping-particle" : "", "family" : "Anantharaman", "given" : "Karthik", "non-dropping-particle" : "", "parse-names" : false, "suffix" : "" }, { "dropping-particle" : "", "family" : "Brown", "given" : "Christopher T", "non-dropping-particle" : "", "parse-names" : false, "suffix" : "" }, { "dropping-particle" : "", "family" : "Probst", "given" : "Alexander J", "non-dropping-particle" : "", "parse-names" : false, "suffix" : "" }, { "dropping-particle" : "", "family" : "Castelle", "given" : "Cindy J", "non-dropping-particle" : "", "parse-names" : false, "suffix" : "" }, { "dropping-particle" : "", "family" : "Butterfield", "given" : "Cristina N", "non-dropping-particle" : "", "parse-names" : false, "suffix" : "" }, { "dropping-particle" : "", "family" : "Hernsdorf", "given" : "Alex W", "non-dropping-particle" : "", "parse-names" : false, "suffix" : "" }, { "dropping-particle" : "", "family" : "Amano", "given" : "Yuki", "non-dropping-particle" : "", "parse-names" : false, "suffix" : "" }, { "dropping-particle" : "", "family" : "Ise", "given" : "Kotaro", "non-dropping-particle" : "", "parse-names" : false, "suffix" : "" }, { "dropping-particle" : "", "family" : "Suzuki", "given" : "Yohey", "non-dropping-particle" : "", "parse-names" : false, "suffix" : "" }, { "dropping-particle" : "", "family" : "Dudek", "given" : "Natasha", "non-dropping-particle" : "", "parse-names" : false, "suffix" : "" }, { "dropping-particle" : "", "family" : "Relman", "given" : "David A", "non-dropping-particle" : "", "parse-names" : false, "suffix" : "" }, { "dropping-particle" : "", "family" : "Finstad", "given" : "Kari M", "non-dropping-particle" : "", "parse-names" : false, "suffix" : "" }, { "dropping-particle" : "", "family" : "Amundson", "given" : "Ronald", "non-dropping-particle" : "", "parse-names" : false, "suffix" : "" }, { "dropping-particle" : "", "family" : "Thomas", "given" : "Brian C", "non-dropping-particle" : "", "parse-names" : false, "suffix" : "" }, { "dropping-particle" : "", "family" : "Banfield", "given" : "Jillian F", "non-dropping-particle" : "", "parse-names" : false, "suffix" : "" } ], "container-title" : "Nature Microbiology", "id" : "ITEM-1", "issued" : { "date-parts" : [ [ "2016" ] ] }, "page" : "1-6", "title" : "A new view of the tree of life", "type" : "article-journal", "volume" : "1" }, "uris" : [ "http://www.mendeley.com/documents/?uuid=01c03762-2bdb-49db-ad47-870ca495f989" ] } ], "mendeley" : { "formattedCitation" : "(20)", "plainTextFormattedCitation" : "(20)", "previouslyFormattedCitation" : "(20)" }, "properties" : { "noteIndex" : 0 }, "schema" : "https://github.com/citation-style-language/schema/raw/master/csl-citation.json" }</w:instrText>
      </w:r>
      <w:r>
        <w:rPr>
          <w:rFonts w:cs="Times New Roman"/>
          <w:szCs w:val="24"/>
        </w:rPr>
        <w:fldChar w:fldCharType="separate"/>
      </w:r>
      <w:r w:rsidR="006139B4" w:rsidRPr="006139B4">
        <w:rPr>
          <w:rFonts w:cs="Times New Roman"/>
          <w:noProof/>
          <w:szCs w:val="24"/>
        </w:rPr>
        <w:t>(20)</w:t>
      </w:r>
      <w:r>
        <w:rPr>
          <w:rFonts w:cs="Times New Roman"/>
          <w:szCs w:val="24"/>
        </w:rPr>
        <w:fldChar w:fldCharType="end"/>
      </w:r>
      <w:r>
        <w:rPr>
          <w:rFonts w:cs="Times New Roman"/>
          <w:szCs w:val="24"/>
        </w:rPr>
        <w:t xml:space="preserve">. This is consistent with the findings of other 16S and metagenomics studies of meromictic lakes, and suggests that the highly reduced and consistently anaerobic conditions in meromictic hypolimnia support taxa would make </w:t>
      </w:r>
      <w:r>
        <w:rPr>
          <w:rFonts w:cs="Times New Roman"/>
          <w:szCs w:val="24"/>
        </w:rPr>
        <w:lastRenderedPageBreak/>
        <w:t xml:space="preserve">excellent study systems for research on members of the candidate phyla radiation and “microbial dark matter” </w:t>
      </w:r>
      <w:r>
        <w:rPr>
          <w:rFonts w:cs="Times New Roman"/>
          <w:szCs w:val="24"/>
        </w:rPr>
        <w:fldChar w:fldCharType="begin" w:fldLock="1"/>
      </w:r>
      <w:r w:rsidR="006139B4">
        <w:rPr>
          <w:rFonts w:cs="Times New Roman"/>
          <w:szCs w:val="24"/>
        </w:rPr>
        <w:instrText>ADDIN CSL_CITATION { "citationItems" : [ { "id" : "ITEM-1", "itemData" : { "DOI" : "10.1128/AEM.01774-14", "ISSN" : "0099-2240", "author" : [ { "dropping-particle" : "", "family" : "Gies", "given" : "E. A.", "non-dropping-particle" : "", "parse-names" : false, "suffix" : "" }, { "dropping-particle" : "", "family" : "Konwar", "given" : "K. M.", "non-dropping-particle" : "", "parse-names" : false, "suffix" : "" }, { "dropping-particle" : "", "family" : "Beatty", "given" : "J. T.", "non-dropping-particle" : "", "parse-names" : false, "suffix" : "" }, { "dropping-particle" : "", "family" : "Hallam", "given" : "S. J.", "non-dropping-particle" : "", "parse-names" : false, "suffix" : "" } ], "container-title" : "Applied and Environmental Microbiology", "id" : "ITEM-1", "issue" : "21", "issued" : { "date-parts" : [ [ "2014" ] ] }, "page" : "6807-6818", "title" : "Illuminating microbial dark matter in meromictic Sakinaw Lake", "type" : "article-journal", "volume" : "80" }, "uris" : [ "http://www.mendeley.com/documents/?uuid=5ec7d3ff-7fb8-45e0-b3da-daac090056e5" ] }, { "id" : "ITEM-2", "itemData" : { "DOI" : "10.1007/s00203-010-0578-4", "ISBN" : "0302-8933, 1432-072X", "ISSN" : "03028933", "PMID" : "20495786", "abstract" : "The vertical distribution of OP11, OD1 and SR1 divisions in the oxycline and in the anoxic water column of Lake Pavin, a freshwater permanently stratified mountain lake in France, was determined by temporal temperature gel gradient electrophoresis and 16S rRNA clone libraries. Gradual changes in the community structure were noted in relation to environmental variables along the oxidized/reduced environment. In addition, a separate effort to identify members of these lineages in the oxic mixolimnion identified sequences affiliated to SR1 and OP11 divisions, indicating that they are more widespread than previously expected.", "author" : [ { "dropping-particle" : "", "family" : "Borrel", "given" : "Guillaume", "non-dropping-particle" : "", "parse-names" : false, "suffix" : "" }, { "dropping-particle" : "", "family" : "Lehours", "given" : "A. C.", "non-dropping-particle" : "", "parse-names" : false, "suffix" : "" }, { "dropping-particle" : "", "family" : "Bardot", "given" : "Corinne", "non-dropping-particle" : "", "parse-names" : false, "suffix" : "" }, { "dropping-particle" : "", "family" : "Bailly", "given" : "Xavier", "non-dropping-particle" : "", "parse-names" : false, "suffix" : "" }, { "dropping-particle" : "", "family" : "Fonty", "given" : "Gerard", "non-dropping-particle" : "", "parse-names" : false, "suffix" : "" } ], "container-title" : "Archives of Microbiology", "id" : "ITEM-2", "issue" : "7", "issued" : { "date-parts" : [ [ "2010" ] ] }, "page" : "559-567", "title" : "Members of candidate divisions OP11, OD1 and SR1 are widespread along the water column of the meromictic Lake Pavin (France)", "type" : "article-journal", "volume" : "192" }, "uris" : [ "http://www.mendeley.com/documents/?uuid=d7fc4c60-875c-4b7f-ad74-b9ffd24a1554" ] } ], "mendeley" : { "formattedCitation" : "(21, 22)", "plainTextFormattedCitation" : "(21, 22)", "previouslyFormattedCitation" : "(21, 22)" }, "properties" : { "noteIndex" : 0 }, "schema" : "https://github.com/citation-style-language/schema/raw/master/csl-citation.json" }</w:instrText>
      </w:r>
      <w:r>
        <w:rPr>
          <w:rFonts w:cs="Times New Roman"/>
          <w:szCs w:val="24"/>
        </w:rPr>
        <w:fldChar w:fldCharType="separate"/>
      </w:r>
      <w:r w:rsidR="006139B4" w:rsidRPr="006139B4">
        <w:rPr>
          <w:rFonts w:cs="Times New Roman"/>
          <w:noProof/>
          <w:szCs w:val="24"/>
        </w:rPr>
        <w:t>(21, 22)</w:t>
      </w:r>
      <w:r>
        <w:rPr>
          <w:rFonts w:cs="Times New Roman"/>
          <w:szCs w:val="24"/>
        </w:rPr>
        <w:fldChar w:fldCharType="end"/>
      </w:r>
      <w:r w:rsidRPr="00BE4030">
        <w:rPr>
          <w:rFonts w:cs="Times New Roman"/>
          <w:szCs w:val="24"/>
        </w:rPr>
        <w:t>.</w:t>
      </w:r>
    </w:p>
    <w:p w14:paraId="500E8B35" w14:textId="77777777" w:rsidR="001A4EFF" w:rsidRPr="00BE4030" w:rsidRDefault="001A4EFF" w:rsidP="001A4E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Perhaps the biggest implication of this </w:t>
      </w:r>
      <w:r>
        <w:rPr>
          <w:rFonts w:eastAsia="Times New Roman" w:cs="Times New Roman"/>
          <w:szCs w:val="24"/>
        </w:rPr>
        <w:t>study</w:t>
      </w:r>
      <w:r w:rsidRPr="00BE4030">
        <w:rPr>
          <w:rFonts w:eastAsia="Times New Roman" w:cs="Times New Roman"/>
          <w:szCs w:val="24"/>
        </w:rPr>
        <w:t xml:space="preserve"> is the importance of </w:t>
      </w:r>
      <w:r>
        <w:rPr>
          <w:rFonts w:eastAsia="Times New Roman" w:cs="Times New Roman"/>
          <w:szCs w:val="24"/>
        </w:rPr>
        <w:t>repeated sampling of the same locations</w:t>
      </w:r>
      <w:r w:rsidRPr="00BE4030">
        <w:rPr>
          <w:rFonts w:eastAsia="Times New Roman" w:cs="Times New Roman"/>
          <w:szCs w:val="24"/>
        </w:rPr>
        <w:t>. A similar dataset spanni</w:t>
      </w:r>
      <w:r>
        <w:rPr>
          <w:rFonts w:eastAsia="Times New Roman" w:cs="Times New Roman"/>
          <w:szCs w:val="24"/>
        </w:rPr>
        <w:t>ng only a single year would not have captured the full extent of variability observed, and therefore would not have detected as many of the taxa belonging to the bog lake community</w:t>
      </w:r>
      <w:r w:rsidRPr="00BE4030">
        <w:rPr>
          <w:rFonts w:eastAsia="Times New Roman" w:cs="Times New Roman"/>
          <w:szCs w:val="24"/>
        </w:rPr>
        <w:t xml:space="preserve">. </w:t>
      </w:r>
      <w:r>
        <w:rPr>
          <w:rFonts w:eastAsia="Times New Roman" w:cs="Times New Roman"/>
          <w:szCs w:val="24"/>
        </w:rPr>
        <w:t>While we found no evidence for seasonal trends or repeated annual trends, it i</w:t>
      </w:r>
      <w:r w:rsidRPr="00BE4030">
        <w:rPr>
          <w:rFonts w:eastAsia="Times New Roman" w:cs="Times New Roman"/>
          <w:szCs w:val="24"/>
        </w:rPr>
        <w:t xml:space="preserve">s possible that </w:t>
      </w:r>
      <w:r>
        <w:rPr>
          <w:rFonts w:eastAsia="Times New Roman" w:cs="Times New Roman"/>
          <w:szCs w:val="24"/>
        </w:rPr>
        <w:t>there are cycles or variables acting on</w:t>
      </w:r>
      <w:r w:rsidRPr="00BE4030">
        <w:rPr>
          <w:rFonts w:eastAsia="Times New Roman" w:cs="Times New Roman"/>
          <w:szCs w:val="24"/>
        </w:rPr>
        <w:t xml:space="preserve"> scales greater than the five years covered in this dataset, or that annual differences are driven by environmental factors that do not occur every year. Biotic interactions between bacterial taxa may also contribute to </w:t>
      </w:r>
      <w:r>
        <w:rPr>
          <w:rFonts w:eastAsia="Times New Roman" w:cs="Times New Roman"/>
          <w:szCs w:val="24"/>
        </w:rPr>
        <w:t xml:space="preserve">the observed </w:t>
      </w:r>
      <w:r w:rsidRPr="00BE4030">
        <w:rPr>
          <w:rFonts w:eastAsia="Times New Roman" w:cs="Times New Roman"/>
          <w:szCs w:val="24"/>
        </w:rPr>
        <w:t xml:space="preserve">variability. Understanding the factors that contribute to </w:t>
      </w:r>
      <w:r>
        <w:rPr>
          <w:rFonts w:eastAsia="Times New Roman" w:cs="Times New Roman"/>
          <w:szCs w:val="24"/>
        </w:rPr>
        <w:t>variability in bog lake communities</w:t>
      </w:r>
      <w:r w:rsidRPr="00BE4030">
        <w:rPr>
          <w:rFonts w:eastAsia="Times New Roman" w:cs="Times New Roman"/>
          <w:szCs w:val="24"/>
        </w:rPr>
        <w:t xml:space="preserve"> will lead to improved predictive modelling in freshwater systems, allowing forecasting of bloom events and guiding better management strategies. Additionally, these systems may be ideal for addressing some of the core questions in microbial ecology, such as how community assembly occurs, how interactions between taxa shape community composition, and how resource partitioning drives the lifestyles of bacterial taxa.</w:t>
      </w:r>
    </w:p>
    <w:p w14:paraId="58FF5DB9" w14:textId="3456FB50" w:rsidR="001A4EFF" w:rsidRDefault="001A4EFF" w:rsidP="001A4E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To answer these questions and more, we are continuing to collect and sequence samples for the North Temperate Lakes – Microbial Observatory, and we are expanding our sequencing repertoire beyond 16S sequencing. All of the 16S data we have currently generated can be found in the R package “OTUtable” which is available on CRAN for installation via the R command line, or on our GitHub page. We hope that this dataset and its future expansion will be used as a resource for researchers investigating their own questions about how bacterial communities behave on long time </w:t>
      </w:r>
      <w:commentRangeStart w:id="4"/>
      <w:r w:rsidRPr="00BE4030">
        <w:rPr>
          <w:rFonts w:eastAsia="Times New Roman" w:cs="Times New Roman"/>
          <w:szCs w:val="24"/>
        </w:rPr>
        <w:t>scales</w:t>
      </w:r>
      <w:commentRangeEnd w:id="4"/>
      <w:r>
        <w:rPr>
          <w:rStyle w:val="CommentReference"/>
        </w:rPr>
        <w:commentReference w:id="4"/>
      </w:r>
      <w:r w:rsidRPr="00BE4030">
        <w:rPr>
          <w:rFonts w:eastAsia="Times New Roman" w:cs="Times New Roman"/>
          <w:szCs w:val="24"/>
        </w:rPr>
        <w:t xml:space="preserve">. </w:t>
      </w:r>
    </w:p>
    <w:p w14:paraId="07F3F978" w14:textId="518C83A5" w:rsidR="001A4EFF" w:rsidRPr="00BE4030" w:rsidRDefault="001A4EFF" w:rsidP="001A4EFF">
      <w:pPr>
        <w:pStyle w:val="Heading1"/>
      </w:pPr>
      <w:r>
        <w:lastRenderedPageBreak/>
        <w:t>Works Cited</w:t>
      </w:r>
    </w:p>
    <w:p w14:paraId="19FB9DC2" w14:textId="30551D5B"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Pr="001046F9">
        <w:rPr>
          <w:rFonts w:cs="Times New Roman"/>
          <w:noProof/>
          <w:szCs w:val="24"/>
        </w:rPr>
        <w:t xml:space="preserve">1. </w:t>
      </w:r>
      <w:r w:rsidRPr="001046F9">
        <w:rPr>
          <w:rFonts w:cs="Times New Roman"/>
          <w:noProof/>
          <w:szCs w:val="24"/>
        </w:rPr>
        <w:tab/>
      </w:r>
      <w:r w:rsidRPr="001046F9">
        <w:rPr>
          <w:rFonts w:cs="Times New Roman"/>
          <w:b/>
          <w:bCs/>
          <w:noProof/>
          <w:szCs w:val="24"/>
        </w:rPr>
        <w:t>Mariadassou M</w:t>
      </w:r>
      <w:r w:rsidRPr="001046F9">
        <w:rPr>
          <w:rFonts w:cs="Times New Roman"/>
          <w:noProof/>
          <w:szCs w:val="24"/>
        </w:rPr>
        <w:t xml:space="preserve">, </w:t>
      </w:r>
      <w:r w:rsidRPr="001046F9">
        <w:rPr>
          <w:rFonts w:cs="Times New Roman"/>
          <w:b/>
          <w:bCs/>
          <w:noProof/>
          <w:szCs w:val="24"/>
        </w:rPr>
        <w:t>Pichon S</w:t>
      </w:r>
      <w:r w:rsidRPr="001046F9">
        <w:rPr>
          <w:rFonts w:cs="Times New Roman"/>
          <w:noProof/>
          <w:szCs w:val="24"/>
        </w:rPr>
        <w:t xml:space="preserve">, </w:t>
      </w:r>
      <w:r w:rsidRPr="001046F9">
        <w:rPr>
          <w:rFonts w:cs="Times New Roman"/>
          <w:b/>
          <w:bCs/>
          <w:noProof/>
          <w:szCs w:val="24"/>
        </w:rPr>
        <w:t>Ebert D</w:t>
      </w:r>
      <w:r w:rsidRPr="001046F9">
        <w:rPr>
          <w:rFonts w:cs="Times New Roman"/>
          <w:noProof/>
          <w:szCs w:val="24"/>
        </w:rPr>
        <w:t xml:space="preserve">. 2015. Microbial ecosystems are dominated by specialist taxa. Ecol Lett </w:t>
      </w:r>
      <w:r w:rsidRPr="001046F9">
        <w:rPr>
          <w:rFonts w:cs="Times New Roman"/>
          <w:b/>
          <w:bCs/>
          <w:noProof/>
          <w:szCs w:val="24"/>
        </w:rPr>
        <w:t>18</w:t>
      </w:r>
      <w:r w:rsidRPr="001046F9">
        <w:rPr>
          <w:rFonts w:cs="Times New Roman"/>
          <w:noProof/>
          <w:szCs w:val="24"/>
        </w:rPr>
        <w:t>:974–982.</w:t>
      </w:r>
    </w:p>
    <w:p w14:paraId="64DFDFF6"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2. </w:t>
      </w:r>
      <w:r w:rsidRPr="001046F9">
        <w:rPr>
          <w:rFonts w:cs="Times New Roman"/>
          <w:noProof/>
          <w:szCs w:val="24"/>
        </w:rPr>
        <w:tab/>
      </w:r>
      <w:r w:rsidRPr="001046F9">
        <w:rPr>
          <w:rFonts w:cs="Times New Roman"/>
          <w:b/>
          <w:bCs/>
          <w:noProof/>
          <w:szCs w:val="24"/>
        </w:rPr>
        <w:t>Newton RJ</w:t>
      </w:r>
      <w:r w:rsidRPr="001046F9">
        <w:rPr>
          <w:rFonts w:cs="Times New Roman"/>
          <w:noProof/>
          <w:szCs w:val="24"/>
        </w:rPr>
        <w:t xml:space="preserve">, </w:t>
      </w:r>
      <w:r w:rsidRPr="001046F9">
        <w:rPr>
          <w:rFonts w:cs="Times New Roman"/>
          <w:b/>
          <w:bCs/>
          <w:noProof/>
          <w:szCs w:val="24"/>
        </w:rPr>
        <w:t>Shade A</w:t>
      </w:r>
      <w:r w:rsidRPr="001046F9">
        <w:rPr>
          <w:rFonts w:cs="Times New Roman"/>
          <w:noProof/>
          <w:szCs w:val="24"/>
        </w:rPr>
        <w:t xml:space="preserve">. 2016. Lifestyles of rarity : understanding heterotrophic strategies to inform the ecology of the microbial rare biosphere. Aquat Microb Ecol </w:t>
      </w:r>
      <w:r w:rsidRPr="001046F9">
        <w:rPr>
          <w:rFonts w:cs="Times New Roman"/>
          <w:b/>
          <w:bCs/>
          <w:noProof/>
          <w:szCs w:val="24"/>
        </w:rPr>
        <w:t>78</w:t>
      </w:r>
      <w:r w:rsidRPr="001046F9">
        <w:rPr>
          <w:rFonts w:cs="Times New Roman"/>
          <w:noProof/>
          <w:szCs w:val="24"/>
        </w:rPr>
        <w:t>:51–63.</w:t>
      </w:r>
    </w:p>
    <w:p w14:paraId="7B9FBAF4"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3. </w:t>
      </w:r>
      <w:r w:rsidRPr="001046F9">
        <w:rPr>
          <w:rFonts w:cs="Times New Roman"/>
          <w:noProof/>
          <w:szCs w:val="24"/>
        </w:rPr>
        <w:tab/>
      </w:r>
      <w:r w:rsidRPr="001046F9">
        <w:rPr>
          <w:rFonts w:cs="Times New Roman"/>
          <w:b/>
          <w:bCs/>
          <w:noProof/>
          <w:szCs w:val="24"/>
        </w:rPr>
        <w:t>Shade A</w:t>
      </w:r>
      <w:r w:rsidRPr="001046F9">
        <w:rPr>
          <w:rFonts w:cs="Times New Roman"/>
          <w:noProof/>
          <w:szCs w:val="24"/>
        </w:rPr>
        <w:t xml:space="preserve">, </w:t>
      </w:r>
      <w:r w:rsidRPr="001046F9">
        <w:rPr>
          <w:rFonts w:cs="Times New Roman"/>
          <w:b/>
          <w:bCs/>
          <w:noProof/>
          <w:szCs w:val="24"/>
        </w:rPr>
        <w:t>Read JS</w:t>
      </w:r>
      <w:r w:rsidRPr="001046F9">
        <w:rPr>
          <w:rFonts w:cs="Times New Roman"/>
          <w:noProof/>
          <w:szCs w:val="24"/>
        </w:rPr>
        <w:t xml:space="preserve">, </w:t>
      </w:r>
      <w:r w:rsidRPr="001046F9">
        <w:rPr>
          <w:rFonts w:cs="Times New Roman"/>
          <w:b/>
          <w:bCs/>
          <w:noProof/>
          <w:szCs w:val="24"/>
        </w:rPr>
        <w:t>Youngblut ND</w:t>
      </w:r>
      <w:r w:rsidRPr="001046F9">
        <w:rPr>
          <w:rFonts w:cs="Times New Roman"/>
          <w:noProof/>
          <w:szCs w:val="24"/>
        </w:rPr>
        <w:t xml:space="preserve">, </w:t>
      </w:r>
      <w:r w:rsidRPr="001046F9">
        <w:rPr>
          <w:rFonts w:cs="Times New Roman"/>
          <w:b/>
          <w:bCs/>
          <w:noProof/>
          <w:szCs w:val="24"/>
        </w:rPr>
        <w:t>Fierer N</w:t>
      </w:r>
      <w:r w:rsidRPr="001046F9">
        <w:rPr>
          <w:rFonts w:cs="Times New Roman"/>
          <w:noProof/>
          <w:szCs w:val="24"/>
        </w:rPr>
        <w:t xml:space="preserve">, </w:t>
      </w:r>
      <w:r w:rsidRPr="001046F9">
        <w:rPr>
          <w:rFonts w:cs="Times New Roman"/>
          <w:b/>
          <w:bCs/>
          <w:noProof/>
          <w:szCs w:val="24"/>
        </w:rPr>
        <w:t>Knight R</w:t>
      </w:r>
      <w:r w:rsidRPr="001046F9">
        <w:rPr>
          <w:rFonts w:cs="Times New Roman"/>
          <w:noProof/>
          <w:szCs w:val="24"/>
        </w:rPr>
        <w:t xml:space="preserve">, </w:t>
      </w:r>
      <w:r w:rsidRPr="001046F9">
        <w:rPr>
          <w:rFonts w:cs="Times New Roman"/>
          <w:b/>
          <w:bCs/>
          <w:noProof/>
          <w:szCs w:val="24"/>
        </w:rPr>
        <w:t>Kratz TK</w:t>
      </w:r>
      <w:r w:rsidRPr="001046F9">
        <w:rPr>
          <w:rFonts w:cs="Times New Roman"/>
          <w:noProof/>
          <w:szCs w:val="24"/>
        </w:rPr>
        <w:t xml:space="preserve">, </w:t>
      </w:r>
      <w:r w:rsidRPr="001046F9">
        <w:rPr>
          <w:rFonts w:cs="Times New Roman"/>
          <w:b/>
          <w:bCs/>
          <w:noProof/>
          <w:szCs w:val="24"/>
        </w:rPr>
        <w:t>Lottig NR</w:t>
      </w:r>
      <w:r w:rsidRPr="001046F9">
        <w:rPr>
          <w:rFonts w:cs="Times New Roman"/>
          <w:noProof/>
          <w:szCs w:val="24"/>
        </w:rPr>
        <w:t xml:space="preserve">, </w:t>
      </w:r>
      <w:r w:rsidRPr="001046F9">
        <w:rPr>
          <w:rFonts w:cs="Times New Roman"/>
          <w:b/>
          <w:bCs/>
          <w:noProof/>
          <w:szCs w:val="24"/>
        </w:rPr>
        <w:t>Roden EE</w:t>
      </w:r>
      <w:r w:rsidRPr="001046F9">
        <w:rPr>
          <w:rFonts w:cs="Times New Roman"/>
          <w:noProof/>
          <w:szCs w:val="24"/>
        </w:rPr>
        <w:t xml:space="preserve">, </w:t>
      </w:r>
      <w:r w:rsidRPr="001046F9">
        <w:rPr>
          <w:rFonts w:cs="Times New Roman"/>
          <w:b/>
          <w:bCs/>
          <w:noProof/>
          <w:szCs w:val="24"/>
        </w:rPr>
        <w:t>Stanley EH</w:t>
      </w:r>
      <w:r w:rsidRPr="001046F9">
        <w:rPr>
          <w:rFonts w:cs="Times New Roman"/>
          <w:noProof/>
          <w:szCs w:val="24"/>
        </w:rPr>
        <w:t xml:space="preserve">, </w:t>
      </w:r>
      <w:r w:rsidRPr="001046F9">
        <w:rPr>
          <w:rFonts w:cs="Times New Roman"/>
          <w:b/>
          <w:bCs/>
          <w:noProof/>
          <w:szCs w:val="24"/>
        </w:rPr>
        <w:t>Stombaugh J</w:t>
      </w:r>
      <w:r w:rsidRPr="001046F9">
        <w:rPr>
          <w:rFonts w:cs="Times New Roman"/>
          <w:noProof/>
          <w:szCs w:val="24"/>
        </w:rPr>
        <w:t xml:space="preserve">, </w:t>
      </w:r>
      <w:r w:rsidRPr="001046F9">
        <w:rPr>
          <w:rFonts w:cs="Times New Roman"/>
          <w:b/>
          <w:bCs/>
          <w:noProof/>
          <w:szCs w:val="24"/>
        </w:rPr>
        <w:t>Whitaker RJ</w:t>
      </w:r>
      <w:r w:rsidRPr="001046F9">
        <w:rPr>
          <w:rFonts w:cs="Times New Roman"/>
          <w:noProof/>
          <w:szCs w:val="24"/>
        </w:rPr>
        <w:t xml:space="preserve">, </w:t>
      </w:r>
      <w:r w:rsidRPr="001046F9">
        <w:rPr>
          <w:rFonts w:cs="Times New Roman"/>
          <w:b/>
          <w:bCs/>
          <w:noProof/>
          <w:szCs w:val="24"/>
        </w:rPr>
        <w:t>Wu CH</w:t>
      </w:r>
      <w:r w:rsidRPr="001046F9">
        <w:rPr>
          <w:rFonts w:cs="Times New Roman"/>
          <w:noProof/>
          <w:szCs w:val="24"/>
        </w:rPr>
        <w:t xml:space="preserve">, </w:t>
      </w:r>
      <w:r w:rsidRPr="001046F9">
        <w:rPr>
          <w:rFonts w:cs="Times New Roman"/>
          <w:b/>
          <w:bCs/>
          <w:noProof/>
          <w:szCs w:val="24"/>
        </w:rPr>
        <w:t>McMahon KD</w:t>
      </w:r>
      <w:r w:rsidRPr="001046F9">
        <w:rPr>
          <w:rFonts w:cs="Times New Roman"/>
          <w:noProof/>
          <w:szCs w:val="24"/>
        </w:rPr>
        <w:t xml:space="preserve">. 2012. Lake microbial communities are resilient after a whole-ecosystem disturbance. ISME J </w:t>
      </w:r>
      <w:r w:rsidRPr="001046F9">
        <w:rPr>
          <w:rFonts w:cs="Times New Roman"/>
          <w:b/>
          <w:bCs/>
          <w:noProof/>
          <w:szCs w:val="24"/>
        </w:rPr>
        <w:t>6</w:t>
      </w:r>
      <w:r w:rsidRPr="001046F9">
        <w:rPr>
          <w:rFonts w:cs="Times New Roman"/>
          <w:noProof/>
          <w:szCs w:val="24"/>
        </w:rPr>
        <w:t>:2153–2167.</w:t>
      </w:r>
    </w:p>
    <w:p w14:paraId="39D413A2"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4. </w:t>
      </w:r>
      <w:r w:rsidRPr="001046F9">
        <w:rPr>
          <w:rFonts w:cs="Times New Roman"/>
          <w:noProof/>
          <w:szCs w:val="24"/>
        </w:rPr>
        <w:tab/>
      </w:r>
      <w:r w:rsidRPr="001046F9">
        <w:rPr>
          <w:rFonts w:cs="Times New Roman"/>
          <w:b/>
          <w:bCs/>
          <w:noProof/>
          <w:szCs w:val="24"/>
        </w:rPr>
        <w:t>Garcia SL</w:t>
      </w:r>
      <w:r w:rsidRPr="001046F9">
        <w:rPr>
          <w:rFonts w:cs="Times New Roman"/>
          <w:noProof/>
          <w:szCs w:val="24"/>
        </w:rPr>
        <w:t xml:space="preserve">, </w:t>
      </w:r>
      <w:r w:rsidRPr="001046F9">
        <w:rPr>
          <w:rFonts w:cs="Times New Roman"/>
          <w:b/>
          <w:bCs/>
          <w:noProof/>
          <w:szCs w:val="24"/>
        </w:rPr>
        <w:t>Buck M</w:t>
      </w:r>
      <w:r w:rsidRPr="001046F9">
        <w:rPr>
          <w:rFonts w:cs="Times New Roman"/>
          <w:noProof/>
          <w:szCs w:val="24"/>
        </w:rPr>
        <w:t xml:space="preserve">, </w:t>
      </w:r>
      <w:r w:rsidRPr="001046F9">
        <w:rPr>
          <w:rFonts w:cs="Times New Roman"/>
          <w:b/>
          <w:bCs/>
          <w:noProof/>
          <w:szCs w:val="24"/>
        </w:rPr>
        <w:t>McMahon KD</w:t>
      </w:r>
      <w:r w:rsidRPr="001046F9">
        <w:rPr>
          <w:rFonts w:cs="Times New Roman"/>
          <w:noProof/>
          <w:szCs w:val="24"/>
        </w:rPr>
        <w:t xml:space="preserve">, </w:t>
      </w:r>
      <w:r w:rsidRPr="001046F9">
        <w:rPr>
          <w:rFonts w:cs="Times New Roman"/>
          <w:b/>
          <w:bCs/>
          <w:noProof/>
          <w:szCs w:val="24"/>
        </w:rPr>
        <w:t>Grossart H-P</w:t>
      </w:r>
      <w:r w:rsidRPr="001046F9">
        <w:rPr>
          <w:rFonts w:cs="Times New Roman"/>
          <w:noProof/>
          <w:szCs w:val="24"/>
        </w:rPr>
        <w:t xml:space="preserve">, </w:t>
      </w:r>
      <w:r w:rsidRPr="001046F9">
        <w:rPr>
          <w:rFonts w:cs="Times New Roman"/>
          <w:b/>
          <w:bCs/>
          <w:noProof/>
          <w:szCs w:val="24"/>
        </w:rPr>
        <w:t>Eiler A</w:t>
      </w:r>
      <w:r w:rsidRPr="001046F9">
        <w:rPr>
          <w:rFonts w:cs="Times New Roman"/>
          <w:noProof/>
          <w:szCs w:val="24"/>
        </w:rPr>
        <w:t xml:space="preserve">, </w:t>
      </w:r>
      <w:r w:rsidRPr="001046F9">
        <w:rPr>
          <w:rFonts w:cs="Times New Roman"/>
          <w:b/>
          <w:bCs/>
          <w:noProof/>
          <w:szCs w:val="24"/>
        </w:rPr>
        <w:t>Warnecke F</w:t>
      </w:r>
      <w:r w:rsidRPr="001046F9">
        <w:rPr>
          <w:rFonts w:cs="Times New Roman"/>
          <w:noProof/>
          <w:szCs w:val="24"/>
        </w:rPr>
        <w:t xml:space="preserve">. 2015. Auxotrophy and intra-population complementary in the “interactome” of a cultivated freshwater model community. Mol Ecol </w:t>
      </w:r>
      <w:r w:rsidRPr="001046F9">
        <w:rPr>
          <w:rFonts w:cs="Times New Roman"/>
          <w:b/>
          <w:bCs/>
          <w:noProof/>
          <w:szCs w:val="24"/>
        </w:rPr>
        <w:t>24</w:t>
      </w:r>
      <w:r w:rsidRPr="001046F9">
        <w:rPr>
          <w:rFonts w:cs="Times New Roman"/>
          <w:noProof/>
          <w:szCs w:val="24"/>
        </w:rPr>
        <w:t>:4449–4459.</w:t>
      </w:r>
    </w:p>
    <w:p w14:paraId="18020466" w14:textId="460D8F09"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5. </w:t>
      </w:r>
      <w:r w:rsidRPr="001046F9">
        <w:rPr>
          <w:rFonts w:cs="Times New Roman"/>
          <w:noProof/>
          <w:szCs w:val="24"/>
        </w:rPr>
        <w:tab/>
      </w:r>
      <w:r w:rsidRPr="001046F9">
        <w:rPr>
          <w:rFonts w:cs="Times New Roman"/>
          <w:b/>
          <w:bCs/>
          <w:noProof/>
          <w:szCs w:val="24"/>
        </w:rPr>
        <w:t>Ghylin TW</w:t>
      </w:r>
      <w:r w:rsidRPr="001046F9">
        <w:rPr>
          <w:rFonts w:cs="Times New Roman"/>
          <w:noProof/>
          <w:szCs w:val="24"/>
        </w:rPr>
        <w:t xml:space="preserve">, </w:t>
      </w:r>
      <w:r w:rsidRPr="001046F9">
        <w:rPr>
          <w:rFonts w:cs="Times New Roman"/>
          <w:b/>
          <w:bCs/>
          <w:noProof/>
          <w:szCs w:val="24"/>
        </w:rPr>
        <w:t>Garcia SL</w:t>
      </w:r>
      <w:r w:rsidRPr="001046F9">
        <w:rPr>
          <w:rFonts w:cs="Times New Roman"/>
          <w:noProof/>
          <w:szCs w:val="24"/>
        </w:rPr>
        <w:t xml:space="preserve">, </w:t>
      </w:r>
      <w:r w:rsidRPr="001046F9">
        <w:rPr>
          <w:rFonts w:cs="Times New Roman"/>
          <w:b/>
          <w:bCs/>
          <w:noProof/>
          <w:szCs w:val="24"/>
        </w:rPr>
        <w:t>Moya F</w:t>
      </w:r>
      <w:r w:rsidRPr="001046F9">
        <w:rPr>
          <w:rFonts w:cs="Times New Roman"/>
          <w:noProof/>
          <w:szCs w:val="24"/>
        </w:rPr>
        <w:t xml:space="preserve">, </w:t>
      </w:r>
      <w:r w:rsidRPr="001046F9">
        <w:rPr>
          <w:rFonts w:cs="Times New Roman"/>
          <w:b/>
          <w:bCs/>
          <w:noProof/>
          <w:szCs w:val="24"/>
        </w:rPr>
        <w:t>Oyserman BO</w:t>
      </w:r>
      <w:r w:rsidRPr="001046F9">
        <w:rPr>
          <w:rFonts w:cs="Times New Roman"/>
          <w:noProof/>
          <w:szCs w:val="24"/>
        </w:rPr>
        <w:t xml:space="preserve">, </w:t>
      </w:r>
      <w:r w:rsidRPr="001046F9">
        <w:rPr>
          <w:rFonts w:cs="Times New Roman"/>
          <w:b/>
          <w:bCs/>
          <w:noProof/>
          <w:szCs w:val="24"/>
        </w:rPr>
        <w:t>Schwientek KT</w:t>
      </w:r>
      <w:r w:rsidRPr="001046F9">
        <w:rPr>
          <w:rFonts w:cs="Times New Roman"/>
          <w:noProof/>
          <w:szCs w:val="24"/>
        </w:rPr>
        <w:t xml:space="preserve">, </w:t>
      </w:r>
      <w:r w:rsidRPr="001046F9">
        <w:rPr>
          <w:rFonts w:cs="Times New Roman"/>
          <w:b/>
          <w:bCs/>
          <w:noProof/>
          <w:szCs w:val="24"/>
        </w:rPr>
        <w:t>Mutschler J</w:t>
      </w:r>
      <w:r w:rsidRPr="001046F9">
        <w:rPr>
          <w:rFonts w:cs="Times New Roman"/>
          <w:noProof/>
          <w:szCs w:val="24"/>
        </w:rPr>
        <w:t xml:space="preserve">, </w:t>
      </w:r>
      <w:r w:rsidRPr="001046F9">
        <w:rPr>
          <w:rFonts w:cs="Times New Roman"/>
          <w:b/>
          <w:bCs/>
          <w:noProof/>
          <w:szCs w:val="24"/>
        </w:rPr>
        <w:t>Dwulit-Smith J</w:t>
      </w:r>
      <w:r w:rsidRPr="001046F9">
        <w:rPr>
          <w:rFonts w:cs="Times New Roman"/>
          <w:noProof/>
          <w:szCs w:val="24"/>
        </w:rPr>
        <w:t xml:space="preserve">, </w:t>
      </w:r>
      <w:r w:rsidRPr="001046F9">
        <w:rPr>
          <w:rFonts w:cs="Times New Roman"/>
          <w:b/>
          <w:bCs/>
          <w:noProof/>
          <w:szCs w:val="24"/>
        </w:rPr>
        <w:t>Chan L-K</w:t>
      </w:r>
      <w:r w:rsidRPr="001046F9">
        <w:rPr>
          <w:rFonts w:cs="Times New Roman"/>
          <w:noProof/>
          <w:szCs w:val="24"/>
        </w:rPr>
        <w:t xml:space="preserve">, </w:t>
      </w:r>
      <w:r w:rsidRPr="001046F9">
        <w:rPr>
          <w:rFonts w:cs="Times New Roman"/>
          <w:b/>
          <w:bCs/>
          <w:noProof/>
          <w:szCs w:val="24"/>
        </w:rPr>
        <w:t>Martinez-Garcia M</w:t>
      </w:r>
      <w:r w:rsidRPr="001046F9">
        <w:rPr>
          <w:rFonts w:cs="Times New Roman"/>
          <w:noProof/>
          <w:szCs w:val="24"/>
        </w:rPr>
        <w:t xml:space="preserve">, </w:t>
      </w:r>
      <w:r w:rsidRPr="001046F9">
        <w:rPr>
          <w:rFonts w:cs="Times New Roman"/>
          <w:b/>
          <w:bCs/>
          <w:noProof/>
          <w:szCs w:val="24"/>
        </w:rPr>
        <w:t>Sczyrba A</w:t>
      </w:r>
      <w:r w:rsidRPr="001046F9">
        <w:rPr>
          <w:rFonts w:cs="Times New Roman"/>
          <w:noProof/>
          <w:szCs w:val="24"/>
        </w:rPr>
        <w:t xml:space="preserve">, </w:t>
      </w:r>
      <w:r w:rsidRPr="001046F9">
        <w:rPr>
          <w:rFonts w:cs="Times New Roman"/>
          <w:b/>
          <w:bCs/>
          <w:noProof/>
          <w:szCs w:val="24"/>
        </w:rPr>
        <w:t>Stepanauskas R</w:t>
      </w:r>
      <w:r w:rsidRPr="001046F9">
        <w:rPr>
          <w:rFonts w:cs="Times New Roman"/>
          <w:noProof/>
          <w:szCs w:val="24"/>
        </w:rPr>
        <w:t xml:space="preserve">, </w:t>
      </w:r>
      <w:r>
        <w:rPr>
          <w:rFonts w:cs="Times New Roman"/>
          <w:b/>
          <w:bCs/>
          <w:noProof/>
          <w:szCs w:val="24"/>
        </w:rPr>
        <w:t>Grossart H</w:t>
      </w:r>
      <w:r w:rsidRPr="001046F9">
        <w:rPr>
          <w:rFonts w:cs="Times New Roman"/>
          <w:b/>
          <w:bCs/>
          <w:noProof/>
          <w:szCs w:val="24"/>
        </w:rPr>
        <w:t>P</w:t>
      </w:r>
      <w:r w:rsidRPr="001046F9">
        <w:rPr>
          <w:rFonts w:cs="Times New Roman"/>
          <w:noProof/>
          <w:szCs w:val="24"/>
        </w:rPr>
        <w:t xml:space="preserve">, </w:t>
      </w:r>
      <w:r w:rsidRPr="001046F9">
        <w:rPr>
          <w:rFonts w:cs="Times New Roman"/>
          <w:b/>
          <w:bCs/>
          <w:noProof/>
          <w:szCs w:val="24"/>
        </w:rPr>
        <w:t>Woyke T</w:t>
      </w:r>
      <w:r w:rsidRPr="001046F9">
        <w:rPr>
          <w:rFonts w:cs="Times New Roman"/>
          <w:noProof/>
          <w:szCs w:val="24"/>
        </w:rPr>
        <w:t xml:space="preserve">, </w:t>
      </w:r>
      <w:r w:rsidRPr="001046F9">
        <w:rPr>
          <w:rFonts w:cs="Times New Roman"/>
          <w:b/>
          <w:bCs/>
          <w:noProof/>
          <w:szCs w:val="24"/>
        </w:rPr>
        <w:t>Warnecke F</w:t>
      </w:r>
      <w:r w:rsidRPr="001046F9">
        <w:rPr>
          <w:rFonts w:cs="Times New Roman"/>
          <w:noProof/>
          <w:szCs w:val="24"/>
        </w:rPr>
        <w:t xml:space="preserve">, </w:t>
      </w:r>
      <w:r w:rsidRPr="001046F9">
        <w:rPr>
          <w:rFonts w:cs="Times New Roman"/>
          <w:b/>
          <w:bCs/>
          <w:noProof/>
          <w:szCs w:val="24"/>
        </w:rPr>
        <w:t>Malmstrom R</w:t>
      </w:r>
      <w:r w:rsidRPr="001046F9">
        <w:rPr>
          <w:rFonts w:cs="Times New Roman"/>
          <w:noProof/>
          <w:szCs w:val="24"/>
        </w:rPr>
        <w:t xml:space="preserve">, </w:t>
      </w:r>
      <w:r w:rsidRPr="001046F9">
        <w:rPr>
          <w:rFonts w:cs="Times New Roman"/>
          <w:b/>
          <w:bCs/>
          <w:noProof/>
          <w:szCs w:val="24"/>
        </w:rPr>
        <w:t>Bertilsson S</w:t>
      </w:r>
      <w:r w:rsidRPr="001046F9">
        <w:rPr>
          <w:rFonts w:cs="Times New Roman"/>
          <w:noProof/>
          <w:szCs w:val="24"/>
        </w:rPr>
        <w:t xml:space="preserve">, </w:t>
      </w:r>
      <w:r w:rsidRPr="001046F9">
        <w:rPr>
          <w:rFonts w:cs="Times New Roman"/>
          <w:b/>
          <w:bCs/>
          <w:noProof/>
          <w:szCs w:val="24"/>
        </w:rPr>
        <w:t>McMahon KD</w:t>
      </w:r>
      <w:r w:rsidRPr="001046F9">
        <w:rPr>
          <w:rFonts w:cs="Times New Roman"/>
          <w:noProof/>
          <w:szCs w:val="24"/>
        </w:rPr>
        <w:t xml:space="preserve">. 2014. Comparative single-cell genomics reveals potential ecological niches for the freshwater acI Actinobacteria lineage. ISME J </w:t>
      </w:r>
      <w:r w:rsidRPr="001046F9">
        <w:rPr>
          <w:rFonts w:cs="Times New Roman"/>
          <w:b/>
          <w:bCs/>
          <w:noProof/>
          <w:szCs w:val="24"/>
        </w:rPr>
        <w:t>8</w:t>
      </w:r>
      <w:r w:rsidRPr="001046F9">
        <w:rPr>
          <w:rFonts w:cs="Times New Roman"/>
          <w:noProof/>
          <w:szCs w:val="24"/>
        </w:rPr>
        <w:t>:2503–2516.</w:t>
      </w:r>
    </w:p>
    <w:p w14:paraId="206F68AA"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6. </w:t>
      </w:r>
      <w:r w:rsidRPr="001046F9">
        <w:rPr>
          <w:rFonts w:cs="Times New Roman"/>
          <w:noProof/>
          <w:szCs w:val="24"/>
        </w:rPr>
        <w:tab/>
      </w:r>
      <w:r w:rsidRPr="001046F9">
        <w:rPr>
          <w:rFonts w:cs="Times New Roman"/>
          <w:b/>
          <w:bCs/>
          <w:noProof/>
          <w:szCs w:val="24"/>
        </w:rPr>
        <w:t>Gonzalez A</w:t>
      </w:r>
      <w:r w:rsidRPr="001046F9">
        <w:rPr>
          <w:rFonts w:cs="Times New Roman"/>
          <w:noProof/>
          <w:szCs w:val="24"/>
        </w:rPr>
        <w:t xml:space="preserve">, </w:t>
      </w:r>
      <w:r w:rsidRPr="001046F9">
        <w:rPr>
          <w:rFonts w:cs="Times New Roman"/>
          <w:b/>
          <w:bCs/>
          <w:noProof/>
          <w:szCs w:val="24"/>
        </w:rPr>
        <w:t>King A</w:t>
      </w:r>
      <w:r w:rsidRPr="001046F9">
        <w:rPr>
          <w:rFonts w:cs="Times New Roman"/>
          <w:noProof/>
          <w:szCs w:val="24"/>
        </w:rPr>
        <w:t xml:space="preserve">, </w:t>
      </w:r>
      <w:r w:rsidRPr="001046F9">
        <w:rPr>
          <w:rFonts w:cs="Times New Roman"/>
          <w:b/>
          <w:bCs/>
          <w:noProof/>
          <w:szCs w:val="24"/>
        </w:rPr>
        <w:t>Robeson MS</w:t>
      </w:r>
      <w:r w:rsidRPr="001046F9">
        <w:rPr>
          <w:rFonts w:cs="Times New Roman"/>
          <w:noProof/>
          <w:szCs w:val="24"/>
        </w:rPr>
        <w:t xml:space="preserve">, </w:t>
      </w:r>
      <w:r w:rsidRPr="001046F9">
        <w:rPr>
          <w:rFonts w:cs="Times New Roman"/>
          <w:b/>
          <w:bCs/>
          <w:noProof/>
          <w:szCs w:val="24"/>
        </w:rPr>
        <w:t>Song S</w:t>
      </w:r>
      <w:r w:rsidRPr="001046F9">
        <w:rPr>
          <w:rFonts w:cs="Times New Roman"/>
          <w:noProof/>
          <w:szCs w:val="24"/>
        </w:rPr>
        <w:t xml:space="preserve">, </w:t>
      </w:r>
      <w:r w:rsidRPr="001046F9">
        <w:rPr>
          <w:rFonts w:cs="Times New Roman"/>
          <w:b/>
          <w:bCs/>
          <w:noProof/>
          <w:szCs w:val="24"/>
        </w:rPr>
        <w:t>Shade A</w:t>
      </w:r>
      <w:r w:rsidRPr="001046F9">
        <w:rPr>
          <w:rFonts w:cs="Times New Roman"/>
          <w:noProof/>
          <w:szCs w:val="24"/>
        </w:rPr>
        <w:t xml:space="preserve">, </w:t>
      </w:r>
      <w:r w:rsidRPr="001046F9">
        <w:rPr>
          <w:rFonts w:cs="Times New Roman"/>
          <w:b/>
          <w:bCs/>
          <w:noProof/>
          <w:szCs w:val="24"/>
        </w:rPr>
        <w:t>Metcalf JL</w:t>
      </w:r>
      <w:r w:rsidRPr="001046F9">
        <w:rPr>
          <w:rFonts w:cs="Times New Roman"/>
          <w:noProof/>
          <w:szCs w:val="24"/>
        </w:rPr>
        <w:t xml:space="preserve">, </w:t>
      </w:r>
      <w:r w:rsidRPr="001046F9">
        <w:rPr>
          <w:rFonts w:cs="Times New Roman"/>
          <w:b/>
          <w:bCs/>
          <w:noProof/>
          <w:szCs w:val="24"/>
        </w:rPr>
        <w:t>Knight R</w:t>
      </w:r>
      <w:r w:rsidRPr="001046F9">
        <w:rPr>
          <w:rFonts w:cs="Times New Roman"/>
          <w:noProof/>
          <w:szCs w:val="24"/>
        </w:rPr>
        <w:t xml:space="preserve">. 2012. Characterizing microbial communities through space and time. Curr Opin Biotechnol </w:t>
      </w:r>
      <w:r w:rsidRPr="001046F9">
        <w:rPr>
          <w:rFonts w:cs="Times New Roman"/>
          <w:b/>
          <w:bCs/>
          <w:noProof/>
          <w:szCs w:val="24"/>
        </w:rPr>
        <w:t>23</w:t>
      </w:r>
      <w:r w:rsidRPr="001046F9">
        <w:rPr>
          <w:rFonts w:cs="Times New Roman"/>
          <w:noProof/>
          <w:szCs w:val="24"/>
        </w:rPr>
        <w:t>:431–6.</w:t>
      </w:r>
    </w:p>
    <w:p w14:paraId="6D0F10A8"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7. </w:t>
      </w:r>
      <w:r w:rsidRPr="001046F9">
        <w:rPr>
          <w:rFonts w:cs="Times New Roman"/>
          <w:noProof/>
          <w:szCs w:val="24"/>
        </w:rPr>
        <w:tab/>
      </w:r>
      <w:r w:rsidRPr="001046F9">
        <w:rPr>
          <w:rFonts w:cs="Times New Roman"/>
          <w:b/>
          <w:bCs/>
          <w:noProof/>
          <w:szCs w:val="24"/>
        </w:rPr>
        <w:t>Shade A</w:t>
      </w:r>
      <w:r w:rsidRPr="001046F9">
        <w:rPr>
          <w:rFonts w:cs="Times New Roman"/>
          <w:noProof/>
          <w:szCs w:val="24"/>
        </w:rPr>
        <w:t xml:space="preserve">, </w:t>
      </w:r>
      <w:r w:rsidRPr="001046F9">
        <w:rPr>
          <w:rFonts w:cs="Times New Roman"/>
          <w:b/>
          <w:bCs/>
          <w:noProof/>
          <w:szCs w:val="24"/>
        </w:rPr>
        <w:t>Read JS</w:t>
      </w:r>
      <w:r w:rsidRPr="001046F9">
        <w:rPr>
          <w:rFonts w:cs="Times New Roman"/>
          <w:noProof/>
          <w:szCs w:val="24"/>
        </w:rPr>
        <w:t xml:space="preserve">, </w:t>
      </w:r>
      <w:r w:rsidRPr="001046F9">
        <w:rPr>
          <w:rFonts w:cs="Times New Roman"/>
          <w:b/>
          <w:bCs/>
          <w:noProof/>
          <w:szCs w:val="24"/>
        </w:rPr>
        <w:t>Welkie DG</w:t>
      </w:r>
      <w:r w:rsidRPr="001046F9">
        <w:rPr>
          <w:rFonts w:cs="Times New Roman"/>
          <w:noProof/>
          <w:szCs w:val="24"/>
        </w:rPr>
        <w:t xml:space="preserve">, </w:t>
      </w:r>
      <w:r w:rsidRPr="001046F9">
        <w:rPr>
          <w:rFonts w:cs="Times New Roman"/>
          <w:b/>
          <w:bCs/>
          <w:noProof/>
          <w:szCs w:val="24"/>
        </w:rPr>
        <w:t>Kratz TK</w:t>
      </w:r>
      <w:r w:rsidRPr="001046F9">
        <w:rPr>
          <w:rFonts w:cs="Times New Roman"/>
          <w:noProof/>
          <w:szCs w:val="24"/>
        </w:rPr>
        <w:t xml:space="preserve">, </w:t>
      </w:r>
      <w:r w:rsidRPr="001046F9">
        <w:rPr>
          <w:rFonts w:cs="Times New Roman"/>
          <w:b/>
          <w:bCs/>
          <w:noProof/>
          <w:szCs w:val="24"/>
        </w:rPr>
        <w:t>Wu CH</w:t>
      </w:r>
      <w:r w:rsidRPr="001046F9">
        <w:rPr>
          <w:rFonts w:cs="Times New Roman"/>
          <w:noProof/>
          <w:szCs w:val="24"/>
        </w:rPr>
        <w:t xml:space="preserve">, </w:t>
      </w:r>
      <w:r w:rsidRPr="001046F9">
        <w:rPr>
          <w:rFonts w:cs="Times New Roman"/>
          <w:b/>
          <w:bCs/>
          <w:noProof/>
          <w:szCs w:val="24"/>
        </w:rPr>
        <w:t>McMahon KD</w:t>
      </w:r>
      <w:r w:rsidRPr="001046F9">
        <w:rPr>
          <w:rFonts w:cs="Times New Roman"/>
          <w:noProof/>
          <w:szCs w:val="24"/>
        </w:rPr>
        <w:t xml:space="preserve">. 2011. Resistance, resilience and recovery: Aquatic bacterial dynamics after water column disturbance. Environ Microbiol </w:t>
      </w:r>
      <w:r w:rsidRPr="001046F9">
        <w:rPr>
          <w:rFonts w:cs="Times New Roman"/>
          <w:b/>
          <w:bCs/>
          <w:noProof/>
          <w:szCs w:val="24"/>
        </w:rPr>
        <w:t>13</w:t>
      </w:r>
      <w:r w:rsidRPr="001046F9">
        <w:rPr>
          <w:rFonts w:cs="Times New Roman"/>
          <w:noProof/>
          <w:szCs w:val="24"/>
        </w:rPr>
        <w:t>:2752–2767.</w:t>
      </w:r>
    </w:p>
    <w:p w14:paraId="75FEE122"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8. </w:t>
      </w:r>
      <w:r w:rsidRPr="001046F9">
        <w:rPr>
          <w:rFonts w:cs="Times New Roman"/>
          <w:noProof/>
          <w:szCs w:val="24"/>
        </w:rPr>
        <w:tab/>
      </w:r>
      <w:r w:rsidRPr="001046F9">
        <w:rPr>
          <w:rFonts w:cs="Times New Roman"/>
          <w:b/>
          <w:bCs/>
          <w:noProof/>
          <w:szCs w:val="24"/>
        </w:rPr>
        <w:t>Fisher MM</w:t>
      </w:r>
      <w:r w:rsidRPr="001046F9">
        <w:rPr>
          <w:rFonts w:cs="Times New Roman"/>
          <w:noProof/>
          <w:szCs w:val="24"/>
        </w:rPr>
        <w:t xml:space="preserve">, </w:t>
      </w:r>
      <w:r w:rsidRPr="001046F9">
        <w:rPr>
          <w:rFonts w:cs="Times New Roman"/>
          <w:b/>
          <w:bCs/>
          <w:noProof/>
          <w:szCs w:val="24"/>
        </w:rPr>
        <w:t>Triplett EW</w:t>
      </w:r>
      <w:r w:rsidRPr="001046F9">
        <w:rPr>
          <w:rFonts w:cs="Times New Roman"/>
          <w:noProof/>
          <w:szCs w:val="24"/>
        </w:rPr>
        <w:t xml:space="preserve">. 1999. Automated approach for ribosomal intergenic spacer analysis of microbial diversity and its application to freshwater bacterial communities. Appl Environ Microbiol </w:t>
      </w:r>
      <w:r w:rsidRPr="001046F9">
        <w:rPr>
          <w:rFonts w:cs="Times New Roman"/>
          <w:b/>
          <w:bCs/>
          <w:noProof/>
          <w:szCs w:val="24"/>
        </w:rPr>
        <w:t>65</w:t>
      </w:r>
      <w:r w:rsidRPr="001046F9">
        <w:rPr>
          <w:rFonts w:cs="Times New Roman"/>
          <w:noProof/>
          <w:szCs w:val="24"/>
        </w:rPr>
        <w:t>:4630–4636.</w:t>
      </w:r>
    </w:p>
    <w:p w14:paraId="4E0FC8F7"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9. </w:t>
      </w:r>
      <w:r w:rsidRPr="001046F9">
        <w:rPr>
          <w:rFonts w:cs="Times New Roman"/>
          <w:noProof/>
          <w:szCs w:val="24"/>
        </w:rPr>
        <w:tab/>
      </w:r>
      <w:r w:rsidRPr="001046F9">
        <w:rPr>
          <w:rFonts w:cs="Times New Roman"/>
          <w:b/>
          <w:bCs/>
          <w:noProof/>
          <w:szCs w:val="24"/>
        </w:rPr>
        <w:t>Shade A</w:t>
      </w:r>
      <w:r w:rsidRPr="001046F9">
        <w:rPr>
          <w:rFonts w:cs="Times New Roman"/>
          <w:noProof/>
          <w:szCs w:val="24"/>
        </w:rPr>
        <w:t xml:space="preserve">, </w:t>
      </w:r>
      <w:r w:rsidRPr="001046F9">
        <w:rPr>
          <w:rFonts w:cs="Times New Roman"/>
          <w:b/>
          <w:bCs/>
          <w:noProof/>
          <w:szCs w:val="24"/>
        </w:rPr>
        <w:t>Jones SE</w:t>
      </w:r>
      <w:r w:rsidRPr="001046F9">
        <w:rPr>
          <w:rFonts w:cs="Times New Roman"/>
          <w:noProof/>
          <w:szCs w:val="24"/>
        </w:rPr>
        <w:t xml:space="preserve">, </w:t>
      </w:r>
      <w:r w:rsidRPr="001046F9">
        <w:rPr>
          <w:rFonts w:cs="Times New Roman"/>
          <w:b/>
          <w:bCs/>
          <w:noProof/>
          <w:szCs w:val="24"/>
        </w:rPr>
        <w:t>McMahon KD</w:t>
      </w:r>
      <w:r w:rsidRPr="001046F9">
        <w:rPr>
          <w:rFonts w:cs="Times New Roman"/>
          <w:noProof/>
          <w:szCs w:val="24"/>
        </w:rPr>
        <w:t xml:space="preserve">. 2008. The influence of habitat heterogeneity on freshwater bacterial community composition and dynamics. Environ Microbiol </w:t>
      </w:r>
      <w:r w:rsidRPr="001046F9">
        <w:rPr>
          <w:rFonts w:cs="Times New Roman"/>
          <w:b/>
          <w:bCs/>
          <w:noProof/>
          <w:szCs w:val="24"/>
        </w:rPr>
        <w:t>10</w:t>
      </w:r>
      <w:r w:rsidRPr="001046F9">
        <w:rPr>
          <w:rFonts w:cs="Times New Roman"/>
          <w:noProof/>
          <w:szCs w:val="24"/>
        </w:rPr>
        <w:t>:1057–1067.</w:t>
      </w:r>
    </w:p>
    <w:p w14:paraId="4E9D900F"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10. </w:t>
      </w:r>
      <w:r w:rsidRPr="001046F9">
        <w:rPr>
          <w:rFonts w:cs="Times New Roman"/>
          <w:noProof/>
          <w:szCs w:val="24"/>
        </w:rPr>
        <w:tab/>
      </w:r>
      <w:r w:rsidRPr="001046F9">
        <w:rPr>
          <w:rFonts w:cs="Times New Roman"/>
          <w:b/>
          <w:bCs/>
          <w:noProof/>
          <w:szCs w:val="24"/>
        </w:rPr>
        <w:t>Crump BC</w:t>
      </w:r>
      <w:r w:rsidRPr="001046F9">
        <w:rPr>
          <w:rFonts w:cs="Times New Roman"/>
          <w:noProof/>
          <w:szCs w:val="24"/>
        </w:rPr>
        <w:t xml:space="preserve">, </w:t>
      </w:r>
      <w:r w:rsidRPr="001046F9">
        <w:rPr>
          <w:rFonts w:cs="Times New Roman"/>
          <w:b/>
          <w:bCs/>
          <w:noProof/>
          <w:szCs w:val="24"/>
        </w:rPr>
        <w:t>Hobbie JE</w:t>
      </w:r>
      <w:r w:rsidRPr="001046F9">
        <w:rPr>
          <w:rFonts w:cs="Times New Roman"/>
          <w:noProof/>
          <w:szCs w:val="24"/>
        </w:rPr>
        <w:t xml:space="preserve">. 2005. Synchrony and seasonality in bacterioplankton communities of two temperate rivers. Limnol Oceanogr </w:t>
      </w:r>
      <w:r w:rsidRPr="001046F9">
        <w:rPr>
          <w:rFonts w:cs="Times New Roman"/>
          <w:b/>
          <w:bCs/>
          <w:noProof/>
          <w:szCs w:val="24"/>
        </w:rPr>
        <w:t>50</w:t>
      </w:r>
      <w:r w:rsidRPr="001046F9">
        <w:rPr>
          <w:rFonts w:cs="Times New Roman"/>
          <w:noProof/>
          <w:szCs w:val="24"/>
        </w:rPr>
        <w:t>:1718–1729.</w:t>
      </w:r>
    </w:p>
    <w:p w14:paraId="0DAC719C"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11. </w:t>
      </w:r>
      <w:r w:rsidRPr="001046F9">
        <w:rPr>
          <w:rFonts w:cs="Times New Roman"/>
          <w:noProof/>
          <w:szCs w:val="24"/>
        </w:rPr>
        <w:tab/>
      </w:r>
      <w:r w:rsidRPr="001046F9">
        <w:rPr>
          <w:rFonts w:cs="Times New Roman"/>
          <w:b/>
          <w:bCs/>
          <w:noProof/>
          <w:szCs w:val="24"/>
        </w:rPr>
        <w:t>Gilbert JA</w:t>
      </w:r>
      <w:r w:rsidRPr="001046F9">
        <w:rPr>
          <w:rFonts w:cs="Times New Roman"/>
          <w:noProof/>
          <w:szCs w:val="24"/>
        </w:rPr>
        <w:t xml:space="preserve">, </w:t>
      </w:r>
      <w:r w:rsidRPr="001046F9">
        <w:rPr>
          <w:rFonts w:cs="Times New Roman"/>
          <w:b/>
          <w:bCs/>
          <w:noProof/>
          <w:szCs w:val="24"/>
        </w:rPr>
        <w:t>Steele JA</w:t>
      </w:r>
      <w:r w:rsidRPr="001046F9">
        <w:rPr>
          <w:rFonts w:cs="Times New Roman"/>
          <w:noProof/>
          <w:szCs w:val="24"/>
        </w:rPr>
        <w:t xml:space="preserve">, </w:t>
      </w:r>
      <w:r w:rsidRPr="001046F9">
        <w:rPr>
          <w:rFonts w:cs="Times New Roman"/>
          <w:b/>
          <w:bCs/>
          <w:noProof/>
          <w:szCs w:val="24"/>
        </w:rPr>
        <w:t>Caporaso JG</w:t>
      </w:r>
      <w:r w:rsidRPr="001046F9">
        <w:rPr>
          <w:rFonts w:cs="Times New Roman"/>
          <w:noProof/>
          <w:szCs w:val="24"/>
        </w:rPr>
        <w:t xml:space="preserve">, </w:t>
      </w:r>
      <w:r w:rsidRPr="001046F9">
        <w:rPr>
          <w:rFonts w:cs="Times New Roman"/>
          <w:b/>
          <w:bCs/>
          <w:noProof/>
          <w:szCs w:val="24"/>
        </w:rPr>
        <w:t>Steinbruck L</w:t>
      </w:r>
      <w:r w:rsidRPr="001046F9">
        <w:rPr>
          <w:rFonts w:cs="Times New Roman"/>
          <w:noProof/>
          <w:szCs w:val="24"/>
        </w:rPr>
        <w:t xml:space="preserve">, </w:t>
      </w:r>
      <w:r w:rsidRPr="001046F9">
        <w:rPr>
          <w:rFonts w:cs="Times New Roman"/>
          <w:b/>
          <w:bCs/>
          <w:noProof/>
          <w:szCs w:val="24"/>
        </w:rPr>
        <w:t>Reeder J</w:t>
      </w:r>
      <w:r w:rsidRPr="001046F9">
        <w:rPr>
          <w:rFonts w:cs="Times New Roman"/>
          <w:noProof/>
          <w:szCs w:val="24"/>
        </w:rPr>
        <w:t xml:space="preserve">, </w:t>
      </w:r>
      <w:r w:rsidRPr="001046F9">
        <w:rPr>
          <w:rFonts w:cs="Times New Roman"/>
          <w:b/>
          <w:bCs/>
          <w:noProof/>
          <w:szCs w:val="24"/>
        </w:rPr>
        <w:t>Temperton B</w:t>
      </w:r>
      <w:r w:rsidRPr="001046F9">
        <w:rPr>
          <w:rFonts w:cs="Times New Roman"/>
          <w:noProof/>
          <w:szCs w:val="24"/>
        </w:rPr>
        <w:t xml:space="preserve">, </w:t>
      </w:r>
      <w:r w:rsidRPr="001046F9">
        <w:rPr>
          <w:rFonts w:cs="Times New Roman"/>
          <w:b/>
          <w:bCs/>
          <w:noProof/>
          <w:szCs w:val="24"/>
        </w:rPr>
        <w:t>Huse S</w:t>
      </w:r>
      <w:r w:rsidRPr="001046F9">
        <w:rPr>
          <w:rFonts w:cs="Times New Roman"/>
          <w:noProof/>
          <w:szCs w:val="24"/>
        </w:rPr>
        <w:t xml:space="preserve">, </w:t>
      </w:r>
      <w:r w:rsidRPr="001046F9">
        <w:rPr>
          <w:rFonts w:cs="Times New Roman"/>
          <w:b/>
          <w:bCs/>
          <w:noProof/>
          <w:szCs w:val="24"/>
        </w:rPr>
        <w:t>McHardy AC</w:t>
      </w:r>
      <w:r w:rsidRPr="001046F9">
        <w:rPr>
          <w:rFonts w:cs="Times New Roman"/>
          <w:noProof/>
          <w:szCs w:val="24"/>
        </w:rPr>
        <w:t xml:space="preserve">, </w:t>
      </w:r>
      <w:r w:rsidRPr="001046F9">
        <w:rPr>
          <w:rFonts w:cs="Times New Roman"/>
          <w:b/>
          <w:bCs/>
          <w:noProof/>
          <w:szCs w:val="24"/>
        </w:rPr>
        <w:t>Knight R</w:t>
      </w:r>
      <w:r w:rsidRPr="001046F9">
        <w:rPr>
          <w:rFonts w:cs="Times New Roman"/>
          <w:noProof/>
          <w:szCs w:val="24"/>
        </w:rPr>
        <w:t xml:space="preserve">, </w:t>
      </w:r>
      <w:r w:rsidRPr="001046F9">
        <w:rPr>
          <w:rFonts w:cs="Times New Roman"/>
          <w:b/>
          <w:bCs/>
          <w:noProof/>
          <w:szCs w:val="24"/>
        </w:rPr>
        <w:t>Joint I</w:t>
      </w:r>
      <w:r w:rsidRPr="001046F9">
        <w:rPr>
          <w:rFonts w:cs="Times New Roman"/>
          <w:noProof/>
          <w:szCs w:val="24"/>
        </w:rPr>
        <w:t xml:space="preserve">, </w:t>
      </w:r>
      <w:r w:rsidRPr="001046F9">
        <w:rPr>
          <w:rFonts w:cs="Times New Roman"/>
          <w:b/>
          <w:bCs/>
          <w:noProof/>
          <w:szCs w:val="24"/>
        </w:rPr>
        <w:t>Somerfield P</w:t>
      </w:r>
      <w:r w:rsidRPr="001046F9">
        <w:rPr>
          <w:rFonts w:cs="Times New Roman"/>
          <w:noProof/>
          <w:szCs w:val="24"/>
        </w:rPr>
        <w:t xml:space="preserve">, </w:t>
      </w:r>
      <w:r w:rsidRPr="001046F9">
        <w:rPr>
          <w:rFonts w:cs="Times New Roman"/>
          <w:b/>
          <w:bCs/>
          <w:noProof/>
          <w:szCs w:val="24"/>
        </w:rPr>
        <w:t>Fuhrman JA</w:t>
      </w:r>
      <w:r w:rsidRPr="001046F9">
        <w:rPr>
          <w:rFonts w:cs="Times New Roman"/>
          <w:noProof/>
          <w:szCs w:val="24"/>
        </w:rPr>
        <w:t xml:space="preserve">, </w:t>
      </w:r>
      <w:r w:rsidRPr="001046F9">
        <w:rPr>
          <w:rFonts w:cs="Times New Roman"/>
          <w:b/>
          <w:bCs/>
          <w:noProof/>
          <w:szCs w:val="24"/>
        </w:rPr>
        <w:t>Field D</w:t>
      </w:r>
      <w:r w:rsidRPr="001046F9">
        <w:rPr>
          <w:rFonts w:cs="Times New Roman"/>
          <w:noProof/>
          <w:szCs w:val="24"/>
        </w:rPr>
        <w:t xml:space="preserve">. 2012. Defining seasonal marine microbial community dynamics. ISME J </w:t>
      </w:r>
      <w:r w:rsidRPr="001046F9">
        <w:rPr>
          <w:rFonts w:cs="Times New Roman"/>
          <w:b/>
          <w:bCs/>
          <w:noProof/>
          <w:szCs w:val="24"/>
        </w:rPr>
        <w:t>6</w:t>
      </w:r>
      <w:r w:rsidRPr="001046F9">
        <w:rPr>
          <w:rFonts w:cs="Times New Roman"/>
          <w:noProof/>
          <w:szCs w:val="24"/>
        </w:rPr>
        <w:t>:298–308.</w:t>
      </w:r>
    </w:p>
    <w:p w14:paraId="2B8F1F33"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12. </w:t>
      </w:r>
      <w:r w:rsidRPr="001046F9">
        <w:rPr>
          <w:rFonts w:cs="Times New Roman"/>
          <w:noProof/>
          <w:szCs w:val="24"/>
        </w:rPr>
        <w:tab/>
      </w:r>
      <w:r w:rsidRPr="001046F9">
        <w:rPr>
          <w:rFonts w:cs="Times New Roman"/>
          <w:b/>
          <w:bCs/>
          <w:noProof/>
          <w:szCs w:val="24"/>
        </w:rPr>
        <w:t>Fuhrman JA</w:t>
      </w:r>
      <w:r w:rsidRPr="001046F9">
        <w:rPr>
          <w:rFonts w:cs="Times New Roman"/>
          <w:noProof/>
          <w:szCs w:val="24"/>
        </w:rPr>
        <w:t xml:space="preserve">, </w:t>
      </w:r>
      <w:r w:rsidRPr="001046F9">
        <w:rPr>
          <w:rFonts w:cs="Times New Roman"/>
          <w:b/>
          <w:bCs/>
          <w:noProof/>
          <w:szCs w:val="24"/>
        </w:rPr>
        <w:t>Hewson I</w:t>
      </w:r>
      <w:r w:rsidRPr="001046F9">
        <w:rPr>
          <w:rFonts w:cs="Times New Roman"/>
          <w:noProof/>
          <w:szCs w:val="24"/>
        </w:rPr>
        <w:t xml:space="preserve">, </w:t>
      </w:r>
      <w:r w:rsidRPr="001046F9">
        <w:rPr>
          <w:rFonts w:cs="Times New Roman"/>
          <w:b/>
          <w:bCs/>
          <w:noProof/>
          <w:szCs w:val="24"/>
        </w:rPr>
        <w:t>Schwalbach MS</w:t>
      </w:r>
      <w:r w:rsidRPr="001046F9">
        <w:rPr>
          <w:rFonts w:cs="Times New Roman"/>
          <w:noProof/>
          <w:szCs w:val="24"/>
        </w:rPr>
        <w:t xml:space="preserve">, </w:t>
      </w:r>
      <w:r w:rsidRPr="001046F9">
        <w:rPr>
          <w:rFonts w:cs="Times New Roman"/>
          <w:b/>
          <w:bCs/>
          <w:noProof/>
          <w:szCs w:val="24"/>
        </w:rPr>
        <w:t>Steele JA</w:t>
      </w:r>
      <w:r w:rsidRPr="001046F9">
        <w:rPr>
          <w:rFonts w:cs="Times New Roman"/>
          <w:noProof/>
          <w:szCs w:val="24"/>
        </w:rPr>
        <w:t xml:space="preserve">, </w:t>
      </w:r>
      <w:r w:rsidRPr="001046F9">
        <w:rPr>
          <w:rFonts w:cs="Times New Roman"/>
          <w:b/>
          <w:bCs/>
          <w:noProof/>
          <w:szCs w:val="24"/>
        </w:rPr>
        <w:t>Brown M V</w:t>
      </w:r>
      <w:r w:rsidRPr="001046F9">
        <w:rPr>
          <w:rFonts w:cs="Times New Roman"/>
          <w:noProof/>
          <w:szCs w:val="24"/>
        </w:rPr>
        <w:t xml:space="preserve">, </w:t>
      </w:r>
      <w:r w:rsidRPr="001046F9">
        <w:rPr>
          <w:rFonts w:cs="Times New Roman"/>
          <w:b/>
          <w:bCs/>
          <w:noProof/>
          <w:szCs w:val="24"/>
        </w:rPr>
        <w:t>Naeem S</w:t>
      </w:r>
      <w:r w:rsidRPr="001046F9">
        <w:rPr>
          <w:rFonts w:cs="Times New Roman"/>
          <w:noProof/>
          <w:szCs w:val="24"/>
        </w:rPr>
        <w:t xml:space="preserve">. 2006. Annually reoccurring bacterial communities are predictable from ocean conditions. Proc Natl Acad Sci USA </w:t>
      </w:r>
      <w:r w:rsidRPr="001046F9">
        <w:rPr>
          <w:rFonts w:cs="Times New Roman"/>
          <w:b/>
          <w:bCs/>
          <w:noProof/>
          <w:szCs w:val="24"/>
        </w:rPr>
        <w:t>103</w:t>
      </w:r>
      <w:r w:rsidRPr="001046F9">
        <w:rPr>
          <w:rFonts w:cs="Times New Roman"/>
          <w:noProof/>
          <w:szCs w:val="24"/>
        </w:rPr>
        <w:t>:13104–13109.</w:t>
      </w:r>
    </w:p>
    <w:p w14:paraId="2CACC3D7"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13. </w:t>
      </w:r>
      <w:r w:rsidRPr="001046F9">
        <w:rPr>
          <w:rFonts w:cs="Times New Roman"/>
          <w:noProof/>
          <w:szCs w:val="24"/>
        </w:rPr>
        <w:tab/>
      </w:r>
      <w:r w:rsidRPr="001046F9">
        <w:rPr>
          <w:rFonts w:cs="Times New Roman"/>
          <w:b/>
          <w:bCs/>
          <w:noProof/>
          <w:szCs w:val="24"/>
        </w:rPr>
        <w:t>Cram J</w:t>
      </w:r>
      <w:r w:rsidRPr="001046F9">
        <w:rPr>
          <w:rFonts w:cs="Times New Roman"/>
          <w:noProof/>
          <w:szCs w:val="24"/>
        </w:rPr>
        <w:t xml:space="preserve">, </w:t>
      </w:r>
      <w:r w:rsidRPr="001046F9">
        <w:rPr>
          <w:rFonts w:cs="Times New Roman"/>
          <w:b/>
          <w:bCs/>
          <w:noProof/>
          <w:szCs w:val="24"/>
        </w:rPr>
        <w:t>Chow C</w:t>
      </w:r>
      <w:r w:rsidRPr="001046F9">
        <w:rPr>
          <w:rFonts w:cs="Times New Roman"/>
          <w:noProof/>
          <w:szCs w:val="24"/>
        </w:rPr>
        <w:t xml:space="preserve">, </w:t>
      </w:r>
      <w:r w:rsidRPr="001046F9">
        <w:rPr>
          <w:rFonts w:cs="Times New Roman"/>
          <w:b/>
          <w:bCs/>
          <w:noProof/>
          <w:szCs w:val="24"/>
        </w:rPr>
        <w:t>Sachdeva R</w:t>
      </w:r>
      <w:r w:rsidRPr="001046F9">
        <w:rPr>
          <w:rFonts w:cs="Times New Roman"/>
          <w:noProof/>
          <w:szCs w:val="24"/>
        </w:rPr>
        <w:t xml:space="preserve">, </w:t>
      </w:r>
      <w:r w:rsidRPr="001046F9">
        <w:rPr>
          <w:rFonts w:cs="Times New Roman"/>
          <w:b/>
          <w:bCs/>
          <w:noProof/>
          <w:szCs w:val="24"/>
        </w:rPr>
        <w:t>Needham D</w:t>
      </w:r>
      <w:r w:rsidRPr="001046F9">
        <w:rPr>
          <w:rFonts w:cs="Times New Roman"/>
          <w:noProof/>
          <w:szCs w:val="24"/>
        </w:rPr>
        <w:t xml:space="preserve">, </w:t>
      </w:r>
      <w:r w:rsidRPr="001046F9">
        <w:rPr>
          <w:rFonts w:cs="Times New Roman"/>
          <w:b/>
          <w:bCs/>
          <w:noProof/>
          <w:szCs w:val="24"/>
        </w:rPr>
        <w:t>Parada A</w:t>
      </w:r>
      <w:r w:rsidRPr="001046F9">
        <w:rPr>
          <w:rFonts w:cs="Times New Roman"/>
          <w:noProof/>
          <w:szCs w:val="24"/>
        </w:rPr>
        <w:t xml:space="preserve">, </w:t>
      </w:r>
      <w:r w:rsidRPr="001046F9">
        <w:rPr>
          <w:rFonts w:cs="Times New Roman"/>
          <w:b/>
          <w:bCs/>
          <w:noProof/>
          <w:szCs w:val="24"/>
        </w:rPr>
        <w:t>Steele J</w:t>
      </w:r>
      <w:r w:rsidRPr="001046F9">
        <w:rPr>
          <w:rFonts w:cs="Times New Roman"/>
          <w:noProof/>
          <w:szCs w:val="24"/>
        </w:rPr>
        <w:t xml:space="preserve">, </w:t>
      </w:r>
      <w:r w:rsidRPr="001046F9">
        <w:rPr>
          <w:rFonts w:cs="Times New Roman"/>
          <w:b/>
          <w:bCs/>
          <w:noProof/>
          <w:szCs w:val="24"/>
        </w:rPr>
        <w:t>Fuhrman J</w:t>
      </w:r>
      <w:r w:rsidRPr="001046F9">
        <w:rPr>
          <w:rFonts w:cs="Times New Roman"/>
          <w:noProof/>
          <w:szCs w:val="24"/>
        </w:rPr>
        <w:t xml:space="preserve">. 2015. Seasonal and interannual variability of the marine bacterioplankton community throughout the water column over ten years. ISME J </w:t>
      </w:r>
      <w:r w:rsidRPr="001046F9">
        <w:rPr>
          <w:rFonts w:cs="Times New Roman"/>
          <w:b/>
          <w:bCs/>
          <w:noProof/>
          <w:szCs w:val="24"/>
        </w:rPr>
        <w:t>9</w:t>
      </w:r>
      <w:r w:rsidRPr="001046F9">
        <w:rPr>
          <w:rFonts w:cs="Times New Roman"/>
          <w:noProof/>
          <w:szCs w:val="24"/>
        </w:rPr>
        <w:t>:563–580.</w:t>
      </w:r>
    </w:p>
    <w:p w14:paraId="7AE1E08D"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14. </w:t>
      </w:r>
      <w:r w:rsidRPr="001046F9">
        <w:rPr>
          <w:rFonts w:cs="Times New Roman"/>
          <w:noProof/>
          <w:szCs w:val="24"/>
        </w:rPr>
        <w:tab/>
      </w:r>
      <w:r w:rsidRPr="001046F9">
        <w:rPr>
          <w:rFonts w:cs="Times New Roman"/>
          <w:b/>
          <w:bCs/>
          <w:noProof/>
          <w:szCs w:val="24"/>
        </w:rPr>
        <w:t>Nelson CE</w:t>
      </w:r>
      <w:r w:rsidRPr="001046F9">
        <w:rPr>
          <w:rFonts w:cs="Times New Roman"/>
          <w:noProof/>
          <w:szCs w:val="24"/>
        </w:rPr>
        <w:t xml:space="preserve">. 2009. Phenology of high-elevation pelagic bacteria: the roles of meteorologic variability, catchment inputs and thermal stratification in structuring communities. ISME J </w:t>
      </w:r>
      <w:r w:rsidRPr="001046F9">
        <w:rPr>
          <w:rFonts w:cs="Times New Roman"/>
          <w:b/>
          <w:bCs/>
          <w:noProof/>
          <w:szCs w:val="24"/>
        </w:rPr>
        <w:t>3</w:t>
      </w:r>
      <w:r w:rsidRPr="001046F9">
        <w:rPr>
          <w:rFonts w:cs="Times New Roman"/>
          <w:noProof/>
          <w:szCs w:val="24"/>
        </w:rPr>
        <w:t>:13–30.</w:t>
      </w:r>
    </w:p>
    <w:p w14:paraId="46706C12"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15. </w:t>
      </w:r>
      <w:r w:rsidRPr="001046F9">
        <w:rPr>
          <w:rFonts w:cs="Times New Roman"/>
          <w:noProof/>
          <w:szCs w:val="24"/>
        </w:rPr>
        <w:tab/>
      </w:r>
      <w:r w:rsidRPr="001046F9">
        <w:rPr>
          <w:rFonts w:cs="Times New Roman"/>
          <w:b/>
          <w:bCs/>
          <w:noProof/>
          <w:szCs w:val="24"/>
        </w:rPr>
        <w:t>Kara EL</w:t>
      </w:r>
      <w:r w:rsidRPr="001046F9">
        <w:rPr>
          <w:rFonts w:cs="Times New Roman"/>
          <w:noProof/>
          <w:szCs w:val="24"/>
        </w:rPr>
        <w:t xml:space="preserve">, </w:t>
      </w:r>
      <w:r w:rsidRPr="001046F9">
        <w:rPr>
          <w:rFonts w:cs="Times New Roman"/>
          <w:b/>
          <w:bCs/>
          <w:noProof/>
          <w:szCs w:val="24"/>
        </w:rPr>
        <w:t>Hanson PC</w:t>
      </w:r>
      <w:r w:rsidRPr="001046F9">
        <w:rPr>
          <w:rFonts w:cs="Times New Roman"/>
          <w:noProof/>
          <w:szCs w:val="24"/>
        </w:rPr>
        <w:t xml:space="preserve">, </w:t>
      </w:r>
      <w:r w:rsidRPr="001046F9">
        <w:rPr>
          <w:rFonts w:cs="Times New Roman"/>
          <w:b/>
          <w:bCs/>
          <w:noProof/>
          <w:szCs w:val="24"/>
        </w:rPr>
        <w:t>Hu YH</w:t>
      </w:r>
      <w:r w:rsidRPr="001046F9">
        <w:rPr>
          <w:rFonts w:cs="Times New Roman"/>
          <w:noProof/>
          <w:szCs w:val="24"/>
        </w:rPr>
        <w:t xml:space="preserve">, </w:t>
      </w:r>
      <w:r w:rsidRPr="001046F9">
        <w:rPr>
          <w:rFonts w:cs="Times New Roman"/>
          <w:b/>
          <w:bCs/>
          <w:noProof/>
          <w:szCs w:val="24"/>
        </w:rPr>
        <w:t>Winslow L</w:t>
      </w:r>
      <w:r w:rsidRPr="001046F9">
        <w:rPr>
          <w:rFonts w:cs="Times New Roman"/>
          <w:noProof/>
          <w:szCs w:val="24"/>
        </w:rPr>
        <w:t xml:space="preserve">, </w:t>
      </w:r>
      <w:r w:rsidRPr="001046F9">
        <w:rPr>
          <w:rFonts w:cs="Times New Roman"/>
          <w:b/>
          <w:bCs/>
          <w:noProof/>
          <w:szCs w:val="24"/>
        </w:rPr>
        <w:t>McMahon KD</w:t>
      </w:r>
      <w:r w:rsidRPr="001046F9">
        <w:rPr>
          <w:rFonts w:cs="Times New Roman"/>
          <w:noProof/>
          <w:szCs w:val="24"/>
        </w:rPr>
        <w:t xml:space="preserve">. 2013. A decade of seasonal dynamics and co-occurrences within freshwater bacterioplankton communities from eutrophic Lake Mendota, WI, USA. ISME J </w:t>
      </w:r>
      <w:r w:rsidRPr="00FF057D">
        <w:rPr>
          <w:rFonts w:cs="Times New Roman"/>
          <w:b/>
          <w:bCs/>
          <w:noProof/>
          <w:szCs w:val="24"/>
        </w:rPr>
        <w:t>7</w:t>
      </w:r>
      <w:r w:rsidRPr="001046F9">
        <w:rPr>
          <w:rFonts w:cs="Times New Roman"/>
          <w:noProof/>
          <w:szCs w:val="24"/>
        </w:rPr>
        <w:t>:680–4.</w:t>
      </w:r>
    </w:p>
    <w:p w14:paraId="61EEC947"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lastRenderedPageBreak/>
        <w:t xml:space="preserve">16. </w:t>
      </w:r>
      <w:r w:rsidRPr="001046F9">
        <w:rPr>
          <w:rFonts w:cs="Times New Roman"/>
          <w:noProof/>
          <w:szCs w:val="24"/>
        </w:rPr>
        <w:tab/>
      </w:r>
      <w:r w:rsidRPr="001046F9">
        <w:rPr>
          <w:rFonts w:cs="Times New Roman"/>
          <w:b/>
          <w:bCs/>
          <w:noProof/>
          <w:szCs w:val="24"/>
        </w:rPr>
        <w:t>Yannarell AC</w:t>
      </w:r>
      <w:r w:rsidRPr="001046F9">
        <w:rPr>
          <w:rFonts w:cs="Times New Roman"/>
          <w:noProof/>
          <w:szCs w:val="24"/>
        </w:rPr>
        <w:t xml:space="preserve">, </w:t>
      </w:r>
      <w:r w:rsidRPr="001046F9">
        <w:rPr>
          <w:rFonts w:cs="Times New Roman"/>
          <w:b/>
          <w:bCs/>
          <w:noProof/>
          <w:szCs w:val="24"/>
        </w:rPr>
        <w:t>Kent AD</w:t>
      </w:r>
      <w:r w:rsidRPr="001046F9">
        <w:rPr>
          <w:rFonts w:cs="Times New Roman"/>
          <w:noProof/>
          <w:szCs w:val="24"/>
        </w:rPr>
        <w:t xml:space="preserve">, </w:t>
      </w:r>
      <w:r w:rsidRPr="001046F9">
        <w:rPr>
          <w:rFonts w:cs="Times New Roman"/>
          <w:b/>
          <w:bCs/>
          <w:noProof/>
          <w:szCs w:val="24"/>
        </w:rPr>
        <w:t>H. LG</w:t>
      </w:r>
      <w:r w:rsidRPr="001046F9">
        <w:rPr>
          <w:rFonts w:cs="Times New Roman"/>
          <w:noProof/>
          <w:szCs w:val="24"/>
        </w:rPr>
        <w:t xml:space="preserve">, </w:t>
      </w:r>
      <w:r w:rsidRPr="001046F9">
        <w:rPr>
          <w:rFonts w:cs="Times New Roman"/>
          <w:b/>
          <w:bCs/>
          <w:noProof/>
          <w:szCs w:val="24"/>
        </w:rPr>
        <w:t>Kratz TK</w:t>
      </w:r>
      <w:r w:rsidRPr="001046F9">
        <w:rPr>
          <w:rFonts w:cs="Times New Roman"/>
          <w:noProof/>
          <w:szCs w:val="24"/>
        </w:rPr>
        <w:t xml:space="preserve">, </w:t>
      </w:r>
      <w:r w:rsidRPr="001046F9">
        <w:rPr>
          <w:rFonts w:cs="Times New Roman"/>
          <w:b/>
          <w:bCs/>
          <w:noProof/>
          <w:szCs w:val="24"/>
        </w:rPr>
        <w:t>Triplett EW</w:t>
      </w:r>
      <w:r w:rsidRPr="001046F9">
        <w:rPr>
          <w:rFonts w:cs="Times New Roman"/>
          <w:noProof/>
          <w:szCs w:val="24"/>
        </w:rPr>
        <w:t xml:space="preserve">. 2003. Temporal Patterns in Bacterial Communities in Three Temperate Lakes of Different Trophic Status. Microb Ecol </w:t>
      </w:r>
      <w:r w:rsidRPr="001046F9">
        <w:rPr>
          <w:rFonts w:cs="Times New Roman"/>
          <w:b/>
          <w:bCs/>
          <w:noProof/>
          <w:szCs w:val="24"/>
        </w:rPr>
        <w:t>46</w:t>
      </w:r>
      <w:r w:rsidRPr="001046F9">
        <w:rPr>
          <w:rFonts w:cs="Times New Roman"/>
          <w:noProof/>
          <w:szCs w:val="24"/>
        </w:rPr>
        <w:t>:391–405.</w:t>
      </w:r>
    </w:p>
    <w:p w14:paraId="20AC815C" w14:textId="18DE6B3F"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17. </w:t>
      </w:r>
      <w:r w:rsidRPr="001046F9">
        <w:rPr>
          <w:rFonts w:cs="Times New Roman"/>
          <w:noProof/>
          <w:szCs w:val="24"/>
        </w:rPr>
        <w:tab/>
      </w:r>
      <w:r w:rsidRPr="001046F9">
        <w:rPr>
          <w:rFonts w:cs="Times New Roman"/>
          <w:b/>
          <w:bCs/>
          <w:noProof/>
          <w:szCs w:val="24"/>
        </w:rPr>
        <w:t>Kent AD</w:t>
      </w:r>
      <w:r w:rsidRPr="001046F9">
        <w:rPr>
          <w:rFonts w:cs="Times New Roman"/>
          <w:noProof/>
          <w:szCs w:val="24"/>
        </w:rPr>
        <w:t xml:space="preserve">, </w:t>
      </w:r>
      <w:r w:rsidRPr="001046F9">
        <w:rPr>
          <w:rFonts w:cs="Times New Roman"/>
          <w:b/>
          <w:bCs/>
          <w:noProof/>
          <w:szCs w:val="24"/>
        </w:rPr>
        <w:t>Yannarell AC</w:t>
      </w:r>
      <w:r w:rsidRPr="001046F9">
        <w:rPr>
          <w:rFonts w:cs="Times New Roman"/>
          <w:noProof/>
          <w:szCs w:val="24"/>
        </w:rPr>
        <w:t xml:space="preserve">, </w:t>
      </w:r>
      <w:r w:rsidRPr="001046F9">
        <w:rPr>
          <w:rFonts w:cs="Times New Roman"/>
          <w:b/>
          <w:bCs/>
          <w:noProof/>
          <w:szCs w:val="24"/>
        </w:rPr>
        <w:t>Rusak JA</w:t>
      </w:r>
      <w:r w:rsidRPr="001046F9">
        <w:rPr>
          <w:rFonts w:cs="Times New Roman"/>
          <w:noProof/>
          <w:szCs w:val="24"/>
        </w:rPr>
        <w:t xml:space="preserve">, </w:t>
      </w:r>
      <w:r w:rsidRPr="001046F9">
        <w:rPr>
          <w:rFonts w:cs="Times New Roman"/>
          <w:b/>
          <w:bCs/>
          <w:noProof/>
          <w:szCs w:val="24"/>
        </w:rPr>
        <w:t>Triplett EW</w:t>
      </w:r>
      <w:r w:rsidRPr="001046F9">
        <w:rPr>
          <w:rFonts w:cs="Times New Roman"/>
          <w:noProof/>
          <w:szCs w:val="24"/>
        </w:rPr>
        <w:t xml:space="preserve">, </w:t>
      </w:r>
      <w:r w:rsidRPr="001046F9">
        <w:rPr>
          <w:rFonts w:cs="Times New Roman"/>
          <w:b/>
          <w:bCs/>
          <w:noProof/>
          <w:szCs w:val="24"/>
        </w:rPr>
        <w:t>McMahon KD</w:t>
      </w:r>
      <w:r w:rsidRPr="001046F9">
        <w:rPr>
          <w:rFonts w:cs="Times New Roman"/>
          <w:noProof/>
          <w:szCs w:val="24"/>
        </w:rPr>
        <w:t xml:space="preserve">. 2007. Synchrony in aquatic microbial community dynamics. ISME J </w:t>
      </w:r>
      <w:r w:rsidRPr="001046F9">
        <w:rPr>
          <w:rFonts w:cs="Times New Roman"/>
          <w:b/>
          <w:bCs/>
          <w:noProof/>
          <w:szCs w:val="24"/>
        </w:rPr>
        <w:t>1</w:t>
      </w:r>
      <w:r w:rsidRPr="001046F9">
        <w:rPr>
          <w:rFonts w:cs="Times New Roman"/>
          <w:noProof/>
          <w:szCs w:val="24"/>
        </w:rPr>
        <w:t>:38–47.</w:t>
      </w:r>
    </w:p>
    <w:p w14:paraId="14EB74BA" w14:textId="3BF31F7C"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18. </w:t>
      </w:r>
      <w:r w:rsidRPr="001046F9">
        <w:rPr>
          <w:rFonts w:cs="Times New Roman"/>
          <w:noProof/>
          <w:szCs w:val="24"/>
        </w:rPr>
        <w:tab/>
      </w:r>
      <w:r w:rsidRPr="001046F9">
        <w:rPr>
          <w:rFonts w:cs="Times New Roman"/>
          <w:b/>
          <w:bCs/>
          <w:noProof/>
          <w:szCs w:val="24"/>
        </w:rPr>
        <w:t>Kent AD</w:t>
      </w:r>
      <w:r w:rsidRPr="001046F9">
        <w:rPr>
          <w:rFonts w:cs="Times New Roman"/>
          <w:noProof/>
          <w:szCs w:val="24"/>
        </w:rPr>
        <w:t xml:space="preserve">, </w:t>
      </w:r>
      <w:r w:rsidRPr="001046F9">
        <w:rPr>
          <w:rFonts w:cs="Times New Roman"/>
          <w:b/>
          <w:bCs/>
          <w:noProof/>
          <w:szCs w:val="24"/>
        </w:rPr>
        <w:t>Jones SE</w:t>
      </w:r>
      <w:r w:rsidRPr="001046F9">
        <w:rPr>
          <w:rFonts w:cs="Times New Roman"/>
          <w:noProof/>
          <w:szCs w:val="24"/>
        </w:rPr>
        <w:t xml:space="preserve">, </w:t>
      </w:r>
      <w:r w:rsidRPr="001046F9">
        <w:rPr>
          <w:rFonts w:cs="Times New Roman"/>
          <w:b/>
          <w:bCs/>
          <w:noProof/>
          <w:szCs w:val="24"/>
        </w:rPr>
        <w:t>Lauster GH</w:t>
      </w:r>
      <w:r w:rsidRPr="001046F9">
        <w:rPr>
          <w:rFonts w:cs="Times New Roman"/>
          <w:noProof/>
          <w:szCs w:val="24"/>
        </w:rPr>
        <w:t xml:space="preserve">, </w:t>
      </w:r>
      <w:r w:rsidRPr="001046F9">
        <w:rPr>
          <w:rFonts w:cs="Times New Roman"/>
          <w:b/>
          <w:bCs/>
          <w:noProof/>
          <w:szCs w:val="24"/>
        </w:rPr>
        <w:t>Graham JM</w:t>
      </w:r>
      <w:r w:rsidRPr="001046F9">
        <w:rPr>
          <w:rFonts w:cs="Times New Roman"/>
          <w:noProof/>
          <w:szCs w:val="24"/>
        </w:rPr>
        <w:t xml:space="preserve">, </w:t>
      </w:r>
      <w:r w:rsidRPr="001046F9">
        <w:rPr>
          <w:rFonts w:cs="Times New Roman"/>
          <w:b/>
          <w:bCs/>
          <w:noProof/>
          <w:szCs w:val="24"/>
        </w:rPr>
        <w:t>Newton RJ</w:t>
      </w:r>
      <w:r w:rsidRPr="001046F9">
        <w:rPr>
          <w:rFonts w:cs="Times New Roman"/>
          <w:noProof/>
          <w:szCs w:val="24"/>
        </w:rPr>
        <w:t xml:space="preserve">, </w:t>
      </w:r>
      <w:r w:rsidRPr="001046F9">
        <w:rPr>
          <w:rFonts w:cs="Times New Roman"/>
          <w:b/>
          <w:bCs/>
          <w:noProof/>
          <w:szCs w:val="24"/>
        </w:rPr>
        <w:t>McMahon KD</w:t>
      </w:r>
      <w:r w:rsidRPr="001046F9">
        <w:rPr>
          <w:rFonts w:cs="Times New Roman"/>
          <w:noProof/>
          <w:szCs w:val="24"/>
        </w:rPr>
        <w:t xml:space="preserve">. 2006. Experimental manipulations of microbial food web interactions in a humic lake: Shifting biological drivers of bacterial community structure. Environ Microbiol </w:t>
      </w:r>
      <w:r w:rsidRPr="001046F9">
        <w:rPr>
          <w:rFonts w:cs="Times New Roman"/>
          <w:b/>
          <w:bCs/>
          <w:noProof/>
          <w:szCs w:val="24"/>
        </w:rPr>
        <w:t>8</w:t>
      </w:r>
      <w:r w:rsidRPr="001046F9">
        <w:rPr>
          <w:rFonts w:cs="Times New Roman"/>
          <w:noProof/>
          <w:szCs w:val="24"/>
        </w:rPr>
        <w:t>:1448–1459.</w:t>
      </w:r>
    </w:p>
    <w:p w14:paraId="27E9AFEE" w14:textId="3A66C420"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19. </w:t>
      </w:r>
      <w:r w:rsidRPr="001046F9">
        <w:rPr>
          <w:rFonts w:cs="Times New Roman"/>
          <w:noProof/>
          <w:szCs w:val="24"/>
        </w:rPr>
        <w:tab/>
      </w:r>
      <w:r w:rsidRPr="001046F9">
        <w:rPr>
          <w:rFonts w:cs="Times New Roman"/>
          <w:b/>
          <w:bCs/>
          <w:noProof/>
          <w:szCs w:val="24"/>
        </w:rPr>
        <w:t>Rusak JA</w:t>
      </w:r>
      <w:r w:rsidRPr="001046F9">
        <w:rPr>
          <w:rFonts w:cs="Times New Roman"/>
          <w:noProof/>
          <w:szCs w:val="24"/>
        </w:rPr>
        <w:t xml:space="preserve">, </w:t>
      </w:r>
      <w:r w:rsidRPr="001046F9">
        <w:rPr>
          <w:rFonts w:cs="Times New Roman"/>
          <w:b/>
          <w:bCs/>
          <w:noProof/>
          <w:szCs w:val="24"/>
        </w:rPr>
        <w:t>Jones SE</w:t>
      </w:r>
      <w:r w:rsidRPr="001046F9">
        <w:rPr>
          <w:rFonts w:cs="Times New Roman"/>
          <w:noProof/>
          <w:szCs w:val="24"/>
        </w:rPr>
        <w:t xml:space="preserve">, </w:t>
      </w:r>
      <w:r w:rsidRPr="001046F9">
        <w:rPr>
          <w:rFonts w:cs="Times New Roman"/>
          <w:b/>
          <w:bCs/>
          <w:noProof/>
          <w:szCs w:val="24"/>
        </w:rPr>
        <w:t>Kent AD</w:t>
      </w:r>
      <w:r w:rsidRPr="001046F9">
        <w:rPr>
          <w:rFonts w:cs="Times New Roman"/>
          <w:noProof/>
          <w:szCs w:val="24"/>
        </w:rPr>
        <w:t xml:space="preserve">, </w:t>
      </w:r>
      <w:r w:rsidRPr="001046F9">
        <w:rPr>
          <w:rFonts w:cs="Times New Roman"/>
          <w:b/>
          <w:bCs/>
          <w:noProof/>
          <w:szCs w:val="24"/>
        </w:rPr>
        <w:t>Shade A</w:t>
      </w:r>
      <w:r w:rsidRPr="001046F9">
        <w:rPr>
          <w:rFonts w:cs="Times New Roman"/>
          <w:noProof/>
          <w:szCs w:val="24"/>
        </w:rPr>
        <w:t xml:space="preserve">, </w:t>
      </w:r>
      <w:r w:rsidRPr="001046F9">
        <w:rPr>
          <w:rFonts w:cs="Times New Roman"/>
          <w:b/>
          <w:bCs/>
          <w:noProof/>
          <w:szCs w:val="24"/>
        </w:rPr>
        <w:t>McMahon TD</w:t>
      </w:r>
      <w:r w:rsidRPr="001046F9">
        <w:rPr>
          <w:rFonts w:cs="Times New Roman"/>
          <w:noProof/>
          <w:szCs w:val="24"/>
        </w:rPr>
        <w:t xml:space="preserve">. 2009. Spatial synchrony in microbial community dynamics : testing among-year and lake patterns. Verh Internat Verein Limnol </w:t>
      </w:r>
      <w:r w:rsidRPr="001046F9">
        <w:rPr>
          <w:rFonts w:cs="Times New Roman"/>
          <w:b/>
          <w:bCs/>
          <w:noProof/>
          <w:szCs w:val="24"/>
        </w:rPr>
        <w:t>30</w:t>
      </w:r>
      <w:r w:rsidRPr="001046F9">
        <w:rPr>
          <w:rFonts w:cs="Times New Roman"/>
          <w:noProof/>
          <w:szCs w:val="24"/>
        </w:rPr>
        <w:t>:936–940.</w:t>
      </w:r>
    </w:p>
    <w:p w14:paraId="4B0F0551" w14:textId="2B874D9B"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20. </w:t>
      </w:r>
      <w:r w:rsidRPr="001046F9">
        <w:rPr>
          <w:rFonts w:cs="Times New Roman"/>
          <w:noProof/>
          <w:szCs w:val="24"/>
        </w:rPr>
        <w:tab/>
      </w:r>
      <w:r w:rsidRPr="001046F9">
        <w:rPr>
          <w:rFonts w:cs="Times New Roman"/>
          <w:b/>
          <w:bCs/>
          <w:noProof/>
          <w:szCs w:val="24"/>
        </w:rPr>
        <w:t>Hug LA</w:t>
      </w:r>
      <w:r w:rsidRPr="001046F9">
        <w:rPr>
          <w:rFonts w:cs="Times New Roman"/>
          <w:noProof/>
          <w:szCs w:val="24"/>
        </w:rPr>
        <w:t xml:space="preserve">, </w:t>
      </w:r>
      <w:r w:rsidRPr="001046F9">
        <w:rPr>
          <w:rFonts w:cs="Times New Roman"/>
          <w:b/>
          <w:bCs/>
          <w:noProof/>
          <w:szCs w:val="24"/>
        </w:rPr>
        <w:t>Baker BJ</w:t>
      </w:r>
      <w:r w:rsidRPr="001046F9">
        <w:rPr>
          <w:rFonts w:cs="Times New Roman"/>
          <w:noProof/>
          <w:szCs w:val="24"/>
        </w:rPr>
        <w:t xml:space="preserve">, </w:t>
      </w:r>
      <w:r w:rsidRPr="001046F9">
        <w:rPr>
          <w:rFonts w:cs="Times New Roman"/>
          <w:b/>
          <w:bCs/>
          <w:noProof/>
          <w:szCs w:val="24"/>
        </w:rPr>
        <w:t>Anantharaman K</w:t>
      </w:r>
      <w:r w:rsidRPr="001046F9">
        <w:rPr>
          <w:rFonts w:cs="Times New Roman"/>
          <w:noProof/>
          <w:szCs w:val="24"/>
        </w:rPr>
        <w:t xml:space="preserve">, </w:t>
      </w:r>
      <w:r w:rsidRPr="001046F9">
        <w:rPr>
          <w:rFonts w:cs="Times New Roman"/>
          <w:b/>
          <w:bCs/>
          <w:noProof/>
          <w:szCs w:val="24"/>
        </w:rPr>
        <w:t>Brown CT</w:t>
      </w:r>
      <w:r w:rsidRPr="001046F9">
        <w:rPr>
          <w:rFonts w:cs="Times New Roman"/>
          <w:noProof/>
          <w:szCs w:val="24"/>
        </w:rPr>
        <w:t xml:space="preserve">, </w:t>
      </w:r>
      <w:r w:rsidRPr="001046F9">
        <w:rPr>
          <w:rFonts w:cs="Times New Roman"/>
          <w:b/>
          <w:bCs/>
          <w:noProof/>
          <w:szCs w:val="24"/>
        </w:rPr>
        <w:t>Probst AJ</w:t>
      </w:r>
      <w:r w:rsidRPr="001046F9">
        <w:rPr>
          <w:rFonts w:cs="Times New Roman"/>
          <w:noProof/>
          <w:szCs w:val="24"/>
        </w:rPr>
        <w:t xml:space="preserve">, </w:t>
      </w:r>
      <w:r w:rsidRPr="001046F9">
        <w:rPr>
          <w:rFonts w:cs="Times New Roman"/>
          <w:b/>
          <w:bCs/>
          <w:noProof/>
          <w:szCs w:val="24"/>
        </w:rPr>
        <w:t>Castelle CJ</w:t>
      </w:r>
      <w:r w:rsidRPr="001046F9">
        <w:rPr>
          <w:rFonts w:cs="Times New Roman"/>
          <w:noProof/>
          <w:szCs w:val="24"/>
        </w:rPr>
        <w:t xml:space="preserve">, </w:t>
      </w:r>
      <w:r w:rsidRPr="001046F9">
        <w:rPr>
          <w:rFonts w:cs="Times New Roman"/>
          <w:b/>
          <w:bCs/>
          <w:noProof/>
          <w:szCs w:val="24"/>
        </w:rPr>
        <w:t>Butterfield CN</w:t>
      </w:r>
      <w:r w:rsidRPr="001046F9">
        <w:rPr>
          <w:rFonts w:cs="Times New Roman"/>
          <w:noProof/>
          <w:szCs w:val="24"/>
        </w:rPr>
        <w:t xml:space="preserve">, </w:t>
      </w:r>
      <w:r w:rsidRPr="001046F9">
        <w:rPr>
          <w:rFonts w:cs="Times New Roman"/>
          <w:b/>
          <w:bCs/>
          <w:noProof/>
          <w:szCs w:val="24"/>
        </w:rPr>
        <w:t>Hernsdorf AW</w:t>
      </w:r>
      <w:r w:rsidRPr="001046F9">
        <w:rPr>
          <w:rFonts w:cs="Times New Roman"/>
          <w:noProof/>
          <w:szCs w:val="24"/>
        </w:rPr>
        <w:t xml:space="preserve">, </w:t>
      </w:r>
      <w:r w:rsidRPr="001046F9">
        <w:rPr>
          <w:rFonts w:cs="Times New Roman"/>
          <w:b/>
          <w:bCs/>
          <w:noProof/>
          <w:szCs w:val="24"/>
        </w:rPr>
        <w:t>Amano Y</w:t>
      </w:r>
      <w:r w:rsidRPr="001046F9">
        <w:rPr>
          <w:rFonts w:cs="Times New Roman"/>
          <w:noProof/>
          <w:szCs w:val="24"/>
        </w:rPr>
        <w:t xml:space="preserve">, </w:t>
      </w:r>
      <w:r w:rsidRPr="001046F9">
        <w:rPr>
          <w:rFonts w:cs="Times New Roman"/>
          <w:b/>
          <w:bCs/>
          <w:noProof/>
          <w:szCs w:val="24"/>
        </w:rPr>
        <w:t>Ise K</w:t>
      </w:r>
      <w:r w:rsidRPr="001046F9">
        <w:rPr>
          <w:rFonts w:cs="Times New Roman"/>
          <w:noProof/>
          <w:szCs w:val="24"/>
        </w:rPr>
        <w:t xml:space="preserve">, </w:t>
      </w:r>
      <w:r w:rsidRPr="001046F9">
        <w:rPr>
          <w:rFonts w:cs="Times New Roman"/>
          <w:b/>
          <w:bCs/>
          <w:noProof/>
          <w:szCs w:val="24"/>
        </w:rPr>
        <w:t>Suzuki Y</w:t>
      </w:r>
      <w:r w:rsidRPr="001046F9">
        <w:rPr>
          <w:rFonts w:cs="Times New Roman"/>
          <w:noProof/>
          <w:szCs w:val="24"/>
        </w:rPr>
        <w:t xml:space="preserve">, </w:t>
      </w:r>
      <w:r w:rsidRPr="001046F9">
        <w:rPr>
          <w:rFonts w:cs="Times New Roman"/>
          <w:b/>
          <w:bCs/>
          <w:noProof/>
          <w:szCs w:val="24"/>
        </w:rPr>
        <w:t>Dudek N</w:t>
      </w:r>
      <w:r w:rsidRPr="001046F9">
        <w:rPr>
          <w:rFonts w:cs="Times New Roman"/>
          <w:noProof/>
          <w:szCs w:val="24"/>
        </w:rPr>
        <w:t xml:space="preserve">, </w:t>
      </w:r>
      <w:r w:rsidRPr="001046F9">
        <w:rPr>
          <w:rFonts w:cs="Times New Roman"/>
          <w:b/>
          <w:bCs/>
          <w:noProof/>
          <w:szCs w:val="24"/>
        </w:rPr>
        <w:t>Relman DA</w:t>
      </w:r>
      <w:r w:rsidRPr="001046F9">
        <w:rPr>
          <w:rFonts w:cs="Times New Roman"/>
          <w:noProof/>
          <w:szCs w:val="24"/>
        </w:rPr>
        <w:t xml:space="preserve">, </w:t>
      </w:r>
      <w:r w:rsidRPr="001046F9">
        <w:rPr>
          <w:rFonts w:cs="Times New Roman"/>
          <w:b/>
          <w:bCs/>
          <w:noProof/>
          <w:szCs w:val="24"/>
        </w:rPr>
        <w:t>Finstad KM</w:t>
      </w:r>
      <w:r w:rsidRPr="001046F9">
        <w:rPr>
          <w:rFonts w:cs="Times New Roman"/>
          <w:noProof/>
          <w:szCs w:val="24"/>
        </w:rPr>
        <w:t xml:space="preserve">, </w:t>
      </w:r>
      <w:r w:rsidRPr="001046F9">
        <w:rPr>
          <w:rFonts w:cs="Times New Roman"/>
          <w:b/>
          <w:bCs/>
          <w:noProof/>
          <w:szCs w:val="24"/>
        </w:rPr>
        <w:t>Amundson R</w:t>
      </w:r>
      <w:r w:rsidRPr="001046F9">
        <w:rPr>
          <w:rFonts w:cs="Times New Roman"/>
          <w:noProof/>
          <w:szCs w:val="24"/>
        </w:rPr>
        <w:t xml:space="preserve">, </w:t>
      </w:r>
      <w:r w:rsidRPr="001046F9">
        <w:rPr>
          <w:rFonts w:cs="Times New Roman"/>
          <w:b/>
          <w:bCs/>
          <w:noProof/>
          <w:szCs w:val="24"/>
        </w:rPr>
        <w:t>Thomas BC</w:t>
      </w:r>
      <w:r w:rsidRPr="001046F9">
        <w:rPr>
          <w:rFonts w:cs="Times New Roman"/>
          <w:noProof/>
          <w:szCs w:val="24"/>
        </w:rPr>
        <w:t xml:space="preserve">, </w:t>
      </w:r>
      <w:r w:rsidRPr="001046F9">
        <w:rPr>
          <w:rFonts w:cs="Times New Roman"/>
          <w:b/>
          <w:bCs/>
          <w:noProof/>
          <w:szCs w:val="24"/>
        </w:rPr>
        <w:t>Banfield JF</w:t>
      </w:r>
      <w:r w:rsidRPr="001046F9">
        <w:rPr>
          <w:rFonts w:cs="Times New Roman"/>
          <w:noProof/>
          <w:szCs w:val="24"/>
        </w:rPr>
        <w:t xml:space="preserve">. 2016. A new view of the tree of life. Nat Microbiol </w:t>
      </w:r>
      <w:r w:rsidRPr="001046F9">
        <w:rPr>
          <w:rFonts w:cs="Times New Roman"/>
          <w:b/>
          <w:bCs/>
          <w:noProof/>
          <w:szCs w:val="24"/>
        </w:rPr>
        <w:t>1</w:t>
      </w:r>
      <w:r w:rsidRPr="001046F9">
        <w:rPr>
          <w:rFonts w:cs="Times New Roman"/>
          <w:noProof/>
          <w:szCs w:val="24"/>
        </w:rPr>
        <w:t>:1–6.</w:t>
      </w:r>
    </w:p>
    <w:p w14:paraId="1A4BD5AF" w14:textId="75947101"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21. </w:t>
      </w:r>
      <w:r w:rsidRPr="001046F9">
        <w:rPr>
          <w:rFonts w:cs="Times New Roman"/>
          <w:noProof/>
          <w:szCs w:val="24"/>
        </w:rPr>
        <w:tab/>
      </w:r>
      <w:r w:rsidRPr="001046F9">
        <w:rPr>
          <w:rFonts w:cs="Times New Roman"/>
          <w:b/>
          <w:bCs/>
          <w:noProof/>
          <w:szCs w:val="24"/>
        </w:rPr>
        <w:t>Gies EA</w:t>
      </w:r>
      <w:r w:rsidRPr="001046F9">
        <w:rPr>
          <w:rFonts w:cs="Times New Roman"/>
          <w:noProof/>
          <w:szCs w:val="24"/>
        </w:rPr>
        <w:t xml:space="preserve">, </w:t>
      </w:r>
      <w:r w:rsidRPr="001046F9">
        <w:rPr>
          <w:rFonts w:cs="Times New Roman"/>
          <w:b/>
          <w:bCs/>
          <w:noProof/>
          <w:szCs w:val="24"/>
        </w:rPr>
        <w:t>Konwar KM</w:t>
      </w:r>
      <w:r w:rsidRPr="001046F9">
        <w:rPr>
          <w:rFonts w:cs="Times New Roman"/>
          <w:noProof/>
          <w:szCs w:val="24"/>
        </w:rPr>
        <w:t xml:space="preserve">, </w:t>
      </w:r>
      <w:r w:rsidRPr="001046F9">
        <w:rPr>
          <w:rFonts w:cs="Times New Roman"/>
          <w:b/>
          <w:bCs/>
          <w:noProof/>
          <w:szCs w:val="24"/>
        </w:rPr>
        <w:t>Beatty JT</w:t>
      </w:r>
      <w:r w:rsidRPr="001046F9">
        <w:rPr>
          <w:rFonts w:cs="Times New Roman"/>
          <w:noProof/>
          <w:szCs w:val="24"/>
        </w:rPr>
        <w:t xml:space="preserve">, </w:t>
      </w:r>
      <w:r w:rsidRPr="001046F9">
        <w:rPr>
          <w:rFonts w:cs="Times New Roman"/>
          <w:b/>
          <w:bCs/>
          <w:noProof/>
          <w:szCs w:val="24"/>
        </w:rPr>
        <w:t>Hallam SJ</w:t>
      </w:r>
      <w:r w:rsidRPr="001046F9">
        <w:rPr>
          <w:rFonts w:cs="Times New Roman"/>
          <w:noProof/>
          <w:szCs w:val="24"/>
        </w:rPr>
        <w:t xml:space="preserve">. 2014. Illuminating microbial dark matter in meromictic Sakinaw Lake. Appl Environ Microbiol </w:t>
      </w:r>
      <w:r w:rsidRPr="001046F9">
        <w:rPr>
          <w:rFonts w:cs="Times New Roman"/>
          <w:b/>
          <w:bCs/>
          <w:noProof/>
          <w:szCs w:val="24"/>
        </w:rPr>
        <w:t>80</w:t>
      </w:r>
      <w:r w:rsidRPr="001046F9">
        <w:rPr>
          <w:rFonts w:cs="Times New Roman"/>
          <w:noProof/>
          <w:szCs w:val="24"/>
        </w:rPr>
        <w:t>:6807–6818.</w:t>
      </w:r>
    </w:p>
    <w:p w14:paraId="6A516B92" w14:textId="7C9305E8" w:rsidR="001046F9" w:rsidRPr="001046F9" w:rsidRDefault="001046F9" w:rsidP="001046F9">
      <w:pPr>
        <w:widowControl w:val="0"/>
        <w:autoSpaceDE w:val="0"/>
        <w:autoSpaceDN w:val="0"/>
        <w:adjustRightInd w:val="0"/>
        <w:spacing w:after="0" w:line="240" w:lineRule="auto"/>
        <w:ind w:left="640" w:hanging="640"/>
        <w:rPr>
          <w:rFonts w:cs="Times New Roman"/>
          <w:noProof/>
        </w:rPr>
      </w:pPr>
      <w:r w:rsidRPr="001046F9">
        <w:rPr>
          <w:rFonts w:cs="Times New Roman"/>
          <w:noProof/>
          <w:szCs w:val="24"/>
        </w:rPr>
        <w:t xml:space="preserve">22. </w:t>
      </w:r>
      <w:r w:rsidRPr="001046F9">
        <w:rPr>
          <w:rFonts w:cs="Times New Roman"/>
          <w:noProof/>
          <w:szCs w:val="24"/>
        </w:rPr>
        <w:tab/>
      </w:r>
      <w:r w:rsidRPr="001046F9">
        <w:rPr>
          <w:rFonts w:cs="Times New Roman"/>
          <w:b/>
          <w:bCs/>
          <w:noProof/>
          <w:szCs w:val="24"/>
        </w:rPr>
        <w:t>Borrel G</w:t>
      </w:r>
      <w:r w:rsidRPr="001046F9">
        <w:rPr>
          <w:rFonts w:cs="Times New Roman"/>
          <w:noProof/>
          <w:szCs w:val="24"/>
        </w:rPr>
        <w:t xml:space="preserve">, </w:t>
      </w:r>
      <w:r w:rsidRPr="001046F9">
        <w:rPr>
          <w:rFonts w:cs="Times New Roman"/>
          <w:b/>
          <w:bCs/>
          <w:noProof/>
          <w:szCs w:val="24"/>
        </w:rPr>
        <w:t>Lehours AC</w:t>
      </w:r>
      <w:r w:rsidRPr="001046F9">
        <w:rPr>
          <w:rFonts w:cs="Times New Roman"/>
          <w:noProof/>
          <w:szCs w:val="24"/>
        </w:rPr>
        <w:t xml:space="preserve">, </w:t>
      </w:r>
      <w:r w:rsidRPr="001046F9">
        <w:rPr>
          <w:rFonts w:cs="Times New Roman"/>
          <w:b/>
          <w:bCs/>
          <w:noProof/>
          <w:szCs w:val="24"/>
        </w:rPr>
        <w:t>Bardot C</w:t>
      </w:r>
      <w:r w:rsidRPr="001046F9">
        <w:rPr>
          <w:rFonts w:cs="Times New Roman"/>
          <w:noProof/>
          <w:szCs w:val="24"/>
        </w:rPr>
        <w:t xml:space="preserve">, </w:t>
      </w:r>
      <w:r w:rsidRPr="001046F9">
        <w:rPr>
          <w:rFonts w:cs="Times New Roman"/>
          <w:b/>
          <w:bCs/>
          <w:noProof/>
          <w:szCs w:val="24"/>
        </w:rPr>
        <w:t>Bailly X</w:t>
      </w:r>
      <w:r w:rsidRPr="001046F9">
        <w:rPr>
          <w:rFonts w:cs="Times New Roman"/>
          <w:noProof/>
          <w:szCs w:val="24"/>
        </w:rPr>
        <w:t xml:space="preserve">, </w:t>
      </w:r>
      <w:r w:rsidRPr="001046F9">
        <w:rPr>
          <w:rFonts w:cs="Times New Roman"/>
          <w:b/>
          <w:bCs/>
          <w:noProof/>
          <w:szCs w:val="24"/>
        </w:rPr>
        <w:t>Fonty G</w:t>
      </w:r>
      <w:r w:rsidRPr="001046F9">
        <w:rPr>
          <w:rFonts w:cs="Times New Roman"/>
          <w:noProof/>
          <w:szCs w:val="24"/>
        </w:rPr>
        <w:t xml:space="preserve">. 2010. Members of candidate divisions OP11, OD1 and SR1 are widespread along the water column of the meromictic Lake Pavin (France). Arch Microbiol </w:t>
      </w:r>
      <w:r w:rsidRPr="001046F9">
        <w:rPr>
          <w:rFonts w:cs="Times New Roman"/>
          <w:b/>
          <w:bCs/>
          <w:noProof/>
          <w:szCs w:val="24"/>
        </w:rPr>
        <w:t>192</w:t>
      </w:r>
      <w:r w:rsidRPr="001046F9">
        <w:rPr>
          <w:rFonts w:cs="Times New Roman"/>
          <w:noProof/>
          <w:szCs w:val="24"/>
        </w:rPr>
        <w:t>:559–567.</w:t>
      </w:r>
    </w:p>
    <w:p w14:paraId="6197F370" w14:textId="5AF83B73" w:rsidR="005C1E48" w:rsidRDefault="001046F9" w:rsidP="005C1E48">
      <w:pPr>
        <w:spacing w:after="0" w:line="240" w:lineRule="auto"/>
        <w:rPr>
          <w:rFonts w:cs="Times New Roman"/>
        </w:rPr>
      </w:pPr>
      <w:r>
        <w:rPr>
          <w:rFonts w:cs="Times New Roman"/>
        </w:rPr>
        <w:fldChar w:fldCharType="end"/>
      </w:r>
    </w:p>
    <w:p w14:paraId="36442751" w14:textId="48BD2510" w:rsidR="005C1E48" w:rsidRDefault="005C1E48" w:rsidP="005C1E48">
      <w:pPr>
        <w:spacing w:after="0" w:line="240" w:lineRule="auto"/>
        <w:rPr>
          <w:rFonts w:cs="Times New Roman"/>
        </w:rPr>
      </w:pPr>
    </w:p>
    <w:p w14:paraId="52F0BA6A" w14:textId="5209D7F7" w:rsidR="005C1E48" w:rsidRPr="005C1E48" w:rsidRDefault="005C1E48" w:rsidP="005C1E48">
      <w:pPr>
        <w:spacing w:after="0" w:line="240" w:lineRule="auto"/>
        <w:rPr>
          <w:rFonts w:cs="Times New Roman"/>
        </w:rPr>
      </w:pPr>
    </w:p>
    <w:p w14:paraId="75E1FFA0" w14:textId="48EBE6B2" w:rsidR="005C1E48" w:rsidRPr="005C1E48" w:rsidRDefault="00FC6A58" w:rsidP="005C1E48">
      <w:pPr>
        <w:pStyle w:val="Heading1"/>
      </w:pPr>
      <w:r>
        <w:lastRenderedPageBreak/>
        <w:t>Supplemental</w:t>
      </w:r>
    </w:p>
    <w:p w14:paraId="2BB3DE8F" w14:textId="0B23E208" w:rsidR="00FC6A58" w:rsidRDefault="005C1E48" w:rsidP="00152BE5">
      <w:pPr>
        <w:spacing w:after="0" w:line="240" w:lineRule="auto"/>
        <w:rPr>
          <w:rFonts w:cs="Times New Roman"/>
        </w:rPr>
      </w:pPr>
      <w:r w:rsidRPr="00152BE5">
        <w:rPr>
          <w:rFonts w:cs="Times New Roman"/>
          <w:b/>
          <w:noProof/>
        </w:rPr>
        <w:drawing>
          <wp:anchor distT="0" distB="0" distL="114300" distR="114300" simplePos="0" relativeHeight="251661312" behindDoc="1" locked="0" layoutInCell="1" allowOverlap="1" wp14:anchorId="59217828" wp14:editId="33FB8DB9">
            <wp:simplePos x="0" y="0"/>
            <wp:positionH relativeFrom="column">
              <wp:posOffset>-525145</wp:posOffset>
            </wp:positionH>
            <wp:positionV relativeFrom="paragraph">
              <wp:posOffset>1034415</wp:posOffset>
            </wp:positionV>
            <wp:extent cx="7210425" cy="3604895"/>
            <wp:effectExtent l="0" t="0" r="9525" b="0"/>
            <wp:wrapTight wrapText="bothSides">
              <wp:wrapPolygon edited="0">
                <wp:start x="0" y="0"/>
                <wp:lineTo x="0" y="21459"/>
                <wp:lineTo x="21571" y="21459"/>
                <wp:lineTo x="2157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S1.png"/>
                    <pic:cNvPicPr/>
                  </pic:nvPicPr>
                  <pic:blipFill>
                    <a:blip r:embed="rId12">
                      <a:extLst>
                        <a:ext uri="{28A0092B-C50C-407E-A947-70E740481C1C}">
                          <a14:useLocalDpi xmlns:a14="http://schemas.microsoft.com/office/drawing/2010/main" val="0"/>
                        </a:ext>
                      </a:extLst>
                    </a:blip>
                    <a:stretch>
                      <a:fillRect/>
                    </a:stretch>
                  </pic:blipFill>
                  <pic:spPr>
                    <a:xfrm>
                      <a:off x="0" y="0"/>
                      <a:ext cx="7210425" cy="3604895"/>
                    </a:xfrm>
                    <a:prstGeom prst="rect">
                      <a:avLst/>
                    </a:prstGeom>
                  </pic:spPr>
                </pic:pic>
              </a:graphicData>
            </a:graphic>
            <wp14:sizeRelH relativeFrom="margin">
              <wp14:pctWidth>0</wp14:pctWidth>
            </wp14:sizeRelH>
            <wp14:sizeRelV relativeFrom="margin">
              <wp14:pctHeight>0</wp14:pctHeight>
            </wp14:sizeRelV>
          </wp:anchor>
        </w:drawing>
      </w:r>
      <w:r w:rsidR="00FC6A58" w:rsidRPr="00152BE5">
        <w:rPr>
          <w:rFonts w:cs="Times New Roman"/>
          <w:b/>
        </w:rPr>
        <w:t>Figure S1. Phylum rank abundance in entire dataset</w:t>
      </w:r>
      <w:r w:rsidR="00152BE5">
        <w:rPr>
          <w:rFonts w:cs="Times New Roman"/>
          <w:b/>
        </w:rPr>
        <w:t xml:space="preserve">. </w:t>
      </w:r>
      <w:r w:rsidR="00152BE5">
        <w:rPr>
          <w:rFonts w:cs="Times New Roman"/>
        </w:rPr>
        <w:t>When OTUs are grouped by phylum and read abundances summed over the entire dataset, Proteobacteria, Actinobacteria, and Bacteroidetes are the most abundant phyla. Unclassified Bacteria are the fifth largest group. Members of the candidate phyla radiation such as OD1 (Parcubacteria) and OP3 (Omnitrophica) are also well-represented in this dataset.</w:t>
      </w:r>
    </w:p>
    <w:p w14:paraId="22E706AC" w14:textId="78666454" w:rsidR="005C1E48" w:rsidRDefault="005C1E48" w:rsidP="00152BE5">
      <w:pPr>
        <w:spacing w:after="0" w:line="240" w:lineRule="auto"/>
        <w:rPr>
          <w:rFonts w:cs="Times New Roman"/>
        </w:rPr>
      </w:pPr>
    </w:p>
    <w:p w14:paraId="0956D0AA" w14:textId="4BA94EFC" w:rsidR="005C1E48" w:rsidRDefault="005C1E48" w:rsidP="00152BE5">
      <w:pPr>
        <w:spacing w:after="0" w:line="240" w:lineRule="auto"/>
        <w:rPr>
          <w:rFonts w:cs="Times New Roman"/>
        </w:rPr>
      </w:pPr>
    </w:p>
    <w:p w14:paraId="3947F2A3" w14:textId="6A3FED95" w:rsidR="005C1E48" w:rsidRDefault="005C1E48" w:rsidP="00152BE5">
      <w:pPr>
        <w:spacing w:after="0" w:line="240" w:lineRule="auto"/>
        <w:rPr>
          <w:rFonts w:cs="Times New Roman"/>
        </w:rPr>
      </w:pPr>
    </w:p>
    <w:p w14:paraId="318A53DB" w14:textId="54850B9E" w:rsidR="005C1E48" w:rsidRDefault="005C1E48" w:rsidP="00152BE5">
      <w:pPr>
        <w:spacing w:after="0" w:line="240" w:lineRule="auto"/>
        <w:rPr>
          <w:rFonts w:cs="Times New Roman"/>
        </w:rPr>
      </w:pPr>
    </w:p>
    <w:p w14:paraId="0F1B9D8B" w14:textId="292A167F" w:rsidR="005C1E48" w:rsidRDefault="005C1E48" w:rsidP="00152BE5">
      <w:pPr>
        <w:spacing w:after="0" w:line="240" w:lineRule="auto"/>
        <w:rPr>
          <w:rFonts w:cs="Times New Roman"/>
        </w:rPr>
      </w:pPr>
    </w:p>
    <w:p w14:paraId="4EADD3E9" w14:textId="2502C614" w:rsidR="005C1E48" w:rsidRDefault="005C1E48" w:rsidP="00152BE5">
      <w:pPr>
        <w:spacing w:after="0" w:line="240" w:lineRule="auto"/>
        <w:rPr>
          <w:rFonts w:cs="Times New Roman"/>
        </w:rPr>
      </w:pPr>
    </w:p>
    <w:p w14:paraId="7675AB9A" w14:textId="777833D2" w:rsidR="005C1E48" w:rsidRDefault="005C1E48" w:rsidP="00152BE5">
      <w:pPr>
        <w:spacing w:after="0" w:line="240" w:lineRule="auto"/>
        <w:rPr>
          <w:rFonts w:cs="Times New Roman"/>
        </w:rPr>
      </w:pPr>
    </w:p>
    <w:p w14:paraId="5968F4B3" w14:textId="45A87FF8" w:rsidR="005C1E48" w:rsidRDefault="005C1E48" w:rsidP="00152BE5">
      <w:pPr>
        <w:spacing w:after="0" w:line="240" w:lineRule="auto"/>
        <w:rPr>
          <w:rFonts w:cs="Times New Roman"/>
        </w:rPr>
      </w:pPr>
    </w:p>
    <w:p w14:paraId="6C422CB3" w14:textId="2E44CFE4" w:rsidR="005C1E48" w:rsidRDefault="005C1E48" w:rsidP="00152BE5">
      <w:pPr>
        <w:spacing w:after="0" w:line="240" w:lineRule="auto"/>
        <w:rPr>
          <w:rFonts w:cs="Times New Roman"/>
        </w:rPr>
      </w:pPr>
    </w:p>
    <w:p w14:paraId="20E81786" w14:textId="19E9E9AC" w:rsidR="005C1E48" w:rsidRDefault="005C1E48" w:rsidP="00152BE5">
      <w:pPr>
        <w:spacing w:after="0" w:line="240" w:lineRule="auto"/>
        <w:rPr>
          <w:rFonts w:cs="Times New Roman"/>
        </w:rPr>
      </w:pPr>
    </w:p>
    <w:p w14:paraId="3DB63DFB" w14:textId="6860E827" w:rsidR="005C1E48" w:rsidRDefault="005C1E48" w:rsidP="00152BE5">
      <w:pPr>
        <w:spacing w:after="0" w:line="240" w:lineRule="auto"/>
        <w:rPr>
          <w:rFonts w:cs="Times New Roman"/>
        </w:rPr>
      </w:pPr>
    </w:p>
    <w:p w14:paraId="68B71C2C" w14:textId="6F0B123E" w:rsidR="005C1E48" w:rsidRDefault="005C1E48" w:rsidP="00152BE5">
      <w:pPr>
        <w:spacing w:after="0" w:line="240" w:lineRule="auto"/>
        <w:rPr>
          <w:rFonts w:cs="Times New Roman"/>
        </w:rPr>
      </w:pPr>
    </w:p>
    <w:p w14:paraId="16C7D747" w14:textId="7D23BE33" w:rsidR="005C1E48" w:rsidRDefault="005C1E48" w:rsidP="00152BE5">
      <w:pPr>
        <w:spacing w:after="0" w:line="240" w:lineRule="auto"/>
        <w:rPr>
          <w:rFonts w:cs="Times New Roman"/>
        </w:rPr>
      </w:pPr>
    </w:p>
    <w:p w14:paraId="5F44AF73" w14:textId="36FBA327" w:rsidR="005C1E48" w:rsidRDefault="005C1E48" w:rsidP="00152BE5">
      <w:pPr>
        <w:spacing w:after="0" w:line="240" w:lineRule="auto"/>
        <w:rPr>
          <w:rFonts w:cs="Times New Roman"/>
        </w:rPr>
      </w:pPr>
    </w:p>
    <w:p w14:paraId="6EAEDA9E" w14:textId="003BBD27" w:rsidR="005C1E48" w:rsidRDefault="005C1E48" w:rsidP="00152BE5">
      <w:pPr>
        <w:spacing w:after="0" w:line="240" w:lineRule="auto"/>
        <w:rPr>
          <w:rFonts w:cs="Times New Roman"/>
        </w:rPr>
      </w:pPr>
    </w:p>
    <w:p w14:paraId="0ED425F6" w14:textId="1157EF2C" w:rsidR="005C1E48" w:rsidRDefault="005C1E48" w:rsidP="00152BE5">
      <w:pPr>
        <w:spacing w:after="0" w:line="240" w:lineRule="auto"/>
        <w:rPr>
          <w:rFonts w:cs="Times New Roman"/>
        </w:rPr>
      </w:pPr>
    </w:p>
    <w:p w14:paraId="757F1E75" w14:textId="2F3C3065" w:rsidR="005C1E48" w:rsidRDefault="005C1E48" w:rsidP="00152BE5">
      <w:pPr>
        <w:spacing w:after="0" w:line="240" w:lineRule="auto"/>
        <w:rPr>
          <w:rFonts w:cs="Times New Roman"/>
        </w:rPr>
      </w:pPr>
    </w:p>
    <w:p w14:paraId="3319644A" w14:textId="77777777" w:rsidR="005C1E48" w:rsidRPr="00152BE5" w:rsidRDefault="005C1E48" w:rsidP="00152BE5">
      <w:pPr>
        <w:spacing w:after="0" w:line="240" w:lineRule="auto"/>
        <w:rPr>
          <w:rFonts w:cs="Times New Roman"/>
        </w:rPr>
      </w:pPr>
    </w:p>
    <w:p w14:paraId="0C83C791" w14:textId="24B174FD" w:rsidR="005245FD" w:rsidRDefault="005245FD" w:rsidP="005245FD">
      <w:pPr>
        <w:spacing w:after="0" w:line="240" w:lineRule="auto"/>
        <w:rPr>
          <w:rFonts w:cs="Times New Roman"/>
        </w:rPr>
      </w:pPr>
      <w:r w:rsidRPr="002F1C22">
        <w:rPr>
          <w:rFonts w:cs="Times New Roman"/>
          <w:b/>
        </w:rPr>
        <w:lastRenderedPageBreak/>
        <w:t>Table S1. Means and standard deviations in the number of taxa by lake and layer.</w:t>
      </w:r>
      <w:r>
        <w:rPr>
          <w:rFonts w:cs="Times New Roman"/>
          <w:b/>
        </w:rPr>
        <w:t xml:space="preserve"> </w:t>
      </w:r>
      <w:r>
        <w:rPr>
          <w:rFonts w:cs="Times New Roman"/>
        </w:rPr>
        <w:t>In order to better interpret the results of Figure 1, statistics about richness are presented here.</w:t>
      </w:r>
    </w:p>
    <w:p w14:paraId="46E1C38F" w14:textId="77777777" w:rsidR="005C1E48" w:rsidRDefault="005C1E48" w:rsidP="005245FD">
      <w:pPr>
        <w:spacing w:after="0" w:line="240" w:lineRule="auto"/>
        <w:rPr>
          <w:rFonts w:cs="Times New Roman"/>
        </w:rPr>
      </w:pPr>
    </w:p>
    <w:tbl>
      <w:tblPr>
        <w:tblStyle w:val="PlainTable5"/>
        <w:tblW w:w="0" w:type="auto"/>
        <w:tblLayout w:type="fixed"/>
        <w:tblLook w:val="04A0" w:firstRow="1" w:lastRow="0" w:firstColumn="1" w:lastColumn="0" w:noHBand="0" w:noVBand="1"/>
      </w:tblPr>
      <w:tblGrid>
        <w:gridCol w:w="2808"/>
        <w:gridCol w:w="1440"/>
        <w:gridCol w:w="1170"/>
        <w:gridCol w:w="1620"/>
        <w:gridCol w:w="1350"/>
      </w:tblGrid>
      <w:tr w:rsidR="005245FD" w14:paraId="4E8424D1" w14:textId="77777777" w:rsidTr="004961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8" w:type="dxa"/>
          </w:tcPr>
          <w:p w14:paraId="368BC1FE" w14:textId="77777777" w:rsidR="005245FD" w:rsidRDefault="005245FD" w:rsidP="0049618F">
            <w:pPr>
              <w:rPr>
                <w:rFonts w:cs="Times New Roman"/>
              </w:rPr>
            </w:pPr>
          </w:p>
        </w:tc>
        <w:tc>
          <w:tcPr>
            <w:tcW w:w="1440" w:type="dxa"/>
          </w:tcPr>
          <w:p w14:paraId="2A9E0F95" w14:textId="77777777" w:rsidR="005245FD" w:rsidRPr="002F1C22" w:rsidRDefault="005245FD" w:rsidP="0049618F">
            <w:pPr>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Epilimnion</w:t>
            </w:r>
          </w:p>
          <w:p w14:paraId="0CC88699" w14:textId="77777777" w:rsidR="005245FD" w:rsidRDefault="005245FD" w:rsidP="0049618F">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170" w:type="dxa"/>
          </w:tcPr>
          <w:p w14:paraId="03E0494B" w14:textId="77777777" w:rsidR="005245FD" w:rsidRDefault="005245FD" w:rsidP="0049618F">
            <w:pPr>
              <w:cnfStyle w:val="100000000000" w:firstRow="1" w:lastRow="0" w:firstColumn="0" w:lastColumn="0" w:oddVBand="0" w:evenVBand="0" w:oddHBand="0" w:evenHBand="0" w:firstRowFirstColumn="0" w:firstRowLastColumn="0" w:lastRowFirstColumn="0" w:lastRowLastColumn="0"/>
              <w:rPr>
                <w:rFonts w:cs="Times New Roman"/>
              </w:rPr>
            </w:pPr>
          </w:p>
          <w:p w14:paraId="4E686E14" w14:textId="77777777" w:rsidR="005245FD" w:rsidRDefault="005245FD" w:rsidP="0049618F">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c>
          <w:tcPr>
            <w:tcW w:w="1620" w:type="dxa"/>
          </w:tcPr>
          <w:p w14:paraId="1753D913" w14:textId="77777777" w:rsidR="005245FD" w:rsidRPr="002F1C22" w:rsidRDefault="005245FD" w:rsidP="0049618F">
            <w:pPr>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Hypolimnion</w:t>
            </w:r>
          </w:p>
          <w:p w14:paraId="06BB5F49" w14:textId="77777777" w:rsidR="005245FD" w:rsidRDefault="005245FD" w:rsidP="0049618F">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350" w:type="dxa"/>
          </w:tcPr>
          <w:p w14:paraId="5D431B88" w14:textId="77777777" w:rsidR="005245FD" w:rsidRDefault="005245FD" w:rsidP="0049618F">
            <w:pPr>
              <w:cnfStyle w:val="100000000000" w:firstRow="1" w:lastRow="0" w:firstColumn="0" w:lastColumn="0" w:oddVBand="0" w:evenVBand="0" w:oddHBand="0" w:evenHBand="0" w:firstRowFirstColumn="0" w:firstRowLastColumn="0" w:lastRowFirstColumn="0" w:lastRowLastColumn="0"/>
              <w:rPr>
                <w:rFonts w:cs="Times New Roman"/>
              </w:rPr>
            </w:pPr>
          </w:p>
          <w:p w14:paraId="72840A18" w14:textId="77777777" w:rsidR="005245FD" w:rsidRDefault="005245FD" w:rsidP="0049618F">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r>
      <w:tr w:rsidR="005245FD" w14:paraId="1E4F2A1E" w14:textId="77777777" w:rsidTr="00496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E85478F" w14:textId="77777777" w:rsidR="005245FD" w:rsidRDefault="005245FD" w:rsidP="0049618F">
            <w:pPr>
              <w:rPr>
                <w:rFonts w:cs="Times New Roman"/>
              </w:rPr>
            </w:pPr>
            <w:r>
              <w:rPr>
                <w:rFonts w:cs="Times New Roman"/>
              </w:rPr>
              <w:t>Crystal Bog (CB)</w:t>
            </w:r>
          </w:p>
        </w:tc>
        <w:tc>
          <w:tcPr>
            <w:tcW w:w="1440" w:type="dxa"/>
            <w:tcBorders>
              <w:top w:val="single" w:sz="4" w:space="0" w:color="7F7F7F" w:themeColor="text1" w:themeTint="80"/>
              <w:right w:val="single" w:sz="4" w:space="0" w:color="auto"/>
            </w:tcBorders>
          </w:tcPr>
          <w:p w14:paraId="1A17066D"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129</w:t>
            </w:r>
          </w:p>
        </w:tc>
        <w:tc>
          <w:tcPr>
            <w:tcW w:w="1170" w:type="dxa"/>
            <w:tcBorders>
              <w:top w:val="single" w:sz="4" w:space="0" w:color="7F7F7F" w:themeColor="text1" w:themeTint="80"/>
              <w:left w:val="single" w:sz="4" w:space="0" w:color="auto"/>
              <w:right w:val="single" w:sz="4" w:space="0" w:color="auto"/>
            </w:tcBorders>
          </w:tcPr>
          <w:p w14:paraId="005E5666"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28</w:t>
            </w:r>
          </w:p>
        </w:tc>
        <w:tc>
          <w:tcPr>
            <w:tcW w:w="1620" w:type="dxa"/>
            <w:tcBorders>
              <w:top w:val="single" w:sz="4" w:space="0" w:color="7F7F7F" w:themeColor="text1" w:themeTint="80"/>
              <w:left w:val="single" w:sz="4" w:space="0" w:color="auto"/>
              <w:right w:val="single" w:sz="4" w:space="0" w:color="auto"/>
            </w:tcBorders>
          </w:tcPr>
          <w:p w14:paraId="3E252F84"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350" w:type="dxa"/>
            <w:tcBorders>
              <w:top w:val="single" w:sz="4" w:space="0" w:color="7F7F7F" w:themeColor="text1" w:themeTint="80"/>
              <w:left w:val="single" w:sz="4" w:space="0" w:color="auto"/>
              <w:right w:val="single" w:sz="4" w:space="0" w:color="auto"/>
            </w:tcBorders>
          </w:tcPr>
          <w:p w14:paraId="339CB817"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31</w:t>
            </w:r>
          </w:p>
        </w:tc>
      </w:tr>
      <w:tr w:rsidR="005245FD" w14:paraId="105D3D13" w14:textId="77777777" w:rsidTr="0049618F">
        <w:tc>
          <w:tcPr>
            <w:cnfStyle w:val="001000000000" w:firstRow="0" w:lastRow="0" w:firstColumn="1" w:lastColumn="0" w:oddVBand="0" w:evenVBand="0" w:oddHBand="0" w:evenHBand="0" w:firstRowFirstColumn="0" w:firstRowLastColumn="0" w:lastRowFirstColumn="0" w:lastRowLastColumn="0"/>
            <w:tcW w:w="2808" w:type="dxa"/>
          </w:tcPr>
          <w:p w14:paraId="5E0F799E" w14:textId="77777777" w:rsidR="005245FD" w:rsidRDefault="005245FD" w:rsidP="0049618F">
            <w:pPr>
              <w:rPr>
                <w:rFonts w:cs="Times New Roman"/>
              </w:rPr>
            </w:pPr>
            <w:r>
              <w:rPr>
                <w:rFonts w:cs="Times New Roman"/>
              </w:rPr>
              <w:t>Forestry Bog (FB)</w:t>
            </w:r>
          </w:p>
        </w:tc>
        <w:tc>
          <w:tcPr>
            <w:tcW w:w="1440" w:type="dxa"/>
            <w:tcBorders>
              <w:right w:val="single" w:sz="4" w:space="0" w:color="auto"/>
            </w:tcBorders>
          </w:tcPr>
          <w:p w14:paraId="12B98F7F"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109</w:t>
            </w:r>
          </w:p>
        </w:tc>
        <w:tc>
          <w:tcPr>
            <w:tcW w:w="1170" w:type="dxa"/>
            <w:tcBorders>
              <w:left w:val="single" w:sz="4" w:space="0" w:color="auto"/>
              <w:right w:val="single" w:sz="4" w:space="0" w:color="auto"/>
            </w:tcBorders>
          </w:tcPr>
          <w:p w14:paraId="73C2C098"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32</w:t>
            </w:r>
          </w:p>
        </w:tc>
        <w:tc>
          <w:tcPr>
            <w:tcW w:w="1620" w:type="dxa"/>
            <w:tcBorders>
              <w:left w:val="single" w:sz="4" w:space="0" w:color="auto"/>
              <w:right w:val="single" w:sz="4" w:space="0" w:color="auto"/>
            </w:tcBorders>
          </w:tcPr>
          <w:p w14:paraId="11636FAC"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145</w:t>
            </w:r>
          </w:p>
        </w:tc>
        <w:tc>
          <w:tcPr>
            <w:tcW w:w="1350" w:type="dxa"/>
            <w:tcBorders>
              <w:left w:val="single" w:sz="4" w:space="0" w:color="auto"/>
              <w:right w:val="single" w:sz="4" w:space="0" w:color="auto"/>
            </w:tcBorders>
          </w:tcPr>
          <w:p w14:paraId="2EBFD50E"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r>
      <w:tr w:rsidR="005245FD" w14:paraId="59D2250A" w14:textId="77777777" w:rsidTr="00496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3FCC436" w14:textId="77777777" w:rsidR="005245FD" w:rsidRDefault="005245FD" w:rsidP="0049618F">
            <w:pPr>
              <w:rPr>
                <w:rFonts w:cs="Times New Roman"/>
              </w:rPr>
            </w:pPr>
            <w:r>
              <w:rPr>
                <w:rFonts w:cs="Times New Roman"/>
              </w:rPr>
              <w:t>West Sparkling Bog (WS)</w:t>
            </w:r>
          </w:p>
        </w:tc>
        <w:tc>
          <w:tcPr>
            <w:tcW w:w="1440" w:type="dxa"/>
            <w:tcBorders>
              <w:right w:val="single" w:sz="4" w:space="0" w:color="auto"/>
            </w:tcBorders>
          </w:tcPr>
          <w:p w14:paraId="7300424D"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150</w:t>
            </w:r>
          </w:p>
        </w:tc>
        <w:tc>
          <w:tcPr>
            <w:tcW w:w="1170" w:type="dxa"/>
            <w:tcBorders>
              <w:left w:val="single" w:sz="4" w:space="0" w:color="auto"/>
              <w:right w:val="single" w:sz="4" w:space="0" w:color="auto"/>
            </w:tcBorders>
          </w:tcPr>
          <w:p w14:paraId="6BFC7962"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45</w:t>
            </w:r>
          </w:p>
        </w:tc>
        <w:tc>
          <w:tcPr>
            <w:tcW w:w="1620" w:type="dxa"/>
            <w:tcBorders>
              <w:left w:val="single" w:sz="4" w:space="0" w:color="auto"/>
              <w:right w:val="single" w:sz="4" w:space="0" w:color="auto"/>
            </w:tcBorders>
          </w:tcPr>
          <w:p w14:paraId="4FC996B7"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182</w:t>
            </w:r>
          </w:p>
        </w:tc>
        <w:tc>
          <w:tcPr>
            <w:tcW w:w="1350" w:type="dxa"/>
            <w:tcBorders>
              <w:left w:val="single" w:sz="4" w:space="0" w:color="auto"/>
              <w:right w:val="single" w:sz="4" w:space="0" w:color="auto"/>
            </w:tcBorders>
          </w:tcPr>
          <w:p w14:paraId="03A7DCE6"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56</w:t>
            </w:r>
          </w:p>
        </w:tc>
      </w:tr>
      <w:tr w:rsidR="005245FD" w14:paraId="6363E4BA" w14:textId="77777777" w:rsidTr="0049618F">
        <w:tc>
          <w:tcPr>
            <w:cnfStyle w:val="001000000000" w:firstRow="0" w:lastRow="0" w:firstColumn="1" w:lastColumn="0" w:oddVBand="0" w:evenVBand="0" w:oddHBand="0" w:evenHBand="0" w:firstRowFirstColumn="0" w:firstRowLastColumn="0" w:lastRowFirstColumn="0" w:lastRowLastColumn="0"/>
            <w:tcW w:w="2808" w:type="dxa"/>
          </w:tcPr>
          <w:p w14:paraId="6DE3E764" w14:textId="77777777" w:rsidR="005245FD" w:rsidRDefault="005245FD" w:rsidP="0049618F">
            <w:pPr>
              <w:rPr>
                <w:rFonts w:cs="Times New Roman"/>
              </w:rPr>
            </w:pPr>
            <w:r>
              <w:rPr>
                <w:rFonts w:cs="Times New Roman"/>
              </w:rPr>
              <w:t>North Sparkling Bog (NS</w:t>
            </w:r>
          </w:p>
        </w:tc>
        <w:tc>
          <w:tcPr>
            <w:tcW w:w="1440" w:type="dxa"/>
            <w:tcBorders>
              <w:right w:val="single" w:sz="4" w:space="0" w:color="auto"/>
            </w:tcBorders>
          </w:tcPr>
          <w:p w14:paraId="5B30E3B5"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143</w:t>
            </w:r>
          </w:p>
        </w:tc>
        <w:tc>
          <w:tcPr>
            <w:tcW w:w="1170" w:type="dxa"/>
            <w:tcBorders>
              <w:left w:val="single" w:sz="4" w:space="0" w:color="auto"/>
              <w:right w:val="single" w:sz="4" w:space="0" w:color="auto"/>
            </w:tcBorders>
          </w:tcPr>
          <w:p w14:paraId="7D9C84AC"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33</w:t>
            </w:r>
          </w:p>
        </w:tc>
        <w:tc>
          <w:tcPr>
            <w:tcW w:w="1620" w:type="dxa"/>
            <w:tcBorders>
              <w:left w:val="single" w:sz="4" w:space="0" w:color="auto"/>
              <w:right w:val="single" w:sz="4" w:space="0" w:color="auto"/>
            </w:tcBorders>
          </w:tcPr>
          <w:p w14:paraId="789AA63A"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178</w:t>
            </w:r>
          </w:p>
        </w:tc>
        <w:tc>
          <w:tcPr>
            <w:tcW w:w="1350" w:type="dxa"/>
            <w:tcBorders>
              <w:left w:val="single" w:sz="4" w:space="0" w:color="auto"/>
              <w:right w:val="single" w:sz="4" w:space="0" w:color="auto"/>
            </w:tcBorders>
          </w:tcPr>
          <w:p w14:paraId="5FE80710"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40</w:t>
            </w:r>
          </w:p>
        </w:tc>
      </w:tr>
      <w:tr w:rsidR="005245FD" w14:paraId="2231B84F" w14:textId="77777777" w:rsidTr="00496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0A4A8D57" w14:textId="77777777" w:rsidR="005245FD" w:rsidRDefault="005245FD" w:rsidP="0049618F">
            <w:pPr>
              <w:rPr>
                <w:rFonts w:cs="Times New Roman"/>
              </w:rPr>
            </w:pPr>
            <w:r>
              <w:rPr>
                <w:rFonts w:cs="Times New Roman"/>
              </w:rPr>
              <w:t>Trout Bog (TB)</w:t>
            </w:r>
          </w:p>
        </w:tc>
        <w:tc>
          <w:tcPr>
            <w:tcW w:w="1440" w:type="dxa"/>
            <w:tcBorders>
              <w:right w:val="single" w:sz="4" w:space="0" w:color="auto"/>
            </w:tcBorders>
          </w:tcPr>
          <w:p w14:paraId="691CE6F2"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170" w:type="dxa"/>
            <w:tcBorders>
              <w:left w:val="single" w:sz="4" w:space="0" w:color="auto"/>
              <w:right w:val="single" w:sz="4" w:space="0" w:color="auto"/>
            </w:tcBorders>
          </w:tcPr>
          <w:p w14:paraId="14D4AF6D"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c>
          <w:tcPr>
            <w:tcW w:w="1620" w:type="dxa"/>
            <w:tcBorders>
              <w:left w:val="single" w:sz="4" w:space="0" w:color="auto"/>
              <w:right w:val="single" w:sz="4" w:space="0" w:color="auto"/>
            </w:tcBorders>
          </w:tcPr>
          <w:p w14:paraId="3E5AB673"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186</w:t>
            </w:r>
          </w:p>
        </w:tc>
        <w:tc>
          <w:tcPr>
            <w:tcW w:w="1350" w:type="dxa"/>
            <w:tcBorders>
              <w:left w:val="single" w:sz="4" w:space="0" w:color="auto"/>
              <w:right w:val="single" w:sz="4" w:space="0" w:color="auto"/>
            </w:tcBorders>
          </w:tcPr>
          <w:p w14:paraId="3916290D"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r>
      <w:tr w:rsidR="005245FD" w14:paraId="049AC0FF" w14:textId="77777777" w:rsidTr="0049618F">
        <w:tc>
          <w:tcPr>
            <w:cnfStyle w:val="001000000000" w:firstRow="0" w:lastRow="0" w:firstColumn="1" w:lastColumn="0" w:oddVBand="0" w:evenVBand="0" w:oddHBand="0" w:evenHBand="0" w:firstRowFirstColumn="0" w:firstRowLastColumn="0" w:lastRowFirstColumn="0" w:lastRowLastColumn="0"/>
            <w:tcW w:w="2808" w:type="dxa"/>
          </w:tcPr>
          <w:p w14:paraId="68786758" w14:textId="77777777" w:rsidR="005245FD" w:rsidRDefault="005245FD" w:rsidP="0049618F">
            <w:pPr>
              <w:rPr>
                <w:rFonts w:cs="Times New Roman"/>
              </w:rPr>
            </w:pPr>
            <w:r>
              <w:rPr>
                <w:rFonts w:cs="Times New Roman"/>
              </w:rPr>
              <w:t>South Sparkling Bog (SS)</w:t>
            </w:r>
          </w:p>
        </w:tc>
        <w:tc>
          <w:tcPr>
            <w:tcW w:w="1440" w:type="dxa"/>
            <w:tcBorders>
              <w:right w:val="single" w:sz="4" w:space="0" w:color="auto"/>
            </w:tcBorders>
          </w:tcPr>
          <w:p w14:paraId="6E218118"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170" w:type="dxa"/>
            <w:tcBorders>
              <w:left w:val="single" w:sz="4" w:space="0" w:color="auto"/>
              <w:right w:val="single" w:sz="4" w:space="0" w:color="auto"/>
            </w:tcBorders>
          </w:tcPr>
          <w:p w14:paraId="166265AA"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c>
          <w:tcPr>
            <w:tcW w:w="1620" w:type="dxa"/>
            <w:tcBorders>
              <w:left w:val="single" w:sz="4" w:space="0" w:color="auto"/>
              <w:right w:val="single" w:sz="4" w:space="0" w:color="auto"/>
            </w:tcBorders>
          </w:tcPr>
          <w:p w14:paraId="57E2EC9E"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350" w:type="dxa"/>
            <w:tcBorders>
              <w:left w:val="single" w:sz="4" w:space="0" w:color="auto"/>
              <w:right w:val="single" w:sz="4" w:space="0" w:color="auto"/>
            </w:tcBorders>
          </w:tcPr>
          <w:p w14:paraId="379C5CA4"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54</w:t>
            </w:r>
          </w:p>
        </w:tc>
      </w:tr>
      <w:tr w:rsidR="005245FD" w14:paraId="6BC66136" w14:textId="77777777" w:rsidTr="00496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FEA99B4" w14:textId="77777777" w:rsidR="005245FD" w:rsidRDefault="005245FD" w:rsidP="0049618F">
            <w:pPr>
              <w:rPr>
                <w:rFonts w:cs="Times New Roman"/>
              </w:rPr>
            </w:pPr>
            <w:r>
              <w:rPr>
                <w:rFonts w:cs="Times New Roman"/>
              </w:rPr>
              <w:t>Hell’s Kitchen (HK)</w:t>
            </w:r>
          </w:p>
        </w:tc>
        <w:tc>
          <w:tcPr>
            <w:tcW w:w="1440" w:type="dxa"/>
            <w:tcBorders>
              <w:right w:val="single" w:sz="4" w:space="0" w:color="auto"/>
            </w:tcBorders>
          </w:tcPr>
          <w:p w14:paraId="26176888"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199</w:t>
            </w:r>
          </w:p>
        </w:tc>
        <w:tc>
          <w:tcPr>
            <w:tcW w:w="1170" w:type="dxa"/>
            <w:tcBorders>
              <w:left w:val="single" w:sz="4" w:space="0" w:color="auto"/>
              <w:right w:val="single" w:sz="4" w:space="0" w:color="auto"/>
            </w:tcBorders>
          </w:tcPr>
          <w:p w14:paraId="6B11F096"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right w:val="single" w:sz="4" w:space="0" w:color="auto"/>
            </w:tcBorders>
          </w:tcPr>
          <w:p w14:paraId="2A4799C3"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397</w:t>
            </w:r>
          </w:p>
        </w:tc>
        <w:tc>
          <w:tcPr>
            <w:tcW w:w="1350" w:type="dxa"/>
            <w:tcBorders>
              <w:left w:val="single" w:sz="4" w:space="0" w:color="auto"/>
              <w:right w:val="single" w:sz="4" w:space="0" w:color="auto"/>
            </w:tcBorders>
          </w:tcPr>
          <w:p w14:paraId="17E29DA4"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124</w:t>
            </w:r>
          </w:p>
        </w:tc>
      </w:tr>
      <w:tr w:rsidR="005245FD" w14:paraId="36256CA6" w14:textId="77777777" w:rsidTr="0049618F">
        <w:tc>
          <w:tcPr>
            <w:cnfStyle w:val="001000000000" w:firstRow="0" w:lastRow="0" w:firstColumn="1" w:lastColumn="0" w:oddVBand="0" w:evenVBand="0" w:oddHBand="0" w:evenHBand="0" w:firstRowFirstColumn="0" w:firstRowLastColumn="0" w:lastRowFirstColumn="0" w:lastRowLastColumn="0"/>
            <w:tcW w:w="2808" w:type="dxa"/>
          </w:tcPr>
          <w:p w14:paraId="348C3D25" w14:textId="77777777" w:rsidR="005245FD" w:rsidRDefault="005245FD" w:rsidP="0049618F">
            <w:pPr>
              <w:rPr>
                <w:rFonts w:cs="Times New Roman"/>
              </w:rPr>
            </w:pPr>
            <w:r>
              <w:rPr>
                <w:rFonts w:cs="Times New Roman"/>
              </w:rPr>
              <w:t>Mary Lake (MA)</w:t>
            </w:r>
          </w:p>
        </w:tc>
        <w:tc>
          <w:tcPr>
            <w:tcW w:w="1440" w:type="dxa"/>
            <w:tcBorders>
              <w:bottom w:val="single" w:sz="4" w:space="0" w:color="auto"/>
              <w:right w:val="single" w:sz="4" w:space="0" w:color="auto"/>
            </w:tcBorders>
          </w:tcPr>
          <w:p w14:paraId="031276E8"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259</w:t>
            </w:r>
          </w:p>
        </w:tc>
        <w:tc>
          <w:tcPr>
            <w:tcW w:w="1170" w:type="dxa"/>
            <w:tcBorders>
              <w:left w:val="single" w:sz="4" w:space="0" w:color="auto"/>
              <w:bottom w:val="single" w:sz="4" w:space="0" w:color="auto"/>
              <w:right w:val="single" w:sz="4" w:space="0" w:color="auto"/>
            </w:tcBorders>
          </w:tcPr>
          <w:p w14:paraId="76685A2D"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bottom w:val="single" w:sz="4" w:space="0" w:color="auto"/>
              <w:right w:val="single" w:sz="4" w:space="0" w:color="auto"/>
            </w:tcBorders>
          </w:tcPr>
          <w:p w14:paraId="1C585D86"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477</w:t>
            </w:r>
          </w:p>
        </w:tc>
        <w:tc>
          <w:tcPr>
            <w:tcW w:w="1350" w:type="dxa"/>
            <w:tcBorders>
              <w:left w:val="single" w:sz="4" w:space="0" w:color="auto"/>
              <w:bottom w:val="single" w:sz="4" w:space="0" w:color="auto"/>
              <w:right w:val="single" w:sz="4" w:space="0" w:color="auto"/>
            </w:tcBorders>
          </w:tcPr>
          <w:p w14:paraId="05089AC0"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110</w:t>
            </w:r>
          </w:p>
        </w:tc>
      </w:tr>
    </w:tbl>
    <w:p w14:paraId="4EE17DC4" w14:textId="700633ED" w:rsidR="00B51DBA" w:rsidRDefault="00B51DBA" w:rsidP="0098316F">
      <w:pPr>
        <w:spacing w:after="0" w:line="480" w:lineRule="auto"/>
        <w:rPr>
          <w:rFonts w:cs="Times New Roman"/>
        </w:rPr>
      </w:pPr>
    </w:p>
    <w:p w14:paraId="00475F67" w14:textId="77777777" w:rsidR="005C1E48" w:rsidRDefault="005C1E48" w:rsidP="005245FD">
      <w:pPr>
        <w:spacing w:after="0" w:line="240" w:lineRule="auto"/>
        <w:rPr>
          <w:rFonts w:cs="Times New Roman"/>
          <w:b/>
        </w:rPr>
      </w:pPr>
    </w:p>
    <w:p w14:paraId="01A5A439" w14:textId="77777777" w:rsidR="005C1E48" w:rsidRDefault="005C1E48" w:rsidP="005245FD">
      <w:pPr>
        <w:spacing w:after="0" w:line="240" w:lineRule="auto"/>
        <w:rPr>
          <w:rFonts w:cs="Times New Roman"/>
          <w:b/>
        </w:rPr>
      </w:pPr>
    </w:p>
    <w:p w14:paraId="0E917E83" w14:textId="07FBA8D0" w:rsidR="005245FD" w:rsidRPr="005C1E48" w:rsidRDefault="005245FD" w:rsidP="005245FD">
      <w:pPr>
        <w:spacing w:after="0" w:line="240" w:lineRule="auto"/>
        <w:rPr>
          <w:rFonts w:cs="Times New Roman"/>
        </w:rPr>
      </w:pPr>
      <w:r w:rsidRPr="001D40CD">
        <w:rPr>
          <w:rFonts w:cs="Times New Roman"/>
          <w:b/>
        </w:rPr>
        <w:t>Figure S</w:t>
      </w:r>
      <w:r>
        <w:rPr>
          <w:rFonts w:cs="Times New Roman"/>
          <w:b/>
        </w:rPr>
        <w:t>2</w:t>
      </w:r>
      <w:r w:rsidRPr="001D40CD">
        <w:rPr>
          <w:rFonts w:cs="Times New Roman"/>
          <w:b/>
        </w:rPr>
        <w:t xml:space="preserve">. PCoA of all data points with a layer designation. </w:t>
      </w:r>
      <w:r w:rsidR="005C1E48">
        <w:rPr>
          <w:rFonts w:cs="Times New Roman"/>
        </w:rPr>
        <w:t>As an overview of dataset, an ordination was performed on all datapoints with a layer designation using UniFrac distance and principle coordinates analysis. Samples cluster by lake, layer, and mixing regime. Polymictic epilimnia and hypolimnia samples are found together. Dimictic hypolimnia samples are distinct from dimictic epiliminia samples, but still overlap in the ordination. Meromictic hypolimnia cluster separately from the rest of the dataset.</w:t>
      </w:r>
    </w:p>
    <w:p w14:paraId="7EAF2002" w14:textId="77777777" w:rsidR="005245FD" w:rsidRDefault="005245FD" w:rsidP="005245FD">
      <w:pPr>
        <w:spacing w:after="0" w:line="240" w:lineRule="auto"/>
        <w:rPr>
          <w:rFonts w:cs="Times New Roman"/>
        </w:rPr>
      </w:pPr>
    </w:p>
    <w:p w14:paraId="1F6BE450" w14:textId="77777777" w:rsidR="005245FD" w:rsidRDefault="005245FD" w:rsidP="005245FD">
      <w:pPr>
        <w:spacing w:after="0" w:line="480" w:lineRule="auto"/>
        <w:rPr>
          <w:rFonts w:cs="Times New Roman"/>
        </w:rPr>
      </w:pPr>
      <w:r>
        <w:rPr>
          <w:rFonts w:cs="Times New Roman"/>
          <w:noProof/>
        </w:rPr>
        <w:drawing>
          <wp:inline distT="0" distB="0" distL="0" distR="0" wp14:anchorId="0922A702" wp14:editId="116DB851">
            <wp:extent cx="6524625" cy="2609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_bigpcoa.png"/>
                    <pic:cNvPicPr/>
                  </pic:nvPicPr>
                  <pic:blipFill>
                    <a:blip r:embed="rId13"/>
                    <a:stretch>
                      <a:fillRect/>
                    </a:stretch>
                  </pic:blipFill>
                  <pic:spPr>
                    <a:xfrm>
                      <a:off x="0" y="0"/>
                      <a:ext cx="6528318" cy="2611327"/>
                    </a:xfrm>
                    <a:prstGeom prst="rect">
                      <a:avLst/>
                    </a:prstGeom>
                  </pic:spPr>
                </pic:pic>
              </a:graphicData>
            </a:graphic>
          </wp:inline>
        </w:drawing>
      </w:r>
    </w:p>
    <w:p w14:paraId="6FAB9FFA" w14:textId="4EF57B73" w:rsidR="005245FD" w:rsidRDefault="005245FD" w:rsidP="0098316F">
      <w:pPr>
        <w:spacing w:after="0" w:line="480" w:lineRule="auto"/>
        <w:rPr>
          <w:rFonts w:cs="Times New Roman"/>
        </w:rPr>
      </w:pPr>
    </w:p>
    <w:p w14:paraId="3A8DBD20" w14:textId="3DCDEF03" w:rsidR="005245FD" w:rsidRDefault="005245FD" w:rsidP="0098316F">
      <w:pPr>
        <w:spacing w:after="0" w:line="480" w:lineRule="auto"/>
        <w:rPr>
          <w:rFonts w:cs="Times New Roman"/>
        </w:rPr>
      </w:pPr>
    </w:p>
    <w:p w14:paraId="20571AE9" w14:textId="78CCEB11" w:rsidR="005245FD" w:rsidRDefault="005245FD" w:rsidP="0098316F">
      <w:pPr>
        <w:spacing w:after="0" w:line="480" w:lineRule="auto"/>
        <w:rPr>
          <w:rFonts w:cs="Times New Roman"/>
        </w:rPr>
      </w:pPr>
    </w:p>
    <w:p w14:paraId="4A3D7A06" w14:textId="14BC4E92" w:rsidR="005245FD" w:rsidRDefault="005245FD" w:rsidP="005245FD">
      <w:pPr>
        <w:spacing w:after="0" w:line="240" w:lineRule="auto"/>
        <w:rPr>
          <w:rFonts w:cs="Times New Roman"/>
        </w:rPr>
      </w:pPr>
      <w:r w:rsidRPr="00C66B3F">
        <w:rPr>
          <w:rFonts w:cs="Times New Roman"/>
          <w:b/>
        </w:rPr>
        <w:lastRenderedPageBreak/>
        <w:t>Figure S</w:t>
      </w:r>
      <w:r>
        <w:rPr>
          <w:rFonts w:cs="Times New Roman"/>
          <w:b/>
        </w:rPr>
        <w:t>3</w:t>
      </w:r>
      <w:r w:rsidRPr="00C66B3F">
        <w:rPr>
          <w:rFonts w:cs="Times New Roman"/>
          <w:b/>
        </w:rPr>
        <w:t>. Layers cluster within lakes</w:t>
      </w:r>
      <w:r>
        <w:rPr>
          <w:rFonts w:cs="Times New Roman"/>
        </w:rPr>
        <w:t>. All clustering by layer is significant at p &lt; 0.005 except Forestry Bog, where p = 0.101. Given that it is polymictic, shallow, and only includes one year of sampling, this is not surprising. Clustering is especially prominent in the meromictic lakes.</w:t>
      </w:r>
    </w:p>
    <w:p w14:paraId="2B8933C2" w14:textId="1293B18A" w:rsidR="0021185D" w:rsidRDefault="0021185D" w:rsidP="005245FD">
      <w:pPr>
        <w:spacing w:after="0" w:line="240" w:lineRule="auto"/>
        <w:rPr>
          <w:rFonts w:cs="Times New Roman"/>
        </w:rPr>
      </w:pPr>
    </w:p>
    <w:p w14:paraId="337F21E8" w14:textId="171EFDED" w:rsidR="005245FD" w:rsidRDefault="005C1E48" w:rsidP="005245FD">
      <w:pPr>
        <w:spacing w:after="0" w:line="480" w:lineRule="auto"/>
        <w:rPr>
          <w:rFonts w:cs="Times New Roman"/>
        </w:rPr>
      </w:pPr>
      <w:r>
        <w:rPr>
          <w:rFonts w:cs="Times New Roman"/>
          <w:noProof/>
        </w:rPr>
        <w:drawing>
          <wp:anchor distT="0" distB="0" distL="114300" distR="114300" simplePos="0" relativeHeight="251670528" behindDoc="1" locked="0" layoutInCell="1" allowOverlap="1" wp14:anchorId="40D91F51" wp14:editId="7D382BE8">
            <wp:simplePos x="0" y="0"/>
            <wp:positionH relativeFrom="margin">
              <wp:posOffset>-371475</wp:posOffset>
            </wp:positionH>
            <wp:positionV relativeFrom="paragraph">
              <wp:posOffset>217170</wp:posOffset>
            </wp:positionV>
            <wp:extent cx="7037070" cy="4688840"/>
            <wp:effectExtent l="0" t="0" r="0" b="0"/>
            <wp:wrapTight wrapText="bothSides">
              <wp:wrapPolygon edited="0">
                <wp:start x="0" y="0"/>
                <wp:lineTo x="0" y="21501"/>
                <wp:lineTo x="21518" y="21501"/>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S3.png"/>
                    <pic:cNvPicPr/>
                  </pic:nvPicPr>
                  <pic:blipFill>
                    <a:blip r:embed="rId14"/>
                    <a:stretch>
                      <a:fillRect/>
                    </a:stretch>
                  </pic:blipFill>
                  <pic:spPr>
                    <a:xfrm>
                      <a:off x="0" y="0"/>
                      <a:ext cx="7037070" cy="4688840"/>
                    </a:xfrm>
                    <a:prstGeom prst="rect">
                      <a:avLst/>
                    </a:prstGeom>
                  </pic:spPr>
                </pic:pic>
              </a:graphicData>
            </a:graphic>
            <wp14:sizeRelH relativeFrom="margin">
              <wp14:pctWidth>0</wp14:pctWidth>
            </wp14:sizeRelH>
            <wp14:sizeRelV relativeFrom="margin">
              <wp14:pctHeight>0</wp14:pctHeight>
            </wp14:sizeRelV>
          </wp:anchor>
        </w:drawing>
      </w:r>
    </w:p>
    <w:p w14:paraId="2F448013" w14:textId="77777777" w:rsidR="005245FD" w:rsidRDefault="005245FD" w:rsidP="005245FD">
      <w:pPr>
        <w:spacing w:after="0" w:line="480" w:lineRule="auto"/>
        <w:rPr>
          <w:rFonts w:cs="Times New Roman"/>
        </w:rPr>
      </w:pPr>
    </w:p>
    <w:p w14:paraId="71F2149E" w14:textId="77777777" w:rsidR="005245FD" w:rsidRDefault="005245FD" w:rsidP="005245FD">
      <w:pPr>
        <w:spacing w:after="0" w:line="480" w:lineRule="auto"/>
        <w:rPr>
          <w:rFonts w:cs="Times New Roman"/>
        </w:rPr>
      </w:pPr>
    </w:p>
    <w:p w14:paraId="6F0DE8AF" w14:textId="77777777" w:rsidR="005245FD" w:rsidRDefault="005245FD" w:rsidP="005245FD">
      <w:pPr>
        <w:spacing w:after="0" w:line="480" w:lineRule="auto"/>
        <w:rPr>
          <w:rFonts w:cs="Times New Roman"/>
        </w:rPr>
      </w:pPr>
    </w:p>
    <w:p w14:paraId="2B8A85B4" w14:textId="77777777" w:rsidR="005245FD" w:rsidRDefault="005245FD" w:rsidP="0098316F">
      <w:pPr>
        <w:spacing w:after="0" w:line="480" w:lineRule="auto"/>
        <w:rPr>
          <w:rFonts w:cs="Times New Roman"/>
        </w:rPr>
      </w:pPr>
    </w:p>
    <w:p w14:paraId="0CA684CE" w14:textId="1B492714" w:rsidR="005245FD" w:rsidRDefault="005245FD" w:rsidP="0098316F">
      <w:pPr>
        <w:spacing w:after="0" w:line="480" w:lineRule="auto"/>
        <w:rPr>
          <w:rFonts w:cs="Times New Roman"/>
        </w:rPr>
      </w:pPr>
    </w:p>
    <w:p w14:paraId="606CEBC0" w14:textId="3B2F032A" w:rsidR="005245FD" w:rsidRDefault="005245FD" w:rsidP="0098316F">
      <w:pPr>
        <w:spacing w:after="0" w:line="480" w:lineRule="auto"/>
        <w:rPr>
          <w:rFonts w:cs="Times New Roman"/>
        </w:rPr>
      </w:pPr>
    </w:p>
    <w:p w14:paraId="15992CE4" w14:textId="77777777" w:rsidR="005245FD" w:rsidRDefault="005245FD" w:rsidP="0098316F">
      <w:pPr>
        <w:spacing w:after="0" w:line="480" w:lineRule="auto"/>
        <w:rPr>
          <w:rFonts w:cs="Times New Roman"/>
        </w:rPr>
      </w:pPr>
    </w:p>
    <w:p w14:paraId="2E6DE985" w14:textId="20CF3518" w:rsidR="005B2AD4" w:rsidRDefault="00DC7A12" w:rsidP="005C1E48">
      <w:pPr>
        <w:spacing w:after="0" w:line="240" w:lineRule="auto"/>
        <w:rPr>
          <w:rFonts w:cs="Times New Roman"/>
        </w:rPr>
      </w:pPr>
      <w:r>
        <w:rPr>
          <w:rFonts w:cs="Times New Roman"/>
          <w:b/>
        </w:rPr>
        <w:lastRenderedPageBreak/>
        <w:t>Figure S4</w:t>
      </w:r>
      <w:r w:rsidR="005B2AD4" w:rsidRPr="00152BE5">
        <w:rPr>
          <w:rFonts w:cs="Times New Roman"/>
          <w:b/>
        </w:rPr>
        <w:t>. PCoA of extra epilimnia</w:t>
      </w:r>
      <w:r w:rsidR="00B77D0D" w:rsidRPr="00152BE5">
        <w:rPr>
          <w:rFonts w:cs="Times New Roman"/>
          <w:b/>
        </w:rPr>
        <w:t xml:space="preserve"> and hypolimnia</w:t>
      </w:r>
      <w:r w:rsidR="005B2AD4" w:rsidRPr="00152BE5">
        <w:rPr>
          <w:rFonts w:cs="Times New Roman"/>
          <w:b/>
        </w:rPr>
        <w:t xml:space="preserve"> by lake by year</w:t>
      </w:r>
      <w:r w:rsidR="005C1E48">
        <w:rPr>
          <w:rFonts w:cs="Times New Roman"/>
        </w:rPr>
        <w:t xml:space="preserve">. </w:t>
      </w:r>
      <w:r w:rsidR="00152BE5">
        <w:rPr>
          <w:rFonts w:cs="Times New Roman"/>
        </w:rPr>
        <w:t xml:space="preserve">Each year in each lake has a unique community composition, regardless of layer. </w:t>
      </w:r>
      <w:r w:rsidR="005C1E48">
        <w:rPr>
          <w:rFonts w:cs="Times New Roman"/>
        </w:rPr>
        <w:t>Plots for lakes and layers not shown in Figure 3 are presented here, using the same analysis as in the main text. Only sites with at least three years of sampling were analyzed.</w:t>
      </w:r>
    </w:p>
    <w:p w14:paraId="48348FE4" w14:textId="77777777" w:rsidR="005C1E48" w:rsidRDefault="005C1E48" w:rsidP="005C1E48">
      <w:pPr>
        <w:spacing w:after="0" w:line="240" w:lineRule="auto"/>
        <w:rPr>
          <w:rFonts w:cs="Times New Roman"/>
        </w:rPr>
      </w:pPr>
    </w:p>
    <w:p w14:paraId="6891FE71" w14:textId="4F94F514" w:rsidR="00B77D0D" w:rsidRDefault="00120811" w:rsidP="0098316F">
      <w:pPr>
        <w:spacing w:after="0" w:line="480" w:lineRule="auto"/>
        <w:rPr>
          <w:rFonts w:cs="Times New Roman"/>
        </w:rPr>
      </w:pPr>
      <w:r>
        <w:rPr>
          <w:rFonts w:cs="Times New Roman"/>
          <w:noProof/>
        </w:rPr>
        <w:drawing>
          <wp:inline distT="0" distB="0" distL="0" distR="0" wp14:anchorId="208ACE58" wp14:editId="75BC664A">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S4.png"/>
                    <pic:cNvPicPr/>
                  </pic:nvPicPr>
                  <pic:blipFill>
                    <a:blip r:embed="rId15"/>
                    <a:stretch>
                      <a:fillRect/>
                    </a:stretch>
                  </pic:blipFill>
                  <pic:spPr>
                    <a:xfrm>
                      <a:off x="0" y="0"/>
                      <a:ext cx="5943600" cy="5943600"/>
                    </a:xfrm>
                    <a:prstGeom prst="rect">
                      <a:avLst/>
                    </a:prstGeom>
                  </pic:spPr>
                </pic:pic>
              </a:graphicData>
            </a:graphic>
          </wp:inline>
        </w:drawing>
      </w:r>
    </w:p>
    <w:p w14:paraId="76A28D2B" w14:textId="77777777" w:rsidR="00B77D0D" w:rsidRDefault="00B77D0D" w:rsidP="0098316F">
      <w:pPr>
        <w:spacing w:after="0" w:line="480" w:lineRule="auto"/>
        <w:rPr>
          <w:rFonts w:cs="Times New Roman"/>
        </w:rPr>
      </w:pPr>
    </w:p>
    <w:p w14:paraId="438FB51A" w14:textId="4E23785A" w:rsidR="00B77D0D" w:rsidRDefault="00B77D0D" w:rsidP="0098316F">
      <w:pPr>
        <w:spacing w:after="0" w:line="480" w:lineRule="auto"/>
        <w:rPr>
          <w:rFonts w:cs="Times New Roman"/>
        </w:rPr>
      </w:pPr>
    </w:p>
    <w:p w14:paraId="41CCFD38" w14:textId="5CE0DED2" w:rsidR="00C41A27" w:rsidRDefault="00C41A27" w:rsidP="0098316F">
      <w:pPr>
        <w:spacing w:after="0" w:line="480" w:lineRule="auto"/>
        <w:rPr>
          <w:rFonts w:cs="Times New Roman"/>
        </w:rPr>
      </w:pPr>
    </w:p>
    <w:p w14:paraId="39D10817" w14:textId="77777777" w:rsidR="00C41A27" w:rsidRDefault="00C41A27" w:rsidP="0098316F">
      <w:pPr>
        <w:spacing w:after="0" w:line="480" w:lineRule="auto"/>
        <w:rPr>
          <w:rFonts w:cs="Times New Roman"/>
        </w:rPr>
      </w:pPr>
    </w:p>
    <w:p w14:paraId="63D4D45A" w14:textId="08660DFE" w:rsidR="00DC7A12" w:rsidRPr="005C1E48" w:rsidRDefault="00DC7A12" w:rsidP="00C41A27">
      <w:pPr>
        <w:spacing w:after="0" w:line="240" w:lineRule="auto"/>
        <w:rPr>
          <w:rFonts w:cs="Times New Roman"/>
        </w:rPr>
      </w:pPr>
      <w:r w:rsidRPr="005C1E48">
        <w:rPr>
          <w:rFonts w:cs="Times New Roman"/>
          <w:b/>
        </w:rPr>
        <w:lastRenderedPageBreak/>
        <w:t>Figure S5. Annual trends</w:t>
      </w:r>
      <w:r w:rsidR="005C1E48" w:rsidRPr="005C1E48">
        <w:rPr>
          <w:rFonts w:cs="Times New Roman"/>
          <w:b/>
        </w:rPr>
        <w:t xml:space="preserve"> in OTUs.</w:t>
      </w:r>
      <w:r w:rsidR="005C1E48">
        <w:rPr>
          <w:rFonts w:cs="Times New Roman"/>
          <w:b/>
        </w:rPr>
        <w:t xml:space="preserve"> </w:t>
      </w:r>
      <w:r w:rsidR="005C1E48">
        <w:rPr>
          <w:rFonts w:cs="Times New Roman"/>
        </w:rPr>
        <w:t xml:space="preserve">We could not identify repeating seasonal trends in OTU abundances. </w:t>
      </w:r>
      <w:r w:rsidR="00C41A27">
        <w:rPr>
          <w:rFonts w:cs="Times New Roman"/>
        </w:rPr>
        <w:t>While OTUs tended to show a consistent response to mixing events, their abundance during summer stratification was variable. Example plots showing abundance trends in OTUs over multiple years in the same site are presented here, and readers curious about other OTUs and sites can run the code below for any combination of OTU and location.</w:t>
      </w:r>
    </w:p>
    <w:p w14:paraId="76E37338" w14:textId="4E336BE4" w:rsidR="00DC7A12" w:rsidRDefault="00C41A27" w:rsidP="00DC7A12">
      <w:pPr>
        <w:spacing w:after="0" w:line="480" w:lineRule="auto"/>
        <w:rPr>
          <w:rFonts w:cs="Times New Roman"/>
        </w:rPr>
      </w:pPr>
      <w:r w:rsidRPr="005C1E48">
        <w:rPr>
          <w:rFonts w:cs="Times New Roman"/>
          <w:b/>
          <w:noProof/>
        </w:rPr>
        <w:drawing>
          <wp:anchor distT="0" distB="0" distL="114300" distR="114300" simplePos="0" relativeHeight="251671552" behindDoc="1" locked="0" layoutInCell="1" allowOverlap="1" wp14:anchorId="1E53C562" wp14:editId="013C1CF9">
            <wp:simplePos x="0" y="0"/>
            <wp:positionH relativeFrom="page">
              <wp:align>left</wp:align>
            </wp:positionH>
            <wp:positionV relativeFrom="paragraph">
              <wp:posOffset>334645</wp:posOffset>
            </wp:positionV>
            <wp:extent cx="7595870" cy="3038475"/>
            <wp:effectExtent l="0" t="0" r="5080" b="9525"/>
            <wp:wrapTight wrapText="bothSides">
              <wp:wrapPolygon edited="0">
                <wp:start x="0" y="0"/>
                <wp:lineTo x="0" y="21532"/>
                <wp:lineTo x="21560" y="21532"/>
                <wp:lineTo x="215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S5.png"/>
                    <pic:cNvPicPr/>
                  </pic:nvPicPr>
                  <pic:blipFill>
                    <a:blip r:embed="rId16"/>
                    <a:stretch>
                      <a:fillRect/>
                    </a:stretch>
                  </pic:blipFill>
                  <pic:spPr>
                    <a:xfrm>
                      <a:off x="0" y="0"/>
                      <a:ext cx="7595870" cy="3038475"/>
                    </a:xfrm>
                    <a:prstGeom prst="rect">
                      <a:avLst/>
                    </a:prstGeom>
                  </pic:spPr>
                </pic:pic>
              </a:graphicData>
            </a:graphic>
            <wp14:sizeRelH relativeFrom="margin">
              <wp14:pctWidth>0</wp14:pctWidth>
            </wp14:sizeRelH>
            <wp14:sizeRelV relativeFrom="margin">
              <wp14:pctHeight>0</wp14:pctHeight>
            </wp14:sizeRelV>
          </wp:anchor>
        </w:drawing>
      </w:r>
    </w:p>
    <w:p w14:paraId="0EC830DF" w14:textId="77777777" w:rsidR="00DC7A12" w:rsidRDefault="00DC7A12" w:rsidP="00DC7A12">
      <w:pPr>
        <w:spacing w:after="0" w:line="480" w:lineRule="auto"/>
        <w:rPr>
          <w:rFonts w:cs="Times New Roman"/>
        </w:rPr>
      </w:pPr>
    </w:p>
    <w:p w14:paraId="68040421" w14:textId="77777777" w:rsidR="00C41A27" w:rsidRDefault="00C41A27" w:rsidP="00DC7A12">
      <w:pPr>
        <w:spacing w:after="0" w:line="240" w:lineRule="auto"/>
        <w:rPr>
          <w:rFonts w:cs="Times New Roman"/>
          <w:sz w:val="20"/>
          <w:szCs w:val="20"/>
        </w:rPr>
      </w:pPr>
    </w:p>
    <w:p w14:paraId="4033F3B9" w14:textId="77777777" w:rsidR="00C41A27" w:rsidRDefault="00C41A27" w:rsidP="00DC7A12">
      <w:pPr>
        <w:spacing w:after="0" w:line="240" w:lineRule="auto"/>
        <w:rPr>
          <w:rFonts w:cs="Times New Roman"/>
          <w:sz w:val="20"/>
          <w:szCs w:val="20"/>
        </w:rPr>
      </w:pPr>
    </w:p>
    <w:p w14:paraId="51C8F8EB" w14:textId="77777777" w:rsidR="00C41A27" w:rsidRDefault="00C41A27" w:rsidP="00DC7A12">
      <w:pPr>
        <w:spacing w:after="0" w:line="240" w:lineRule="auto"/>
        <w:rPr>
          <w:rFonts w:cs="Times New Roman"/>
          <w:sz w:val="20"/>
          <w:szCs w:val="20"/>
        </w:rPr>
      </w:pPr>
    </w:p>
    <w:p w14:paraId="50043649" w14:textId="77777777" w:rsidR="00C41A27" w:rsidRDefault="00C41A27" w:rsidP="00DC7A12">
      <w:pPr>
        <w:spacing w:after="0" w:line="240" w:lineRule="auto"/>
        <w:rPr>
          <w:rFonts w:cs="Times New Roman"/>
          <w:sz w:val="20"/>
          <w:szCs w:val="20"/>
        </w:rPr>
      </w:pPr>
    </w:p>
    <w:p w14:paraId="17A64C64" w14:textId="77777777" w:rsidR="00C41A27" w:rsidRDefault="00C41A27" w:rsidP="00DC7A12">
      <w:pPr>
        <w:spacing w:after="0" w:line="240" w:lineRule="auto"/>
        <w:rPr>
          <w:rFonts w:cs="Times New Roman"/>
          <w:sz w:val="20"/>
          <w:szCs w:val="20"/>
        </w:rPr>
      </w:pPr>
    </w:p>
    <w:p w14:paraId="19D75C63" w14:textId="77777777" w:rsidR="00C41A27" w:rsidRDefault="00C41A27" w:rsidP="00DC7A12">
      <w:pPr>
        <w:spacing w:after="0" w:line="240" w:lineRule="auto"/>
        <w:rPr>
          <w:rFonts w:cs="Times New Roman"/>
          <w:sz w:val="20"/>
          <w:szCs w:val="20"/>
        </w:rPr>
      </w:pPr>
    </w:p>
    <w:p w14:paraId="37C05645" w14:textId="77777777" w:rsidR="00C41A27" w:rsidRDefault="00C41A27" w:rsidP="00DC7A12">
      <w:pPr>
        <w:spacing w:after="0" w:line="240" w:lineRule="auto"/>
        <w:rPr>
          <w:rFonts w:cs="Times New Roman"/>
          <w:sz w:val="20"/>
          <w:szCs w:val="20"/>
        </w:rPr>
      </w:pPr>
    </w:p>
    <w:p w14:paraId="3A95BAA4" w14:textId="77777777" w:rsidR="00C41A27" w:rsidRDefault="00C41A27" w:rsidP="00DC7A12">
      <w:pPr>
        <w:spacing w:after="0" w:line="240" w:lineRule="auto"/>
        <w:rPr>
          <w:rFonts w:cs="Times New Roman"/>
          <w:sz w:val="20"/>
          <w:szCs w:val="20"/>
        </w:rPr>
      </w:pPr>
    </w:p>
    <w:p w14:paraId="64224BF7" w14:textId="77777777" w:rsidR="00C41A27" w:rsidRDefault="00C41A27" w:rsidP="00DC7A12">
      <w:pPr>
        <w:spacing w:after="0" w:line="240" w:lineRule="auto"/>
        <w:rPr>
          <w:rFonts w:cs="Times New Roman"/>
          <w:sz w:val="20"/>
          <w:szCs w:val="20"/>
        </w:rPr>
      </w:pPr>
    </w:p>
    <w:p w14:paraId="5CFB7126" w14:textId="77777777" w:rsidR="00C41A27" w:rsidRDefault="00C41A27" w:rsidP="00DC7A12">
      <w:pPr>
        <w:spacing w:after="0" w:line="240" w:lineRule="auto"/>
        <w:rPr>
          <w:rFonts w:cs="Times New Roman"/>
          <w:sz w:val="20"/>
          <w:szCs w:val="20"/>
        </w:rPr>
      </w:pPr>
    </w:p>
    <w:p w14:paraId="7A1B1A6F" w14:textId="77777777" w:rsidR="00C41A27" w:rsidRDefault="00C41A27" w:rsidP="00DC7A12">
      <w:pPr>
        <w:spacing w:after="0" w:line="240" w:lineRule="auto"/>
        <w:rPr>
          <w:rFonts w:cs="Times New Roman"/>
          <w:sz w:val="20"/>
          <w:szCs w:val="20"/>
        </w:rPr>
      </w:pPr>
    </w:p>
    <w:p w14:paraId="463DAD98" w14:textId="77777777" w:rsidR="00C41A27" w:rsidRDefault="00C41A27" w:rsidP="00DC7A12">
      <w:pPr>
        <w:spacing w:after="0" w:line="240" w:lineRule="auto"/>
        <w:rPr>
          <w:rFonts w:cs="Times New Roman"/>
          <w:sz w:val="20"/>
          <w:szCs w:val="20"/>
        </w:rPr>
      </w:pPr>
    </w:p>
    <w:p w14:paraId="63F154D3" w14:textId="77777777" w:rsidR="00C41A27" w:rsidRDefault="00C41A27" w:rsidP="00DC7A12">
      <w:pPr>
        <w:spacing w:after="0" w:line="240" w:lineRule="auto"/>
        <w:rPr>
          <w:rFonts w:cs="Times New Roman"/>
          <w:sz w:val="20"/>
          <w:szCs w:val="20"/>
        </w:rPr>
      </w:pPr>
    </w:p>
    <w:p w14:paraId="4410EFFB" w14:textId="77777777" w:rsidR="00C41A27" w:rsidRDefault="00C41A27" w:rsidP="00DC7A12">
      <w:pPr>
        <w:spacing w:after="0" w:line="240" w:lineRule="auto"/>
        <w:rPr>
          <w:rFonts w:cs="Times New Roman"/>
          <w:sz w:val="20"/>
          <w:szCs w:val="20"/>
        </w:rPr>
      </w:pPr>
    </w:p>
    <w:p w14:paraId="20195AE0" w14:textId="77777777" w:rsidR="00C41A27" w:rsidRDefault="00C41A27" w:rsidP="00DC7A12">
      <w:pPr>
        <w:spacing w:after="0" w:line="240" w:lineRule="auto"/>
        <w:rPr>
          <w:rFonts w:cs="Times New Roman"/>
          <w:sz w:val="20"/>
          <w:szCs w:val="20"/>
        </w:rPr>
      </w:pPr>
    </w:p>
    <w:p w14:paraId="59D42E50" w14:textId="77777777" w:rsidR="00C41A27" w:rsidRDefault="00C41A27" w:rsidP="00DC7A12">
      <w:pPr>
        <w:spacing w:after="0" w:line="240" w:lineRule="auto"/>
        <w:rPr>
          <w:rFonts w:cs="Times New Roman"/>
          <w:sz w:val="20"/>
          <w:szCs w:val="20"/>
        </w:rPr>
      </w:pPr>
    </w:p>
    <w:p w14:paraId="1C950177" w14:textId="77777777" w:rsidR="00C41A27" w:rsidRDefault="00C41A27" w:rsidP="00DC7A12">
      <w:pPr>
        <w:spacing w:after="0" w:line="240" w:lineRule="auto"/>
        <w:rPr>
          <w:rFonts w:cs="Times New Roman"/>
          <w:sz w:val="20"/>
          <w:szCs w:val="20"/>
        </w:rPr>
      </w:pPr>
    </w:p>
    <w:p w14:paraId="1315B405" w14:textId="77777777" w:rsidR="00C41A27" w:rsidRDefault="00C41A27" w:rsidP="00DC7A12">
      <w:pPr>
        <w:spacing w:after="0" w:line="240" w:lineRule="auto"/>
        <w:rPr>
          <w:rFonts w:cs="Times New Roman"/>
          <w:sz w:val="20"/>
          <w:szCs w:val="20"/>
        </w:rPr>
      </w:pPr>
    </w:p>
    <w:p w14:paraId="386AF8E9" w14:textId="77777777" w:rsidR="00C41A27" w:rsidRDefault="00C41A27" w:rsidP="00DC7A12">
      <w:pPr>
        <w:spacing w:after="0" w:line="240" w:lineRule="auto"/>
        <w:rPr>
          <w:rFonts w:cs="Times New Roman"/>
          <w:sz w:val="20"/>
          <w:szCs w:val="20"/>
        </w:rPr>
      </w:pPr>
    </w:p>
    <w:p w14:paraId="73552044" w14:textId="77777777" w:rsidR="00C41A27" w:rsidRDefault="00C41A27" w:rsidP="00DC7A12">
      <w:pPr>
        <w:spacing w:after="0" w:line="240" w:lineRule="auto"/>
        <w:rPr>
          <w:rFonts w:cs="Times New Roman"/>
          <w:sz w:val="20"/>
          <w:szCs w:val="20"/>
        </w:rPr>
      </w:pPr>
    </w:p>
    <w:p w14:paraId="177A8B0F" w14:textId="77777777" w:rsidR="00C41A27" w:rsidRDefault="00C41A27" w:rsidP="00DC7A12">
      <w:pPr>
        <w:spacing w:after="0" w:line="240" w:lineRule="auto"/>
        <w:rPr>
          <w:rFonts w:cs="Times New Roman"/>
          <w:sz w:val="20"/>
          <w:szCs w:val="20"/>
        </w:rPr>
      </w:pPr>
    </w:p>
    <w:p w14:paraId="69E77433" w14:textId="77777777" w:rsidR="00C41A27" w:rsidRDefault="00C41A27" w:rsidP="00DC7A12">
      <w:pPr>
        <w:spacing w:after="0" w:line="240" w:lineRule="auto"/>
        <w:rPr>
          <w:rFonts w:cs="Times New Roman"/>
          <w:sz w:val="20"/>
          <w:szCs w:val="20"/>
        </w:rPr>
      </w:pPr>
    </w:p>
    <w:p w14:paraId="594BA9F0" w14:textId="77777777" w:rsidR="00C41A27" w:rsidRDefault="00C41A27" w:rsidP="00DC7A12">
      <w:pPr>
        <w:spacing w:after="0" w:line="240" w:lineRule="auto"/>
        <w:rPr>
          <w:rFonts w:cs="Times New Roman"/>
          <w:sz w:val="20"/>
          <w:szCs w:val="20"/>
        </w:rPr>
      </w:pPr>
    </w:p>
    <w:p w14:paraId="31078280" w14:textId="1BA9DEE7" w:rsidR="00DC7A12" w:rsidRDefault="00DC7A12" w:rsidP="00DC7A12">
      <w:pPr>
        <w:spacing w:after="0" w:line="240" w:lineRule="auto"/>
        <w:rPr>
          <w:rFonts w:cs="Times New Roman"/>
          <w:sz w:val="20"/>
          <w:szCs w:val="20"/>
        </w:rPr>
      </w:pPr>
      <w:r>
        <w:rPr>
          <w:rFonts w:cs="Times New Roman"/>
          <w:sz w:val="20"/>
          <w:szCs w:val="20"/>
        </w:rPr>
        <w:lastRenderedPageBreak/>
        <w:t>library(OTUtable)</w:t>
      </w:r>
      <w:r w:rsidR="00C41A27">
        <w:rPr>
          <w:rFonts w:cs="Times New Roman"/>
          <w:sz w:val="20"/>
          <w:szCs w:val="20"/>
        </w:rPr>
        <w:tab/>
        <w:t># You will need these three packages</w:t>
      </w:r>
    </w:p>
    <w:p w14:paraId="082637C7" w14:textId="77777777" w:rsidR="00DC7A12" w:rsidRDefault="00DC7A12" w:rsidP="00DC7A12">
      <w:pPr>
        <w:spacing w:after="0" w:line="240" w:lineRule="auto"/>
        <w:rPr>
          <w:rFonts w:cs="Times New Roman"/>
          <w:sz w:val="20"/>
          <w:szCs w:val="20"/>
        </w:rPr>
      </w:pPr>
      <w:r>
        <w:rPr>
          <w:rFonts w:cs="Times New Roman"/>
          <w:sz w:val="20"/>
          <w:szCs w:val="20"/>
        </w:rPr>
        <w:t>library(ggplot2)</w:t>
      </w:r>
    </w:p>
    <w:p w14:paraId="3D368783" w14:textId="77777777" w:rsidR="00DC7A12" w:rsidRDefault="00DC7A12" w:rsidP="00DC7A12">
      <w:pPr>
        <w:spacing w:after="0" w:line="240" w:lineRule="auto"/>
        <w:rPr>
          <w:rFonts w:cs="Times New Roman"/>
          <w:sz w:val="20"/>
          <w:szCs w:val="20"/>
        </w:rPr>
      </w:pPr>
      <w:r>
        <w:rPr>
          <w:rFonts w:cs="Times New Roman"/>
          <w:sz w:val="20"/>
          <w:szCs w:val="20"/>
        </w:rPr>
        <w:t>library(reshape2)</w:t>
      </w:r>
    </w:p>
    <w:p w14:paraId="6FF98B99" w14:textId="19265405" w:rsidR="00DC7A12" w:rsidRDefault="00DC7A12" w:rsidP="00DC7A12">
      <w:pPr>
        <w:spacing w:after="0" w:line="240" w:lineRule="auto"/>
        <w:rPr>
          <w:rFonts w:cs="Times New Roman"/>
          <w:sz w:val="20"/>
          <w:szCs w:val="20"/>
        </w:rPr>
      </w:pPr>
      <w:r>
        <w:rPr>
          <w:rFonts w:cs="Times New Roman"/>
          <w:sz w:val="20"/>
          <w:szCs w:val="20"/>
        </w:rPr>
        <w:t>data(otu_table)</w:t>
      </w:r>
      <w:r w:rsidR="00C41A27">
        <w:rPr>
          <w:rFonts w:cs="Times New Roman"/>
          <w:sz w:val="20"/>
          <w:szCs w:val="20"/>
        </w:rPr>
        <w:tab/>
      </w:r>
      <w:r w:rsidR="00C41A27">
        <w:rPr>
          <w:rFonts w:cs="Times New Roman"/>
          <w:sz w:val="20"/>
          <w:szCs w:val="20"/>
        </w:rPr>
        <w:tab/>
        <w:t># Load the OTU table</w:t>
      </w:r>
    </w:p>
    <w:p w14:paraId="6E7212DD" w14:textId="39A820C4" w:rsidR="00C41A27" w:rsidRDefault="00C41A27" w:rsidP="00DC7A12">
      <w:pPr>
        <w:spacing w:after="0" w:line="240" w:lineRule="auto"/>
        <w:rPr>
          <w:rFonts w:cs="Times New Roman"/>
          <w:sz w:val="20"/>
          <w:szCs w:val="20"/>
        </w:rPr>
      </w:pPr>
    </w:p>
    <w:p w14:paraId="01FDE184" w14:textId="21E083C7" w:rsidR="00C41A27" w:rsidRDefault="00C41A27" w:rsidP="00DC7A12">
      <w:pPr>
        <w:spacing w:after="0" w:line="240" w:lineRule="auto"/>
        <w:rPr>
          <w:rFonts w:cs="Times New Roman"/>
          <w:sz w:val="20"/>
          <w:szCs w:val="20"/>
        </w:rPr>
      </w:pPr>
      <w:r>
        <w:rPr>
          <w:rFonts w:cs="Times New Roman"/>
          <w:sz w:val="20"/>
          <w:szCs w:val="20"/>
        </w:rPr>
        <w:t xml:space="preserve"># Write function to plot multiple years at once. </w:t>
      </w:r>
    </w:p>
    <w:p w14:paraId="536D52B5" w14:textId="5C3A4D9F" w:rsidR="00DC7A12" w:rsidRPr="002E7109" w:rsidRDefault="00DC7A12" w:rsidP="00DC7A12">
      <w:pPr>
        <w:spacing w:after="0" w:line="240" w:lineRule="auto"/>
        <w:rPr>
          <w:rFonts w:cs="Times New Roman"/>
          <w:sz w:val="20"/>
          <w:szCs w:val="20"/>
        </w:rPr>
      </w:pPr>
      <w:r w:rsidRPr="002E7109">
        <w:rPr>
          <w:rFonts w:cs="Times New Roman"/>
          <w:sz w:val="20"/>
          <w:szCs w:val="20"/>
        </w:rPr>
        <w:t>annual_trends &lt;- function(lake, otu){</w:t>
      </w:r>
    </w:p>
    <w:p w14:paraId="240AD9C6"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bog &lt;- bog_subset(lake, otu_table)</w:t>
      </w:r>
    </w:p>
    <w:p w14:paraId="4F51499C"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year1 &lt;- year_subset("05", bog)</w:t>
      </w:r>
    </w:p>
    <w:p w14:paraId="7C81C6DA"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year2 &lt;- year_subset("07", bog)</w:t>
      </w:r>
    </w:p>
    <w:p w14:paraId="19B68997"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year3 &lt;- year_subset("08", bog)</w:t>
      </w:r>
    </w:p>
    <w:p w14:paraId="0AC92B05"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year4 &lt;- year_subset("09", bog)</w:t>
      </w:r>
    </w:p>
    <w:p w14:paraId="62840507" w14:textId="477A370A" w:rsidR="00DC7A12" w:rsidRDefault="00DC7A12" w:rsidP="00DC7A12">
      <w:pPr>
        <w:spacing w:after="0" w:line="240" w:lineRule="auto"/>
        <w:rPr>
          <w:rFonts w:cs="Times New Roman"/>
          <w:sz w:val="20"/>
          <w:szCs w:val="20"/>
        </w:rPr>
      </w:pPr>
      <w:r w:rsidRPr="002E7109">
        <w:rPr>
          <w:rFonts w:cs="Times New Roman"/>
          <w:sz w:val="20"/>
          <w:szCs w:val="20"/>
        </w:rPr>
        <w:t xml:space="preserve">  </w:t>
      </w:r>
    </w:p>
    <w:p w14:paraId="369E4FFA" w14:textId="3ED6474F" w:rsidR="00C41A27" w:rsidRPr="002E7109" w:rsidRDefault="00C41A27" w:rsidP="00DC7A12">
      <w:pPr>
        <w:spacing w:after="0" w:line="240" w:lineRule="auto"/>
        <w:rPr>
          <w:rFonts w:cs="Times New Roman"/>
          <w:sz w:val="20"/>
          <w:szCs w:val="20"/>
        </w:rPr>
      </w:pPr>
      <w:r>
        <w:rPr>
          <w:rFonts w:cs="Times New Roman"/>
          <w:sz w:val="20"/>
          <w:szCs w:val="20"/>
        </w:rPr>
        <w:t># Since sites have different years sampled, these if statements identify which years are present</w:t>
      </w:r>
    </w:p>
    <w:p w14:paraId="7DC1CFCE" w14:textId="118BC7C3" w:rsidR="00DC7A12" w:rsidRDefault="00DC7A12" w:rsidP="00DC7A12">
      <w:pPr>
        <w:spacing w:after="0" w:line="240" w:lineRule="auto"/>
        <w:rPr>
          <w:rFonts w:cs="Times New Roman"/>
          <w:sz w:val="20"/>
          <w:szCs w:val="20"/>
        </w:rPr>
      </w:pPr>
      <w:r w:rsidRPr="002E7109">
        <w:rPr>
          <w:rFonts w:cs="Times New Roman"/>
          <w:sz w:val="20"/>
          <w:szCs w:val="20"/>
        </w:rPr>
        <w:t xml:space="preserve">  if(dim(year1)[2] &gt; 0){</w:t>
      </w:r>
    </w:p>
    <w:p w14:paraId="3A7B5058" w14:textId="1AFB50E5" w:rsidR="00C41A27" w:rsidRPr="002E7109" w:rsidRDefault="00C41A27" w:rsidP="00DC7A12">
      <w:pPr>
        <w:spacing w:after="0" w:line="240" w:lineRule="auto"/>
        <w:rPr>
          <w:rFonts w:cs="Times New Roman"/>
          <w:sz w:val="20"/>
          <w:szCs w:val="20"/>
        </w:rPr>
      </w:pPr>
      <w:r>
        <w:rPr>
          <w:rFonts w:cs="Times New Roman"/>
          <w:sz w:val="20"/>
          <w:szCs w:val="20"/>
        </w:rPr>
        <w:t xml:space="preserve">    # Once years present are identified, normalize and combine into a single table</w:t>
      </w:r>
    </w:p>
    <w:p w14:paraId="0F4E121E"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year1 &lt;- zscore(year1)</w:t>
      </w:r>
    </w:p>
    <w:p w14:paraId="4119BB2D"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year2 &lt;- zscore(year2)</w:t>
      </w:r>
    </w:p>
    <w:p w14:paraId="132E829E"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year3 &lt;- zscore(year3)</w:t>
      </w:r>
    </w:p>
    <w:p w14:paraId="7A55B5FF"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year4 &lt;- zscore(year4)</w:t>
      </w:r>
    </w:p>
    <w:p w14:paraId="4533E63B"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w:t>
      </w:r>
    </w:p>
    <w:p w14:paraId="7314432B"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ztable &lt;- cbind(year1, year2, year3, year4)</w:t>
      </w:r>
    </w:p>
    <w:p w14:paraId="6B61AB60"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}else if(dim(year1)[2] == 0 &amp; dim(year3)[2] &gt; 0){</w:t>
      </w:r>
    </w:p>
    <w:p w14:paraId="1CF86B4D"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year2 &lt;- zscore(year2)</w:t>
      </w:r>
    </w:p>
    <w:p w14:paraId="01393255"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year3 &lt;- zscore(year3)</w:t>
      </w:r>
    </w:p>
    <w:p w14:paraId="0A4C93B1"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year4 &lt;- zscore(year4)</w:t>
      </w:r>
    </w:p>
    <w:p w14:paraId="36CA923E"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w:t>
      </w:r>
    </w:p>
    <w:p w14:paraId="1459288F"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ztable &lt;- cbind(year2, year3, year4)</w:t>
      </w:r>
    </w:p>
    <w:p w14:paraId="3B75B171"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}else if(dim(year1)[2] == 0 &amp; dim(year3)[2] == 0 &amp; dim(year4)[2] &gt; 0){</w:t>
      </w:r>
    </w:p>
    <w:p w14:paraId="2D251E6F"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year2 &lt;- zscore(year2)</w:t>
      </w:r>
    </w:p>
    <w:p w14:paraId="040D4EC3"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year4 &lt;- zscore(year4)</w:t>
      </w:r>
    </w:p>
    <w:p w14:paraId="0D93386E"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w:t>
      </w:r>
    </w:p>
    <w:p w14:paraId="63E8802B"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ztable &lt;- cbind(year2, year4)</w:t>
      </w:r>
    </w:p>
    <w:p w14:paraId="6989D1E7"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}else{</w:t>
      </w:r>
    </w:p>
    <w:p w14:paraId="6746746A"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ztable &lt;- zscore(year2)</w:t>
      </w:r>
    </w:p>
    <w:p w14:paraId="14ECFD1F" w14:textId="78B9303A" w:rsidR="00DC7A12" w:rsidRDefault="00DC7A12" w:rsidP="00DC7A12">
      <w:pPr>
        <w:spacing w:after="0" w:line="240" w:lineRule="auto"/>
        <w:rPr>
          <w:rFonts w:cs="Times New Roman"/>
          <w:sz w:val="20"/>
          <w:szCs w:val="20"/>
        </w:rPr>
      </w:pPr>
      <w:r w:rsidRPr="002E7109">
        <w:rPr>
          <w:rFonts w:cs="Times New Roman"/>
          <w:sz w:val="20"/>
          <w:szCs w:val="20"/>
        </w:rPr>
        <w:t xml:space="preserve">  }</w:t>
      </w:r>
    </w:p>
    <w:p w14:paraId="737C26BD" w14:textId="5904A3F8" w:rsidR="00C41A27" w:rsidRPr="002E7109" w:rsidRDefault="00C41A27" w:rsidP="00DC7A12">
      <w:pPr>
        <w:spacing w:after="0" w:line="240" w:lineRule="auto"/>
        <w:rPr>
          <w:rFonts w:cs="Times New Roman"/>
          <w:sz w:val="20"/>
          <w:szCs w:val="20"/>
        </w:rPr>
      </w:pPr>
      <w:r>
        <w:rPr>
          <w:rFonts w:cs="Times New Roman"/>
          <w:sz w:val="20"/>
          <w:szCs w:val="20"/>
        </w:rPr>
        <w:t># Format the final table</w:t>
      </w:r>
    </w:p>
    <w:p w14:paraId="62B75657"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ztable &lt;- melt(ztable)</w:t>
      </w:r>
    </w:p>
    <w:p w14:paraId="2E783DC5"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ztable$Year &lt;- substr(ztable$Var2, start = 9, stop = 10)</w:t>
      </w:r>
    </w:p>
    <w:p w14:paraId="55E67333"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ztable$Day &lt;- format(extract_date(ztable$Var2), format = "%j")</w:t>
      </w:r>
    </w:p>
    <w:p w14:paraId="04DE540E" w14:textId="44602BBC" w:rsidR="00DC7A12" w:rsidRDefault="00DC7A12" w:rsidP="00DC7A12">
      <w:pPr>
        <w:spacing w:after="0" w:line="240" w:lineRule="auto"/>
        <w:rPr>
          <w:rFonts w:cs="Times New Roman"/>
          <w:sz w:val="20"/>
          <w:szCs w:val="20"/>
        </w:rPr>
      </w:pPr>
      <w:r w:rsidRPr="002E7109">
        <w:rPr>
          <w:rFonts w:cs="Times New Roman"/>
          <w:sz w:val="20"/>
          <w:szCs w:val="20"/>
        </w:rPr>
        <w:t xml:space="preserve">  </w:t>
      </w:r>
    </w:p>
    <w:p w14:paraId="387A9BEC" w14:textId="52543F3C" w:rsidR="00C41A27" w:rsidRPr="002E7109" w:rsidRDefault="00C41A27" w:rsidP="00DC7A12">
      <w:pPr>
        <w:spacing w:after="0" w:line="240" w:lineRule="auto"/>
        <w:rPr>
          <w:rFonts w:cs="Times New Roman"/>
          <w:sz w:val="20"/>
          <w:szCs w:val="20"/>
        </w:rPr>
      </w:pPr>
      <w:r>
        <w:rPr>
          <w:rFonts w:cs="Times New Roman"/>
          <w:sz w:val="20"/>
          <w:szCs w:val="20"/>
        </w:rPr>
        <w:t># Save the results for plotting</w:t>
      </w:r>
    </w:p>
    <w:p w14:paraId="604B5F79"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plot &lt;- ggplot(data = ztable[which(ztable$Var1 == otu), ], aes(x = Day, y = value, group = Year, color = Year)) + geom_point() + geom_line() + theme_bw() + labs(title = paste(lake, otu, sep = ": "))</w:t>
      </w:r>
    </w:p>
    <w:p w14:paraId="469A7C40"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return(plot)</w:t>
      </w:r>
    </w:p>
    <w:p w14:paraId="2F9D6E2E" w14:textId="69681E3C" w:rsidR="00DC7A12" w:rsidRDefault="00DC7A12" w:rsidP="00DC7A12">
      <w:pPr>
        <w:spacing w:after="0" w:line="240" w:lineRule="auto"/>
        <w:rPr>
          <w:rFonts w:cs="Times New Roman"/>
          <w:sz w:val="20"/>
          <w:szCs w:val="20"/>
        </w:rPr>
      </w:pPr>
      <w:r w:rsidRPr="002E7109">
        <w:rPr>
          <w:rFonts w:cs="Times New Roman"/>
          <w:sz w:val="20"/>
          <w:szCs w:val="20"/>
        </w:rPr>
        <w:t>}</w:t>
      </w:r>
    </w:p>
    <w:p w14:paraId="5A5CDF0D" w14:textId="77777777" w:rsidR="00C41A27" w:rsidRDefault="00C41A27" w:rsidP="00DC7A12">
      <w:pPr>
        <w:spacing w:after="0" w:line="240" w:lineRule="auto"/>
        <w:rPr>
          <w:rFonts w:cs="Times New Roman"/>
          <w:sz w:val="20"/>
          <w:szCs w:val="20"/>
        </w:rPr>
      </w:pPr>
    </w:p>
    <w:p w14:paraId="4598A6C3" w14:textId="4E087869" w:rsidR="00DC7A12" w:rsidRDefault="00DC7A12" w:rsidP="00DC7A12">
      <w:pPr>
        <w:spacing w:after="0" w:line="240" w:lineRule="auto"/>
        <w:rPr>
          <w:rFonts w:cs="Times New Roman"/>
          <w:sz w:val="20"/>
          <w:szCs w:val="20"/>
        </w:rPr>
      </w:pPr>
      <w:r>
        <w:rPr>
          <w:rFonts w:cs="Times New Roman"/>
          <w:sz w:val="20"/>
          <w:szCs w:val="20"/>
        </w:rPr>
        <w:t>#</w:t>
      </w:r>
      <w:r w:rsidR="00C41A27">
        <w:rPr>
          <w:rFonts w:cs="Times New Roman"/>
          <w:sz w:val="20"/>
          <w:szCs w:val="20"/>
        </w:rPr>
        <w:t xml:space="preserve"> </w:t>
      </w:r>
      <w:r>
        <w:rPr>
          <w:rFonts w:cs="Times New Roman"/>
          <w:sz w:val="20"/>
          <w:szCs w:val="20"/>
        </w:rPr>
        <w:t>Example Usage</w:t>
      </w:r>
      <w:r w:rsidR="00C41A27">
        <w:rPr>
          <w:rFonts w:cs="Times New Roman"/>
          <w:sz w:val="20"/>
          <w:szCs w:val="20"/>
        </w:rPr>
        <w:t xml:space="preserve"> – 3 letter site code includes 1</w:t>
      </w:r>
      <w:r w:rsidR="00C41A27" w:rsidRPr="00C41A27">
        <w:rPr>
          <w:rFonts w:cs="Times New Roman"/>
          <w:sz w:val="20"/>
          <w:szCs w:val="20"/>
          <w:vertAlign w:val="superscript"/>
        </w:rPr>
        <w:t>st</w:t>
      </w:r>
      <w:r w:rsidR="00C41A27">
        <w:rPr>
          <w:rFonts w:cs="Times New Roman"/>
          <w:sz w:val="20"/>
          <w:szCs w:val="20"/>
        </w:rPr>
        <w:t xml:space="preserve"> 2 for site (see Table 1) and letter 3 for layer (E = epilimnion, H = hypolimnion. OTU designation is case sensitive, and number must contain 4 digits.</w:t>
      </w:r>
    </w:p>
    <w:p w14:paraId="0C426EB2" w14:textId="77777777" w:rsidR="00DC7A12" w:rsidRDefault="00DC7A12" w:rsidP="00DC7A12">
      <w:pPr>
        <w:spacing w:after="0" w:line="240" w:lineRule="auto"/>
        <w:rPr>
          <w:rFonts w:cs="Times New Roman"/>
          <w:sz w:val="20"/>
          <w:szCs w:val="20"/>
        </w:rPr>
      </w:pPr>
      <w:r>
        <w:rPr>
          <w:rFonts w:cs="Times New Roman"/>
          <w:sz w:val="20"/>
          <w:szCs w:val="20"/>
        </w:rPr>
        <w:t>plot_this &lt;- annual_trends(“TBE”, “Otu0012”)</w:t>
      </w:r>
    </w:p>
    <w:p w14:paraId="6B9D4CB2" w14:textId="2A9EBD70" w:rsidR="00DC7A12" w:rsidRDefault="00DC7A12" w:rsidP="00DC7A12">
      <w:pPr>
        <w:spacing w:after="0" w:line="240" w:lineRule="auto"/>
        <w:rPr>
          <w:rFonts w:cs="Times New Roman"/>
          <w:sz w:val="20"/>
          <w:szCs w:val="20"/>
        </w:rPr>
      </w:pPr>
      <w:r>
        <w:rPr>
          <w:rFonts w:cs="Times New Roman"/>
          <w:sz w:val="20"/>
          <w:szCs w:val="20"/>
        </w:rPr>
        <w:t>plot_this</w:t>
      </w:r>
    </w:p>
    <w:p w14:paraId="26D62FE1" w14:textId="3B5E8C40" w:rsidR="00C41A27" w:rsidRDefault="00C41A27" w:rsidP="00DC7A12">
      <w:pPr>
        <w:spacing w:after="0" w:line="240" w:lineRule="auto"/>
        <w:rPr>
          <w:rFonts w:cs="Times New Roman"/>
          <w:sz w:val="20"/>
          <w:szCs w:val="20"/>
        </w:rPr>
      </w:pPr>
      <w:r>
        <w:rPr>
          <w:rFonts w:cs="Times New Roman"/>
          <w:sz w:val="20"/>
          <w:szCs w:val="20"/>
        </w:rPr>
        <w:t># You may get warning messages about points being removed. That means the OTU was not present in those points</w:t>
      </w:r>
    </w:p>
    <w:p w14:paraId="35373F61" w14:textId="4B127182" w:rsidR="00C41A27" w:rsidRPr="002E7109" w:rsidRDefault="00C41A27" w:rsidP="00DC7A12">
      <w:pPr>
        <w:spacing w:after="0" w:line="240" w:lineRule="auto"/>
        <w:rPr>
          <w:rFonts w:cs="Times New Roman"/>
          <w:sz w:val="20"/>
          <w:szCs w:val="20"/>
        </w:rPr>
      </w:pPr>
      <w:r>
        <w:rPr>
          <w:rFonts w:cs="Times New Roman"/>
          <w:sz w:val="20"/>
          <w:szCs w:val="20"/>
        </w:rPr>
        <w:t># If all points were removed and no plot is produeced, it was not present in that site</w:t>
      </w:r>
    </w:p>
    <w:p w14:paraId="0200A3FE" w14:textId="3EA7E96E" w:rsidR="00DC7A12" w:rsidRPr="00C41A27" w:rsidRDefault="00DC7A12" w:rsidP="0098316F">
      <w:pPr>
        <w:spacing w:after="0" w:line="480" w:lineRule="auto"/>
        <w:rPr>
          <w:rFonts w:cs="Times New Roman"/>
        </w:rPr>
      </w:pPr>
    </w:p>
    <w:p w14:paraId="28FB7447" w14:textId="75C79E9B" w:rsidR="00C41A27" w:rsidRDefault="00DC7A12" w:rsidP="00C41A27">
      <w:pPr>
        <w:spacing w:after="0" w:line="240" w:lineRule="auto"/>
        <w:rPr>
          <w:rFonts w:cs="Times New Roman"/>
        </w:rPr>
      </w:pPr>
      <w:r>
        <w:rPr>
          <w:rFonts w:cs="Times New Roman"/>
          <w:b/>
        </w:rPr>
        <w:lastRenderedPageBreak/>
        <w:t>Figure S6</w:t>
      </w:r>
      <w:r w:rsidR="00385C5B" w:rsidRPr="00152BE5">
        <w:rPr>
          <w:rFonts w:cs="Times New Roman"/>
          <w:b/>
        </w:rPr>
        <w:t>. Rarefaction curves</w:t>
      </w:r>
      <w:r w:rsidR="00152BE5">
        <w:rPr>
          <w:rFonts w:cs="Times New Roman"/>
          <w:b/>
        </w:rPr>
        <w:t xml:space="preserve">. </w:t>
      </w:r>
      <w:r w:rsidR="00152BE5">
        <w:rPr>
          <w:rFonts w:cs="Times New Roman"/>
        </w:rPr>
        <w:t>Rarefaction curves generated by randomly ordering samples and counting the cumulative number of taxa show logarithmic rather than linear trends as the number of samples included increases. This suggests that we are beginning to exhaustively sample the community of bog lakes.</w:t>
      </w:r>
    </w:p>
    <w:p w14:paraId="2BBD604C" w14:textId="77777777" w:rsidR="00C41A27" w:rsidRDefault="00C41A27" w:rsidP="0098316F">
      <w:pPr>
        <w:spacing w:after="0" w:line="480" w:lineRule="auto"/>
        <w:rPr>
          <w:rFonts w:cs="Times New Roman"/>
          <w:noProof/>
        </w:rPr>
      </w:pPr>
    </w:p>
    <w:p w14:paraId="06F364E5" w14:textId="277E1A22" w:rsidR="00434CE4" w:rsidRDefault="00120811" w:rsidP="0098316F">
      <w:pPr>
        <w:spacing w:after="0" w:line="480" w:lineRule="auto"/>
        <w:rPr>
          <w:rFonts w:cs="Times New Roman"/>
        </w:rPr>
      </w:pPr>
      <w:r>
        <w:rPr>
          <w:rFonts w:cs="Times New Roman"/>
          <w:noProof/>
        </w:rPr>
        <w:drawing>
          <wp:inline distT="0" distB="0" distL="0" distR="0" wp14:anchorId="51FA0B6F" wp14:editId="161375FD">
            <wp:extent cx="59436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S6.png"/>
                    <pic:cNvPicPr/>
                  </pic:nvPicPr>
                  <pic:blipFill>
                    <a:blip r:embed="rId17"/>
                    <a:stretch>
                      <a:fillRect/>
                    </a:stretch>
                  </pic:blipFill>
                  <pic:spPr>
                    <a:xfrm>
                      <a:off x="0" y="0"/>
                      <a:ext cx="5943600" cy="1981200"/>
                    </a:xfrm>
                    <a:prstGeom prst="rect">
                      <a:avLst/>
                    </a:prstGeom>
                  </pic:spPr>
                </pic:pic>
              </a:graphicData>
            </a:graphic>
          </wp:inline>
        </w:drawing>
      </w:r>
    </w:p>
    <w:p w14:paraId="5D273A9B" w14:textId="77777777" w:rsidR="00C41A27" w:rsidRDefault="00C41A27" w:rsidP="0098316F">
      <w:pPr>
        <w:spacing w:after="0" w:line="480" w:lineRule="auto"/>
        <w:rPr>
          <w:rFonts w:cs="Times New Roman"/>
        </w:rPr>
      </w:pPr>
    </w:p>
    <w:p w14:paraId="36F786A2" w14:textId="77777777" w:rsidR="00C41A27" w:rsidRDefault="00C41A27" w:rsidP="0098316F">
      <w:pPr>
        <w:spacing w:after="0" w:line="480" w:lineRule="auto"/>
        <w:rPr>
          <w:rFonts w:cs="Times New Roman"/>
        </w:rPr>
      </w:pPr>
    </w:p>
    <w:p w14:paraId="6127EE10" w14:textId="698A2B2C" w:rsidR="002E7109" w:rsidRDefault="00385C5B" w:rsidP="0098316F">
      <w:pPr>
        <w:spacing w:after="0" w:line="480" w:lineRule="auto"/>
        <w:rPr>
          <w:rFonts w:cs="Times New Roman"/>
        </w:rPr>
      </w:pPr>
      <w:r>
        <w:rPr>
          <w:rFonts w:cs="Times New Roman"/>
        </w:rPr>
        <w:t>Supplemental document – indicator analysis results</w:t>
      </w:r>
    </w:p>
    <w:sectPr w:rsidR="002E7109" w:rsidSect="001B667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lex" w:date="2017-01-31T15:34:00Z" w:initials="A">
    <w:p w14:paraId="6FC7F80D" w14:textId="68E0E1D1" w:rsidR="005245FD" w:rsidRDefault="005245FD">
      <w:pPr>
        <w:pStyle w:val="CommentText"/>
      </w:pPr>
      <w:r>
        <w:rPr>
          <w:rStyle w:val="CommentReference"/>
        </w:rPr>
        <w:annotationRef/>
      </w:r>
      <w:r>
        <w:t>How’s the wording in this sentence?</w:t>
      </w:r>
    </w:p>
  </w:comment>
  <w:comment w:id="2" w:author="Alexandra Linz" w:date="2017-01-16T15:46:00Z" w:initials="AL">
    <w:p w14:paraId="1685DF68" w14:textId="47695CB9" w:rsidR="00603D46" w:rsidRDefault="00603D46">
      <w:pPr>
        <w:pStyle w:val="CommentText"/>
      </w:pPr>
      <w:r>
        <w:rPr>
          <w:rStyle w:val="CommentReference"/>
        </w:rPr>
        <w:annotationRef/>
      </w:r>
      <w:r>
        <w:t xml:space="preserve"> How are the colors here? I used the color of a lake of that regime for each circle.</w:t>
      </w:r>
    </w:p>
  </w:comment>
  <w:comment w:id="3" w:author="Alexandra Linz" w:date="2017-01-16T15:50:00Z" w:initials="AL">
    <w:p w14:paraId="311036EC" w14:textId="77777777" w:rsidR="00603D46" w:rsidRDefault="00603D46">
      <w:pPr>
        <w:pStyle w:val="CommentText"/>
      </w:pPr>
      <w:r>
        <w:rPr>
          <w:rStyle w:val="CommentReference"/>
        </w:rPr>
        <w:annotationRef/>
      </w:r>
      <w:r>
        <w:t>I added these results on taxa present during mixing since it seems like an obvious question readers would have after seeing Figure 5, and it’s really easy to address.</w:t>
      </w:r>
    </w:p>
  </w:comment>
  <w:comment w:id="4" w:author="Alex" w:date="2017-01-24T10:53:00Z" w:initials="A">
    <w:p w14:paraId="050047EA" w14:textId="77777777" w:rsidR="001A4EFF" w:rsidRDefault="001A4EFF" w:rsidP="001A4EFF">
      <w:pPr>
        <w:pStyle w:val="CommentText"/>
      </w:pPr>
      <w:r>
        <w:rPr>
          <w:rStyle w:val="CommentReference"/>
        </w:rPr>
        <w:annotationRef/>
      </w:r>
      <w:r>
        <w:t>Not discussed: how our overall community composition compares to other humic lakes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C7F80D" w15:done="0"/>
  <w15:commentEx w15:paraId="1685DF68" w15:done="0"/>
  <w15:commentEx w15:paraId="311036EC" w15:done="0"/>
  <w15:commentEx w15:paraId="050047E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Nirmala UI Semilight">
    <w:altName w:val="Athelas Bold Italic"/>
    <w:panose1 w:val="020B0402040204020203"/>
    <w:charset w:val="00"/>
    <w:family w:val="swiss"/>
    <w:pitch w:val="variable"/>
    <w:sig w:usb0="80FF8023" w:usb1="0000004A" w:usb2="00000200" w:usb3="00000000" w:csb0="00000001" w:csb1="00000000"/>
  </w:font>
  <w:font w:name="Bell MT">
    <w:altName w:val="Times New Roman"/>
    <w:charset w:val="00"/>
    <w:family w:val="roman"/>
    <w:pitch w:val="variable"/>
    <w:sig w:usb0="00000003" w:usb1="00000000" w:usb2="00000000" w:usb3="00000000" w:csb0="00000001" w:csb1="00000000"/>
  </w:font>
  <w:font w:name="Ebrima">
    <w:altName w:val="Times New Roman"/>
    <w:panose1 w:val="02000000000000000000"/>
    <w:charset w:val="00"/>
    <w:family w:val="auto"/>
    <w:pitch w:val="variable"/>
    <w:sig w:usb0="A000005F" w:usb1="02000041" w:usb2="00000800" w:usb3="00000000" w:csb0="00000093"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
    <w15:presenceInfo w15:providerId="None" w15:userId="Alex"/>
  </w15:person>
  <w15:person w15:author="Alexandra Linz">
    <w15:presenceInfo w15:providerId="Windows Live" w15:userId="b1c003b9ce462d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679"/>
    <w:rsid w:val="00003FF6"/>
    <w:rsid w:val="00004246"/>
    <w:rsid w:val="00025474"/>
    <w:rsid w:val="00053DFA"/>
    <w:rsid w:val="00075D98"/>
    <w:rsid w:val="0008666F"/>
    <w:rsid w:val="000C4725"/>
    <w:rsid w:val="001046F9"/>
    <w:rsid w:val="00120811"/>
    <w:rsid w:val="001504E8"/>
    <w:rsid w:val="00152BE5"/>
    <w:rsid w:val="00177611"/>
    <w:rsid w:val="001A4EFF"/>
    <w:rsid w:val="001A706E"/>
    <w:rsid w:val="001B6679"/>
    <w:rsid w:val="001D40CD"/>
    <w:rsid w:val="0021185D"/>
    <w:rsid w:val="00217481"/>
    <w:rsid w:val="002E7109"/>
    <w:rsid w:val="002F1C22"/>
    <w:rsid w:val="0033104B"/>
    <w:rsid w:val="00351011"/>
    <w:rsid w:val="0035214D"/>
    <w:rsid w:val="00385C5B"/>
    <w:rsid w:val="003A5924"/>
    <w:rsid w:val="003D3F6B"/>
    <w:rsid w:val="003E73A5"/>
    <w:rsid w:val="00415F71"/>
    <w:rsid w:val="00434CE4"/>
    <w:rsid w:val="00437869"/>
    <w:rsid w:val="004715CA"/>
    <w:rsid w:val="00474A6E"/>
    <w:rsid w:val="00475922"/>
    <w:rsid w:val="004A6171"/>
    <w:rsid w:val="004A7AF5"/>
    <w:rsid w:val="004B6FB8"/>
    <w:rsid w:val="005245FD"/>
    <w:rsid w:val="00527343"/>
    <w:rsid w:val="00594EA6"/>
    <w:rsid w:val="005B2AD4"/>
    <w:rsid w:val="005C1E48"/>
    <w:rsid w:val="00603D46"/>
    <w:rsid w:val="00604088"/>
    <w:rsid w:val="006139B4"/>
    <w:rsid w:val="00652CD8"/>
    <w:rsid w:val="00670B1B"/>
    <w:rsid w:val="00673323"/>
    <w:rsid w:val="006861A9"/>
    <w:rsid w:val="00692CC9"/>
    <w:rsid w:val="006B2F4E"/>
    <w:rsid w:val="0074058E"/>
    <w:rsid w:val="00753496"/>
    <w:rsid w:val="00763929"/>
    <w:rsid w:val="007655CF"/>
    <w:rsid w:val="00774C08"/>
    <w:rsid w:val="007C1459"/>
    <w:rsid w:val="00813763"/>
    <w:rsid w:val="00830ACD"/>
    <w:rsid w:val="008311BE"/>
    <w:rsid w:val="00835F08"/>
    <w:rsid w:val="008532A6"/>
    <w:rsid w:val="00863976"/>
    <w:rsid w:val="00913A4E"/>
    <w:rsid w:val="0098316F"/>
    <w:rsid w:val="009B7954"/>
    <w:rsid w:val="009F1636"/>
    <w:rsid w:val="009F6A15"/>
    <w:rsid w:val="00A40FC4"/>
    <w:rsid w:val="00A77E51"/>
    <w:rsid w:val="00AC3D4B"/>
    <w:rsid w:val="00AE4FD7"/>
    <w:rsid w:val="00AF29A1"/>
    <w:rsid w:val="00AF4C53"/>
    <w:rsid w:val="00B51DBA"/>
    <w:rsid w:val="00B56382"/>
    <w:rsid w:val="00B77D0D"/>
    <w:rsid w:val="00B819B1"/>
    <w:rsid w:val="00BC3410"/>
    <w:rsid w:val="00BD30A9"/>
    <w:rsid w:val="00BF1911"/>
    <w:rsid w:val="00BF468C"/>
    <w:rsid w:val="00C33BCD"/>
    <w:rsid w:val="00C41A27"/>
    <w:rsid w:val="00C6076A"/>
    <w:rsid w:val="00C66B3F"/>
    <w:rsid w:val="00C8344B"/>
    <w:rsid w:val="00C91FE3"/>
    <w:rsid w:val="00CD244E"/>
    <w:rsid w:val="00CE776A"/>
    <w:rsid w:val="00CF3424"/>
    <w:rsid w:val="00D23D90"/>
    <w:rsid w:val="00D61773"/>
    <w:rsid w:val="00DC7A12"/>
    <w:rsid w:val="00DD7644"/>
    <w:rsid w:val="00E07062"/>
    <w:rsid w:val="00E738AA"/>
    <w:rsid w:val="00E82ACD"/>
    <w:rsid w:val="00EC17F5"/>
    <w:rsid w:val="00EC28F0"/>
    <w:rsid w:val="00EC6335"/>
    <w:rsid w:val="00ED1AA6"/>
    <w:rsid w:val="00ED5157"/>
    <w:rsid w:val="00ED5E43"/>
    <w:rsid w:val="00EE703B"/>
    <w:rsid w:val="00F40896"/>
    <w:rsid w:val="00F513F6"/>
    <w:rsid w:val="00F96203"/>
    <w:rsid w:val="00F97B51"/>
    <w:rsid w:val="00FB1545"/>
    <w:rsid w:val="00FC6A58"/>
    <w:rsid w:val="00FF05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ED6857"/>
  <w15:docId w15:val="{31B967CB-FC3B-4EE6-A5A9-C6D2DECEB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6679"/>
    <w:rPr>
      <w:rFonts w:ascii="Times New Roman" w:hAnsi="Times New Roman"/>
      <w:sz w:val="24"/>
    </w:rPr>
  </w:style>
  <w:style w:type="paragraph" w:styleId="Heading1">
    <w:name w:val="heading 1"/>
    <w:basedOn w:val="Normal"/>
    <w:next w:val="Normal"/>
    <w:link w:val="Heading1Char"/>
    <w:uiPriority w:val="9"/>
    <w:qFormat/>
    <w:rsid w:val="001B6679"/>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E738AA"/>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79"/>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E738AA"/>
    <w:rPr>
      <w:rFonts w:ascii="Times New Roman" w:eastAsiaTheme="majorEastAsia" w:hAnsi="Times New Roman" w:cstheme="majorBidi"/>
      <w:b/>
      <w:sz w:val="24"/>
      <w:szCs w:val="26"/>
    </w:rPr>
  </w:style>
  <w:style w:type="character" w:styleId="LineNumber">
    <w:name w:val="line number"/>
    <w:basedOn w:val="DefaultParagraphFont"/>
    <w:uiPriority w:val="99"/>
    <w:semiHidden/>
    <w:unhideWhenUsed/>
    <w:rsid w:val="001B6679"/>
  </w:style>
  <w:style w:type="table" w:customStyle="1" w:styleId="PlainTable11">
    <w:name w:val="Plain Table 11"/>
    <w:basedOn w:val="TableNormal"/>
    <w:uiPriority w:val="41"/>
    <w:rsid w:val="001B66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anuscriptText">
    <w:name w:val="ManuscriptText"/>
    <w:basedOn w:val="BodyText"/>
    <w:qFormat/>
    <w:rsid w:val="00E738AA"/>
    <w:pPr>
      <w:widowControl w:val="0"/>
      <w:suppressAutoHyphens/>
      <w:autoSpaceDE w:val="0"/>
      <w:autoSpaceDN w:val="0"/>
      <w:adjustRightInd w:val="0"/>
      <w:spacing w:after="0" w:line="480" w:lineRule="auto"/>
      <w:ind w:firstLine="720"/>
      <w:jc w:val="both"/>
    </w:pPr>
    <w:rPr>
      <w:rFonts w:eastAsia="Times New Roman" w:cs="Times New Roman"/>
      <w:kern w:val="1"/>
      <w:szCs w:val="24"/>
      <w:lang w:eastAsia="hi-IN" w:bidi="hi-IN"/>
    </w:rPr>
  </w:style>
  <w:style w:type="paragraph" w:styleId="BodyText">
    <w:name w:val="Body Text"/>
    <w:basedOn w:val="Normal"/>
    <w:link w:val="BodyTextChar"/>
    <w:uiPriority w:val="99"/>
    <w:semiHidden/>
    <w:unhideWhenUsed/>
    <w:rsid w:val="00E738AA"/>
    <w:pPr>
      <w:spacing w:after="120"/>
    </w:pPr>
  </w:style>
  <w:style w:type="character" w:customStyle="1" w:styleId="BodyTextChar">
    <w:name w:val="Body Text Char"/>
    <w:basedOn w:val="DefaultParagraphFont"/>
    <w:link w:val="BodyText"/>
    <w:uiPriority w:val="99"/>
    <w:semiHidden/>
    <w:rsid w:val="00E738AA"/>
    <w:rPr>
      <w:rFonts w:ascii="Times New Roman" w:hAnsi="Times New Roman"/>
      <w:sz w:val="24"/>
    </w:rPr>
  </w:style>
  <w:style w:type="character" w:styleId="CommentReference">
    <w:name w:val="annotation reference"/>
    <w:basedOn w:val="DefaultParagraphFont"/>
    <w:uiPriority w:val="99"/>
    <w:semiHidden/>
    <w:unhideWhenUsed/>
    <w:rsid w:val="00FC6A58"/>
    <w:rPr>
      <w:sz w:val="16"/>
      <w:szCs w:val="16"/>
    </w:rPr>
  </w:style>
  <w:style w:type="paragraph" w:styleId="CommentText">
    <w:name w:val="annotation text"/>
    <w:basedOn w:val="Normal"/>
    <w:link w:val="CommentTextChar"/>
    <w:uiPriority w:val="99"/>
    <w:semiHidden/>
    <w:unhideWhenUsed/>
    <w:rsid w:val="00FC6A58"/>
    <w:pPr>
      <w:spacing w:line="240" w:lineRule="auto"/>
    </w:pPr>
    <w:rPr>
      <w:sz w:val="20"/>
      <w:szCs w:val="20"/>
    </w:rPr>
  </w:style>
  <w:style w:type="character" w:customStyle="1" w:styleId="CommentTextChar">
    <w:name w:val="Comment Text Char"/>
    <w:basedOn w:val="DefaultParagraphFont"/>
    <w:link w:val="CommentText"/>
    <w:uiPriority w:val="99"/>
    <w:semiHidden/>
    <w:rsid w:val="00FC6A5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C6A58"/>
    <w:rPr>
      <w:b/>
      <w:bCs/>
    </w:rPr>
  </w:style>
  <w:style w:type="character" w:customStyle="1" w:styleId="CommentSubjectChar">
    <w:name w:val="Comment Subject Char"/>
    <w:basedOn w:val="CommentTextChar"/>
    <w:link w:val="CommentSubject"/>
    <w:uiPriority w:val="99"/>
    <w:semiHidden/>
    <w:rsid w:val="00FC6A58"/>
    <w:rPr>
      <w:rFonts w:ascii="Times New Roman" w:hAnsi="Times New Roman"/>
      <w:b/>
      <w:bCs/>
      <w:sz w:val="20"/>
      <w:szCs w:val="20"/>
    </w:rPr>
  </w:style>
  <w:style w:type="paragraph" w:styleId="BalloonText">
    <w:name w:val="Balloon Text"/>
    <w:basedOn w:val="Normal"/>
    <w:link w:val="BalloonTextChar"/>
    <w:uiPriority w:val="99"/>
    <w:semiHidden/>
    <w:unhideWhenUsed/>
    <w:rsid w:val="00FC6A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A58"/>
    <w:rPr>
      <w:rFonts w:ascii="Segoe UI" w:hAnsi="Segoe UI" w:cs="Segoe UI"/>
      <w:sz w:val="18"/>
      <w:szCs w:val="18"/>
    </w:rPr>
  </w:style>
  <w:style w:type="table" w:styleId="TableGrid">
    <w:name w:val="Table Grid"/>
    <w:basedOn w:val="TableNormal"/>
    <w:uiPriority w:val="39"/>
    <w:rsid w:val="002F1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99"/>
    <w:rsid w:val="002F1C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73052-02E2-4C16-847A-E27A351AA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25</Pages>
  <Words>15383</Words>
  <Characters>87684</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Alexandra Linz</cp:lastModifiedBy>
  <cp:revision>14</cp:revision>
  <dcterms:created xsi:type="dcterms:W3CDTF">2017-01-30T21:50:00Z</dcterms:created>
  <dcterms:modified xsi:type="dcterms:W3CDTF">2017-02-06T20:41:00Z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amlinz16@gmail.com@www.mendeley.com</vt:lpwstr>
  </property>
  <property fmtid="{D5CDD505-2E9C-101B-9397-08002B2CF9AE}" pid="4" name="Mendeley Citation Style_1">
    <vt:lpwstr>http://www.zotero.org/styles/american-society-for-microbiology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http://www.zotero.org/styles/american-society-for-microbiology</vt:lpwstr>
  </property>
  <property fmtid="{D5CDD505-2E9C-101B-9397-08002B2CF9AE}" pid="12" name="Mendeley Recent Style Name 3_1">
    <vt:lpwstr>American Society for Microbiology</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