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11A52E4F" w:rsidR="00164393" w:rsidRDefault="00364258" w:rsidP="00D916DA">
      <w:pPr>
        <w:pStyle w:val="Heading1"/>
        <w:jc w:val="left"/>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 xml:space="preserve">conserved patterns and ecological </w:t>
      </w:r>
      <w:r w:rsidR="00E22B85">
        <w:rPr>
          <w:sz w:val="36"/>
          <w:szCs w:val="36"/>
        </w:rPr>
        <w:t>interactions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4099297E" w14:textId="43727EC7" w:rsidR="00164393" w:rsidRDefault="00E2018C" w:rsidP="00D916DA">
      <w:pPr>
        <w:pStyle w:val="Normal1"/>
        <w:spacing w:line="240" w:lineRule="auto"/>
        <w:jc w:val="left"/>
      </w:pPr>
      <w:r>
        <w:t>*Corresponding author</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59271B6C" w14:textId="77777777" w:rsidR="00164393" w:rsidRDefault="00164393" w:rsidP="00D916DA">
      <w:pPr>
        <w:pStyle w:val="Normal1"/>
        <w:spacing w:line="240" w:lineRule="auto"/>
        <w:jc w:val="left"/>
        <w:rPr>
          <w:rFonts w:ascii="Georgia" w:eastAsia="Georgia" w:hAnsi="Georgia" w:cs="Georgia"/>
        </w:rPr>
      </w:pPr>
    </w:p>
    <w:p w14:paraId="4C53E4E3" w14:textId="77777777" w:rsidR="00164393" w:rsidRDefault="00164393" w:rsidP="00D916DA">
      <w:pPr>
        <w:pStyle w:val="Normal1"/>
        <w:spacing w:line="240" w:lineRule="auto"/>
        <w:jc w:val="left"/>
        <w:rPr>
          <w:rFonts w:ascii="Georgia" w:eastAsia="Georgia" w:hAnsi="Georgia" w:cs="Georgia"/>
        </w:rPr>
      </w:pPr>
    </w:p>
    <w:p w14:paraId="4980C376" w14:textId="77777777" w:rsidR="00164393" w:rsidRDefault="00164393" w:rsidP="00D916DA">
      <w:pPr>
        <w:pStyle w:val="Normal1"/>
        <w:spacing w:line="240" w:lineRule="auto"/>
        <w:jc w:val="left"/>
        <w:rPr>
          <w:rFonts w:ascii="Georgia" w:eastAsia="Georgia" w:hAnsi="Georgia" w:cs="Georgia"/>
        </w:rPr>
      </w:pPr>
    </w:p>
    <w:p w14:paraId="6BD76E64"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32CC7BA2" w:rsidR="00CB2C6A" w:rsidRPr="00CB2C6A" w:rsidRDefault="00CB2C6A" w:rsidP="00D916DA">
      <w:pPr>
        <w:pStyle w:val="Normal1"/>
        <w:spacing w:line="240" w:lineRule="auto"/>
        <w:jc w:val="left"/>
      </w:pPr>
      <w:r>
        <w:tab/>
        <w:t xml:space="preserve">Microbial communities form the base of 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regardless of variation in lake characteristics.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w:t>
      </w:r>
      <w:r w:rsidR="0049105A">
        <w:t>We</w:t>
      </w:r>
      <w:r w:rsidR="005A0693">
        <w:t xml:space="preserve"> identif</w:t>
      </w:r>
      <w:r w:rsidR="00FA552F">
        <w:t>ied</w:t>
      </w:r>
      <w:r w:rsidR="005A0693">
        <w:t xml:space="preserve"> both differential expression in day v</w:t>
      </w:r>
      <w:r w:rsidR="0083119B">
        <w:t>ersus</w:t>
      </w:r>
      <w:r w:rsidR="005A0693">
        <w:t xml:space="preserve"> night and diel cycles in all three lakes. Specifically, genes related to photosynthesis were more expressed during daylight, and genes related to sugar transport were more expressed at night</w:t>
      </w:r>
      <w:r w:rsidR="00FA552F">
        <w:t>,</w:t>
      </w:r>
      <w:r w:rsidR="005A0693">
        <w:t xml:space="preserve"> suggesting that primary production and respiration are not only performed by different community members, but also performed at different times.</w:t>
      </w:r>
      <w:r w:rsidR="00FA552F">
        <w:t xml:space="preserve"> These results indicate sophisticated organization within freshwater microbial communities that is generalizable across lake types.</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77C662C3" w:rsidR="00FA552F" w:rsidRPr="00FA552F" w:rsidRDefault="00FA552F" w:rsidP="00D916DA">
      <w:pPr>
        <w:pStyle w:val="Normal1"/>
        <w:spacing w:line="240" w:lineRule="auto"/>
        <w:jc w:val="left"/>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8"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lastRenderedPageBreak/>
        <w:t>Introduction</w:t>
      </w:r>
    </w:p>
    <w:p w14:paraId="18C9A99F" w14:textId="6219C5BB"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636346DB" w:rsidR="00164393" w:rsidRDefault="004D7648" w:rsidP="00D916DA">
      <w:pPr>
        <w:pStyle w:val="Normal1"/>
        <w:ind w:firstLine="720"/>
        <w:jc w:val="left"/>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 xml:space="preserve">expression of energy acquisition pathways during the day and higher expression of </w:t>
      </w:r>
      <w:r w:rsidR="00E22B85">
        <w:lastRenderedPageBreak/>
        <w:t>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35892F92"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D916DA">
        <w:rPr>
          <w:noProof/>
          <w:lang w:val="da-DK"/>
        </w:rPr>
        <w:t>(Verity et al. 1999; Teeling et al. 2012; Paver et al. 2013, 2015)</w:t>
      </w:r>
      <w:r w:rsidR="004479AA">
        <w:fldChar w:fldCharType="end"/>
      </w:r>
      <w:r w:rsidR="0063056B" w:rsidRPr="007D42CF">
        <w:rPr>
          <w:lang w:val="da-DK"/>
        </w:rPr>
        <w:t>.</w:t>
      </w:r>
      <w:r w:rsidR="00BE5EE4" w:rsidRPr="007D42CF">
        <w:rPr>
          <w:lang w:val="da-DK"/>
        </w:rPr>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63056B">
        <w:t>Up to 80%</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in marine systems,</w:t>
      </w:r>
      <w:r w:rsidR="00CD5D24">
        <w:t xml:space="preserve"> while </w:t>
      </w:r>
      <w:r w:rsidR="0063056B">
        <w:t>up to</w:t>
      </w:r>
      <w:r w:rsidR="00CD5D24">
        <w:t xml:space="preserve"> 99%</w:t>
      </w:r>
      <w:r w:rsidR="0063056B">
        <w:t xml:space="preserve"> release</w:t>
      </w:r>
      <w:r w:rsidR="00CD5D24">
        <w:t xml:space="preserve"> ha</w:t>
      </w:r>
      <w:r w:rsidR="0063056B">
        <w:t>s</w:t>
      </w:r>
      <w:r w:rsidR="00CD5D24">
        <w:t xml:space="preserve"> been reported in freshwater</w:t>
      </w:r>
      <w:r w:rsidR="004545DC">
        <w:t>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w:t>
      </w:r>
      <w:r w:rsidR="000D654B">
        <w:lastRenderedPageBreak/>
        <w:t xml:space="preserve">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043FAEC3"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p>
    <w:p w14:paraId="6FCC3DEE" w14:textId="08505610"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2" w:name="_fx005m2pfqb7" w:colFirst="0" w:colLast="0"/>
      <w:bookmarkEnd w:id="2"/>
      <w:r>
        <w:rPr>
          <w:rFonts w:ascii="Times New Roman" w:eastAsia="Times New Roman" w:hAnsi="Times New Roman" w:cs="Times New Roman"/>
        </w:rPr>
        <w:lastRenderedPageBreak/>
        <w:t>Methods</w:t>
      </w:r>
    </w:p>
    <w:p w14:paraId="47751E17" w14:textId="77777777" w:rsidR="00164393" w:rsidRDefault="00E22B85" w:rsidP="00D916DA">
      <w:pPr>
        <w:pStyle w:val="Heading3"/>
        <w:jc w:val="left"/>
        <w:rPr>
          <w:color w:val="000000"/>
        </w:rPr>
      </w:pPr>
      <w:bookmarkStart w:id="3" w:name="_8alg5w71bqcy" w:colFirst="0" w:colLast="0"/>
      <w:bookmarkEnd w:id="3"/>
      <w:r>
        <w:rPr>
          <w:color w:val="000000"/>
        </w:rPr>
        <w:t>Study design and in situ measurements</w:t>
      </w:r>
    </w:p>
    <w:p w14:paraId="73102ED2" w14:textId="0243440A" w:rsidR="00164393" w:rsidRDefault="00E22B85" w:rsidP="00D916DA">
      <w:pPr>
        <w:pStyle w:val="Normal1"/>
        <w:ind w:firstLine="720"/>
        <w:jc w:val="left"/>
      </w:pPr>
      <w:r>
        <w:t xml:space="preserve">Three lakes in Wisconsin, USA, were chosen for this study based on their </w:t>
      </w:r>
      <w:r w:rsidR="00671E0F">
        <w:t xml:space="preserve">different </w:t>
      </w:r>
      <w:r>
        <w:t>trophic status: oligotrophic (Sparkling Lake</w:t>
      </w:r>
      <w:r w:rsidR="009F5CE8">
        <w:t>,</w:t>
      </w:r>
      <w:r w:rsidR="00B362F8">
        <w:t xml:space="preserve"> SP</w:t>
      </w:r>
      <w:r>
        <w:t>), eutrophic (Lake Mendota</w:t>
      </w:r>
      <w:r w:rsidR="009F5CE8">
        <w:t>,</w:t>
      </w:r>
      <w:r w:rsidR="00B362F8">
        <w:t xml:space="preserve"> ME</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sidR="00B362F8">
        <w:rPr>
          <w:b/>
        </w:rPr>
        <w:t xml:space="preserve"> </w:t>
      </w:r>
      <w:r w:rsidR="00B362F8" w:rsidRPr="00B362F8">
        <w:t>ME</w:t>
      </w:r>
      <w:r>
        <w:t xml:space="preserve"> is located in Madison, WI, USA, while T</w:t>
      </w:r>
      <w:r w:rsidR="009F5CE8">
        <w:t>B</w:t>
      </w:r>
      <w:r>
        <w:t xml:space="preserve"> and</w:t>
      </w:r>
      <w:r w:rsidR="00B362F8">
        <w:t xml:space="preserve"> SP</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1B5B4F6D" w:rsidR="00164393" w:rsidRDefault="003E7294" w:rsidP="00D916DA">
      <w:pPr>
        <w:pStyle w:val="Normal1"/>
        <w:ind w:firstLine="720"/>
        <w:jc w:val="left"/>
      </w:pPr>
      <w:r>
        <w:t xml:space="preserve">Hereafter, we provide brief summaries of our methods; full protocols are available in Supplemental Document </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350FA6F0" w:rsidR="00164393" w:rsidRDefault="0033334B" w:rsidP="00D916DA">
      <w:pPr>
        <w:pStyle w:val="Normal1"/>
        <w:ind w:firstLine="720"/>
        <w:jc w:val="left"/>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ater from the integrated epilimnion sample was 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t>
      </w:r>
      <w:r w:rsidR="00E22B85">
        <w:lastRenderedPageBreak/>
        <w:t>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4" w:name="_em0pnlq4s3qx" w:colFirst="0" w:colLast="0"/>
      <w:bookmarkEnd w:id="4"/>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proofErr w:type="spellStart"/>
      <w:proofErr w:type="gramStart"/>
      <w:r w:rsidR="003B00D7">
        <w:t>Phenol:c</w:t>
      </w:r>
      <w:bookmarkStart w:id="5" w:name="_GoBack"/>
      <w:bookmarkEnd w:id="5"/>
      <w:r w:rsidR="00E22B85">
        <w:t>hloroform</w:t>
      </w:r>
      <w:proofErr w:type="spellEnd"/>
      <w:proofErr w:type="gram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w:t>
      </w:r>
      <w:proofErr w:type="gramStart"/>
      <w:r w:rsidR="00E22B85">
        <w:t>an</w:t>
      </w:r>
      <w:proofErr w:type="gramEnd"/>
      <w:r w:rsidR="00E22B85">
        <w:t xml:space="preserve">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rsidP="00D916DA">
      <w:pPr>
        <w:pStyle w:val="Heading3"/>
        <w:jc w:val="left"/>
        <w:rPr>
          <w:color w:val="000000"/>
        </w:rPr>
      </w:pPr>
      <w:bookmarkStart w:id="6" w:name="_ju176pq6583a" w:colFirst="0" w:colLast="0"/>
      <w:bookmarkEnd w:id="6"/>
      <w:r>
        <w:rPr>
          <w:color w:val="000000"/>
        </w:rPr>
        <w:t>Additional lab-based measurements</w:t>
      </w:r>
    </w:p>
    <w:p w14:paraId="67E742B1" w14:textId="7BB237D4"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proofErr w:type="gramStart"/>
      <w:r>
        <w:t>phenol</w:t>
      </w:r>
      <w:r w:rsidR="00244FE5">
        <w:t>:</w:t>
      </w:r>
      <w:r>
        <w:t>chloroform</w:t>
      </w:r>
      <w:proofErr w:type="spellEnd"/>
      <w:proofErr w:type="gram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B362F8">
        <w:t xml:space="preserve"> SP</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37DF1A99" w:rsidR="00DA6C13" w:rsidRDefault="00DA6C13" w:rsidP="00D916DA">
      <w:pPr>
        <w:ind w:firstLine="720"/>
        <w:jc w:val="left"/>
      </w:pPr>
      <w:r>
        <w:lastRenderedPageBreak/>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Briefly, individual cells were 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SP</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4D57117D"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populations","type":"article-journal","volume":"12"},"uris":["http://www.mendeley.com/documents/?uuid=2f85a6f8-c376-3070-b5eb-f8b980216330"]}],"mendeley":{"formattedCitation":"(Ghylin et al. 2014; Garcia et al. 2018; Linz et al. 2018)","plainTextFormattedCitation":"(Ghylin et al. 2014; Garcia et al. 2018; Linz et al. 2018)","previouslyFormattedCitation":"(Ghylin et al. 2014; Garcia et al. 2018; Linz et al. 2018)"},"properties":{"noteIndex":0},"schema":"https://github.com/citation-style-language/schema/raw/master/csl-citation.json"}</w:instrText>
      </w:r>
      <w:r>
        <w:rPr>
          <w:color w:val="000000"/>
        </w:rPr>
        <w:fldChar w:fldCharType="separate"/>
      </w:r>
      <w:r w:rsidR="00D916DA" w:rsidRPr="00D916DA">
        <w:rPr>
          <w:noProof/>
          <w:color w:val="000000"/>
        </w:rPr>
        <w:t xml:space="preserve">(Ghylin et al. 2014; Garcia et al. 2018; Linz </w:t>
      </w:r>
      <w:r w:rsidR="00D916DA" w:rsidRPr="00D916DA">
        <w:rPr>
          <w:noProof/>
          <w:color w:val="000000"/>
        </w:rPr>
        <w:lastRenderedPageBreak/>
        <w:t>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reads (</w:t>
      </w:r>
      <w:r w:rsidR="000C1647">
        <w:t>Table S1</w:t>
      </w:r>
      <w:r>
        <w:t xml:space="preserve">).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 was chosen as the representative sequence and used as the mapping reference.</w:t>
      </w:r>
    </w:p>
    <w:p w14:paraId="3ECF3CDD" w14:textId="2733E8D2" w:rsidR="00DA6C13" w:rsidRPr="00DA6C13" w:rsidRDefault="00DA6C13" w:rsidP="00D916DA">
      <w:pPr>
        <w:pStyle w:val="Normal1"/>
        <w:ind w:firstLine="720"/>
        <w:jc w:val="left"/>
      </w:pPr>
      <w:r>
        <w:t xml:space="preserve">Individual metagenome assemblies were binned using </w:t>
      </w:r>
      <w:proofErr w:type="spellStart"/>
      <w:r>
        <w:t>M</w:t>
      </w:r>
      <w:r w:rsidR="00C67779">
        <w:t>axBin</w:t>
      </w:r>
      <w:proofErr w:type="spellEnd"/>
      <w:r w:rsidR="00C67779">
        <w:t xml:space="preserve">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w:t>
      </w:r>
      <w:proofErr w:type="spellStart"/>
      <w:r>
        <w:t>CheckM</w:t>
      </w:r>
      <w:proofErr w:type="spellEnd"/>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fldChar w:fldCharType="begin" w:fldLock="1"/>
      </w:r>
      <w:r w:rsidR="00235083">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00D916DA" w:rsidRPr="00D916DA">
        <w:rPr>
          <w:noProof/>
        </w:rPr>
        <w:t>(Markowitz et al. 2012)</w:t>
      </w:r>
      <w:r>
        <w:fldChar w:fldCharType="end"/>
      </w:r>
      <w:r>
        <w:t xml:space="preserve"> for each coding region on a contig/bin using in-house McMahon Lab scripts.</w:t>
      </w:r>
      <w:r w:rsidR="00E73DB1">
        <w:t xml:space="preserve"> Where contigs were too short to classify or had conflicting coding region classifications, the coding region classifications were used instead. </w:t>
      </w:r>
    </w:p>
    <w:p w14:paraId="6FD20BC1" w14:textId="04C1AA6B" w:rsidR="00B112C6" w:rsidRPr="001D75BD" w:rsidRDefault="00DA6C13" w:rsidP="00D916DA">
      <w:pPr>
        <w:pStyle w:val="Heading3"/>
        <w:jc w:val="left"/>
        <w:rPr>
          <w:color w:val="000000"/>
        </w:rPr>
      </w:pPr>
      <w:bookmarkStart w:id="7" w:name="_bmysu084743p" w:colFirst="0" w:colLast="0"/>
      <w:bookmarkEnd w:id="7"/>
      <w:proofErr w:type="spellStart"/>
      <w:r>
        <w:rPr>
          <w:color w:val="000000"/>
        </w:rPr>
        <w:t>Metatranscriptomics</w:t>
      </w:r>
      <w:proofErr w:type="spellEnd"/>
      <w:r w:rsidR="00B112C6">
        <w:t xml:space="preserve"> </w:t>
      </w:r>
    </w:p>
    <w:p w14:paraId="4D340945" w14:textId="3EC1DA28" w:rsidR="00DA6C13" w:rsidRDefault="00AA2238" w:rsidP="00D916DA">
      <w:pPr>
        <w:pStyle w:val="Normal1"/>
        <w:ind w:firstLine="720"/>
        <w:jc w:val="left"/>
      </w:pPr>
      <w:proofErr w:type="spellStart"/>
      <w:r>
        <w:t>Metatranscriptomic</w:t>
      </w:r>
      <w:proofErr w:type="spellEnd"/>
      <w:r>
        <w:t xml:space="preserve"> sam</w:t>
      </w:r>
      <w:r w:rsidR="007A6AEB">
        <w:t>pl</w:t>
      </w:r>
      <w:r>
        <w:t>es</w:t>
      </w:r>
      <w:r w:rsidR="00E22B85">
        <w:t xml:space="preserve"> were sequenced by the JGI. </w:t>
      </w:r>
      <w:r w:rsidR="002A3821">
        <w:t>R</w:t>
      </w:r>
      <w:r w:rsidR="00E22B85">
        <w:t xml:space="preserve">ibosomal RNA was depleted </w:t>
      </w:r>
      <w:r w:rsidR="002A3821">
        <w:t xml:space="preserve">using the </w:t>
      </w:r>
      <w:r>
        <w:t xml:space="preserve">Illumina </w:t>
      </w:r>
      <w:proofErr w:type="spellStart"/>
      <w:r>
        <w:t>Ribo</w:t>
      </w:r>
      <w:proofErr w:type="spellEnd"/>
      <w:r>
        <w:t>-Zero rRNA Removal Kit</w:t>
      </w:r>
      <w:r w:rsidR="003B00D7">
        <w:t xml:space="preserve">, and </w:t>
      </w:r>
      <w:r>
        <w:t xml:space="preserve">samples were prepared for sequencing with the Illumina </w:t>
      </w:r>
      <w:proofErr w:type="spellStart"/>
      <w:r>
        <w:t>TruSeq</w:t>
      </w:r>
      <w:proofErr w:type="spellEnd"/>
      <w:r>
        <w:t xml:space="preserve"> Stranded Total RNA HT kit</w:t>
      </w:r>
      <w:r w:rsidR="00E22B85">
        <w:t xml:space="preserve">. </w:t>
      </w:r>
      <w:r>
        <w:t>Samples were</w:t>
      </w:r>
      <w:r w:rsidR="00E22B85">
        <w:t xml:space="preserve"> sequenced using</w:t>
      </w:r>
      <w:r>
        <w:t xml:space="preserve"> the</w:t>
      </w:r>
      <w:r w:rsidR="00E22B85">
        <w:t xml:space="preserve"> Illumina </w:t>
      </w:r>
      <w:proofErr w:type="spellStart"/>
      <w:r w:rsidR="00E22B85">
        <w:t>HiSeq</w:t>
      </w:r>
      <w:proofErr w:type="spellEnd"/>
      <w:r w:rsidR="00E22B85">
        <w:t xml:space="preserve"> </w:t>
      </w:r>
      <w:r>
        <w:t xml:space="preserve">platform and a </w:t>
      </w:r>
      <w:proofErr w:type="spellStart"/>
      <w:r>
        <w:t>TruSeq</w:t>
      </w:r>
      <w:proofErr w:type="spellEnd"/>
      <w:r>
        <w:t xml:space="preserve"> paired-end clustering kit for paired-end, 150bp sequencing (2x150).</w:t>
      </w:r>
      <w:r w:rsidR="00E22B85">
        <w:t xml:space="preserve"> </w:t>
      </w:r>
      <w:proofErr w:type="spellStart"/>
      <w:r w:rsidRPr="002A3821">
        <w:t>BBDuk</w:t>
      </w:r>
      <w:proofErr w:type="spellEnd"/>
      <w:r w:rsidRPr="002A3821">
        <w:t xml:space="preserve"> adapter trimming was used to remove known Illumina adapters.  </w:t>
      </w:r>
      <w:r>
        <w:rPr>
          <w:szCs w:val="20"/>
          <w:lang w:val="en-US"/>
        </w:rPr>
        <w:t>R</w:t>
      </w:r>
      <w:r w:rsidRPr="002A3821">
        <w:rPr>
          <w:szCs w:val="20"/>
          <w:lang w:val="en-US"/>
        </w:rPr>
        <w:t>eads ends were trimmed where</w:t>
      </w:r>
      <w:r>
        <w:t xml:space="preserve"> </w:t>
      </w:r>
      <w:r w:rsidRPr="002A3821">
        <w:rPr>
          <w:szCs w:val="20"/>
          <w:lang w:val="en-US"/>
        </w:rPr>
        <w:t>quality values were less than 12.  Read pairs containing more than three 'N', or with quality</w:t>
      </w:r>
      <w:r>
        <w:t xml:space="preserve"> </w:t>
      </w:r>
      <w:r w:rsidRPr="002A3821">
        <w:rPr>
          <w:szCs w:val="20"/>
          <w:lang w:val="en-US"/>
        </w:rPr>
        <w:t>scores (before trimming) averaging less than 3 over the read, or length under 51bp after trimming were discarded.</w:t>
      </w:r>
      <w:r>
        <w:rPr>
          <w:szCs w:val="20"/>
          <w:lang w:val="en-US"/>
        </w:rPr>
        <w:t xml:space="preserve"> </w:t>
      </w:r>
      <w:r w:rsidR="00DA6C13">
        <w:t xml:space="preserve">Ribosomal RNA reads were removed using </w:t>
      </w:r>
      <w:proofErr w:type="spellStart"/>
      <w:r w:rsidR="00DA6C13">
        <w:lastRenderedPageBreak/>
        <w:t>SortMeRNA</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xml:space="preserve">. </w:t>
      </w:r>
      <w:proofErr w:type="spellStart"/>
      <w:r w:rsidR="00DA6C13">
        <w:t>Metatranscriptomic</w:t>
      </w:r>
      <w:proofErr w:type="spellEnd"/>
      <w:r w:rsidR="00DA6C13">
        <w:t xml:space="preserve"> reads were</w:t>
      </w:r>
      <w:r w:rsidR="00C67779">
        <w:t xml:space="preserve"> competitively</w:t>
      </w:r>
      <w:r w:rsidR="00DA6C13">
        <w:t xml:space="preserve"> mapped to this database with a 90% ID cutoff using </w:t>
      </w:r>
      <w:proofErr w:type="spellStart"/>
      <w:r w:rsidR="00DA6C13">
        <w:t>BBMap</w:t>
      </w:r>
      <w:proofErr w:type="spellEnd"/>
      <w:r w:rsidR="00DA6C13">
        <w:t xml:space="preserve"> and requiring at least 75% overlap with a gene feature. Mapped reads were tabulated using </w:t>
      </w:r>
      <w:proofErr w:type="spellStart"/>
      <w:r w:rsidR="00DA6C13">
        <w:t>FeatureCounts</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355DB0CB"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SP</w:t>
      </w:r>
      <w:r>
        <w:t>, 30 from</w:t>
      </w:r>
      <w:r w:rsidR="00B362F8">
        <w:t xml:space="preserve"> ME</w:t>
      </w:r>
      <w:r>
        <w:t xml:space="preserve">, and 21 from </w:t>
      </w:r>
      <w:r w:rsidR="00AF2017">
        <w:t>TB</w:t>
      </w:r>
      <w:r>
        <w:t xml:space="preserve">. Many samples from day two in the </w:t>
      </w:r>
      <w:r w:rsidR="00AF2017">
        <w:t>TB</w:t>
      </w:r>
      <w:r>
        <w:t xml:space="preserve"> time series failed to meet quality control standards.</w:t>
      </w:r>
    </w:p>
    <w:p w14:paraId="3FD792C6" w14:textId="64BCDB0C" w:rsidR="00164393" w:rsidRPr="00B112C6" w:rsidRDefault="00E22B85" w:rsidP="00D916DA">
      <w:pPr>
        <w:pStyle w:val="Heading3"/>
        <w:jc w:val="left"/>
        <w:rPr>
          <w:color w:val="000000"/>
        </w:rPr>
      </w:pPr>
      <w:bookmarkStart w:id="8" w:name="_1k60gpsz1jbo" w:colFirst="0" w:colLast="0"/>
      <w:bookmarkStart w:id="9" w:name="_w0bizv9z0f9x" w:colFirst="0" w:colLast="0"/>
      <w:bookmarkEnd w:id="8"/>
      <w:bookmarkEnd w:id="9"/>
      <w:r>
        <w:rPr>
          <w:color w:val="000000"/>
        </w:rPr>
        <w:t>Statistics</w:t>
      </w:r>
      <w:r>
        <w:t xml:space="preserve"> </w:t>
      </w:r>
    </w:p>
    <w:p w14:paraId="06763408" w14:textId="1A6B081C"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To reduce noise in the dataset, the top 20,000 expressed genes in each lake were retained for differential expression analysis. From this subset, marker genes for metabolic processes were selected and aggregated by pathway. The summed expression of each pathway/process was input into DESeq</w:t>
      </w:r>
      <w:r w:rsidR="008C0528">
        <w:t>2</w:t>
      </w:r>
      <w:r w:rsidR="00E22B85">
        <w:t xml:space="preserve"> to test </w:t>
      </w:r>
      <w:r w:rsidR="000A4F8D">
        <w:t xml:space="preserve">for </w:t>
      </w:r>
      <w:r w:rsidR="00E22B85">
        <w:t>differential expression</w:t>
      </w:r>
      <w:r w:rsidR="008C0528">
        <w:t xml:space="preserve"> </w:t>
      </w:r>
      <w:r w:rsidR="008C0528">
        <w:fldChar w:fldCharType="begin" w:fldLock="1"/>
      </w:r>
      <w:r w:rsidR="00235083">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et al. 2016)","plainTextFormattedCitation":"(Love et al. 2016)","previouslyFormattedCitation":"(Love et al. 2016)"},"properties":{"noteIndex":0},"schema":"https://github.com/citation-style-language/schema/raw/master/csl-citation.json"}</w:instrText>
      </w:r>
      <w:r w:rsidR="008C0528">
        <w:fldChar w:fldCharType="separate"/>
      </w:r>
      <w:r w:rsidR="00D916DA" w:rsidRPr="00D916DA">
        <w:rPr>
          <w:noProof/>
        </w:rPr>
        <w:t>(Love et al.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w:t>
      </w:r>
      <w:r w:rsidR="00AF2017">
        <w:t xml:space="preserve">. </w:t>
      </w:r>
      <w:r w:rsidR="00B112C6">
        <w:t>In addition to</w:t>
      </w:r>
      <w:r w:rsidR="00E22B85">
        <w:t xml:space="preserve"> normalizing by the internal standard, samples were </w:t>
      </w:r>
      <w:r w:rsidR="000A4F8D">
        <w:t xml:space="preserve">also </w:t>
      </w:r>
      <w:r w:rsidR="00E22B85">
        <w:t xml:space="preserve">normalized </w:t>
      </w:r>
      <w:r w:rsidR="00E55E5A">
        <w:t>using a negative binomial distribution using DESeq</w:t>
      </w:r>
      <w:r w:rsidR="008C0528">
        <w:t>2</w:t>
      </w:r>
      <w:r w:rsidR="00E55E5A">
        <w:t xml:space="preserve"> </w:t>
      </w:r>
      <w:r w:rsidR="00E22B85">
        <w:t>to control for compositional bias</w:t>
      </w:r>
      <w:r w:rsidR="00B112C6">
        <w:t xml:space="preserve"> before testing </w:t>
      </w:r>
      <w:r w:rsidR="000A4F8D">
        <w:t xml:space="preserve">for </w:t>
      </w:r>
      <w:r w:rsidR="00B112C6">
        <w:t>differential expression</w:t>
      </w:r>
      <w:r w:rsidR="00E55E5A">
        <w:t xml:space="preserve"> </w:t>
      </w:r>
      <w:r w:rsidR="00E55E5A">
        <w:fldChar w:fldCharType="begin" w:fldLock="1"/>
      </w:r>
      <w:r w:rsidR="00235083">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D916DA" w:rsidRPr="00D916DA">
        <w:rPr>
          <w:noProof/>
        </w:rPr>
        <w:t>(Anders and Huber 2010)</w:t>
      </w:r>
      <w:r w:rsidR="00E55E5A">
        <w:fldChar w:fldCharType="end"/>
      </w:r>
      <w:r w:rsidR="00E22B85">
        <w:t xml:space="preserve">.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Based on PAR, d</w:t>
      </w:r>
      <w:r w:rsidR="00E22B85">
        <w:t>ay time</w:t>
      </w:r>
      <w:r w:rsidR="001B12C6">
        <w:t xml:space="preserve"> </w:t>
      </w:r>
      <w:r w:rsidR="00E22B85">
        <w:t>points were considered to be 9AM, 1PM, and 5PM, while night time</w:t>
      </w:r>
      <w:r w:rsidR="001B12C6">
        <w:t xml:space="preserve"> </w:t>
      </w:r>
      <w:r w:rsidR="00E22B85">
        <w:t xml:space="preserve">points were </w:t>
      </w:r>
      <w:r w:rsidR="00E22B85">
        <w:lastRenderedPageBreak/>
        <w:t xml:space="preserve">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10" w:name="_8i6phqimfszc" w:colFirst="0" w:colLast="0"/>
      <w:bookmarkEnd w:id="10"/>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1" w:name="_k28i5150uff6" w:colFirst="0" w:colLast="0"/>
      <w:bookmarkEnd w:id="11"/>
      <w:r>
        <w:rPr>
          <w:color w:val="000000"/>
        </w:rPr>
        <w:t xml:space="preserve">What genes </w:t>
      </w:r>
      <w:r w:rsidR="00FB080E">
        <w:rPr>
          <w:color w:val="000000"/>
        </w:rPr>
        <w:t xml:space="preserve">were </w:t>
      </w:r>
      <w:r>
        <w:rPr>
          <w:color w:val="000000"/>
        </w:rPr>
        <w:t>expressed?</w:t>
      </w:r>
    </w:p>
    <w:p w14:paraId="4BD8C51A" w14:textId="453CE853" w:rsidR="00164393" w:rsidRDefault="00E22B85" w:rsidP="00D916D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w:t>
      </w:r>
      <w:r w:rsidR="00B362F8">
        <w:t xml:space="preserve"> ME</w:t>
      </w:r>
      <w:r>
        <w:t xml:space="preserve"> and </w:t>
      </w:r>
      <w:r w:rsidR="00AF2017">
        <w:t>TB</w:t>
      </w:r>
      <w:r>
        <w:t xml:space="preserve">. These genes were most frequently </w:t>
      </w:r>
      <w:r w:rsidR="000A4F8D">
        <w:t>attributed to</w:t>
      </w:r>
      <w:r>
        <w:t xml:space="preserve"> </w:t>
      </w:r>
      <w:r>
        <w:rPr>
          <w:i/>
        </w:rPr>
        <w:t>Cyanobacteria.</w:t>
      </w:r>
      <w:r>
        <w:t xml:space="preserve"> </w:t>
      </w:r>
    </w:p>
    <w:p w14:paraId="560E5EBF" w14:textId="7B6E0E11" w:rsidR="00164393" w:rsidRDefault="00E22B85" w:rsidP="00D916DA">
      <w:pPr>
        <w:pStyle w:val="Normal1"/>
        <w:ind w:firstLine="720"/>
        <w:jc w:val="left"/>
      </w:pPr>
      <w:r>
        <w:t xml:space="preserve">Because </w:t>
      </w:r>
      <w:r w:rsidR="00BF1A10">
        <w:t>genes</w:t>
      </w:r>
      <w:r>
        <w:t xml:space="preserve"> </w:t>
      </w:r>
      <w:r w:rsidR="00BF1A10">
        <w:t xml:space="preserve">related to </w:t>
      </w:r>
      <w:proofErr w:type="spellStart"/>
      <w:r w:rsidR="00BF1A10">
        <w:t>phototrophy</w:t>
      </w:r>
      <w:proofErr w:type="spellEnd"/>
      <w:r w:rsidR="00BF1A10">
        <w:t xml:space="preserve"> </w:t>
      </w:r>
      <w:r w:rsidR="00BC3CB1">
        <w:t xml:space="preserve">were overwhelmingly represented in the </w:t>
      </w:r>
      <w:proofErr w:type="spellStart"/>
      <w:r w:rsidR="00BC3CB1">
        <w:t>metatranscriptomes</w:t>
      </w:r>
      <w:proofErr w:type="spellEnd"/>
      <w:r>
        <w:t xml:space="preserve">, we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7A6AEB">
        <w:t>1</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w:t>
      </w:r>
      <w:r w:rsidR="00B362F8">
        <w:t xml:space="preserve"> ME</w:t>
      </w:r>
      <w:r>
        <w:t xml:space="preserve"> belong</w:t>
      </w:r>
      <w:r w:rsidR="00AF2017">
        <w:t>ed</w:t>
      </w:r>
      <w:r>
        <w:t xml:space="preserve"> to </w:t>
      </w:r>
      <w:r w:rsidR="00BB1884" w:rsidRPr="00BB1884">
        <w:rPr>
          <w:i/>
        </w:rPr>
        <w:t>Actinobacteria</w:t>
      </w:r>
      <w:r w:rsidR="00BB1884">
        <w:t xml:space="preserve"> </w:t>
      </w:r>
      <w:r w:rsidR="00BC3CB1">
        <w:t>(</w:t>
      </w:r>
      <w:proofErr w:type="spellStart"/>
      <w:r>
        <w:t>acI</w:t>
      </w:r>
      <w:proofErr w:type="spellEnd"/>
      <w:r w:rsidR="00BC3CB1">
        <w:t xml:space="preserve">-A and </w:t>
      </w:r>
      <w:proofErr w:type="spellStart"/>
      <w:r w:rsidR="00BC3CB1">
        <w:t>acI</w:t>
      </w:r>
      <w:proofErr w:type="spellEnd"/>
      <w:r w:rsidR="00BC3CB1">
        <w:t>-B clades)</w:t>
      </w:r>
      <w:r>
        <w:t xml:space="preserve">, including a sugar transporter. In </w:t>
      </w:r>
      <w:r w:rsidR="00AF2017">
        <w:t>TB</w:t>
      </w:r>
      <w:r>
        <w:t xml:space="preserve">,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w:t>
      </w:r>
      <w:r w:rsidR="00462BD7">
        <w:t>most</w:t>
      </w:r>
      <w:r>
        <w:t xml:space="preserve"> expressed genes, while in</w:t>
      </w:r>
      <w:r w:rsidR="00B362F8">
        <w:t xml:space="preserve"> SP</w:t>
      </w:r>
      <w:r>
        <w:t xml:space="preserv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w:t>
      </w:r>
      <w:r w:rsidR="00BC3CB1">
        <w:t>, presumably an indicator for respiration,</w:t>
      </w:r>
      <w:r w:rsidR="00513B77">
        <w:t xml:space="preserve"> were highly expressed in all lakes, ranking in the top 10 in </w:t>
      </w:r>
      <w:r w:rsidR="00AF2017">
        <w:t>TB</w:t>
      </w:r>
      <w:r w:rsidR="00513B77">
        <w:t xml:space="preserve"> and</w:t>
      </w:r>
      <w:r w:rsidR="00B362F8">
        <w:t xml:space="preserve"> SP</w:t>
      </w:r>
      <w:r w:rsidR="00513B77">
        <w:t>, and in the top 25 in</w:t>
      </w:r>
      <w:r w:rsidR="00B362F8">
        <w:t xml:space="preserve"> ME</w:t>
      </w:r>
      <w:r w:rsidR="00513B77">
        <w:t>.</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41094B0A" w:rsidR="00164393" w:rsidRPr="00617174" w:rsidRDefault="00E22B85" w:rsidP="00D916DA">
      <w:pPr>
        <w:pStyle w:val="Normal1"/>
        <w:jc w:val="left"/>
      </w:pPr>
      <w:r>
        <w:lastRenderedPageBreak/>
        <w:tab/>
        <w:t xml:space="preserve">We next aggregated expressed genes by </w:t>
      </w:r>
      <w:r w:rsidR="00AF2017">
        <w:t>taxonomic</w:t>
      </w:r>
      <w:r>
        <w:t xml:space="preserve"> classifications to compare the most expressed taxa to the most abundant taxa based on metagenomic data (Figure </w:t>
      </w:r>
      <w:r w:rsidR="007A6AEB">
        <w:t>2</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 xml:space="preserve">At the phylum level, </w:t>
      </w:r>
      <w:r>
        <w:rPr>
          <w:i/>
        </w:rPr>
        <w:t>Cyanobacteria</w:t>
      </w:r>
      <w:r>
        <w:t xml:space="preserve"> were highly expressed in all three lakes, while viruses were </w:t>
      </w:r>
      <w:r w:rsidR="00B37C85">
        <w:t xml:space="preserve">also </w:t>
      </w:r>
      <w:r>
        <w:t>present</w:t>
      </w:r>
      <w:r w:rsidR="00B37C85">
        <w:t xml:space="preserve">, but </w:t>
      </w:r>
      <w:r>
        <w:t>express</w:t>
      </w:r>
      <w:r w:rsidR="00462BD7">
        <w:t>ed</w:t>
      </w:r>
      <w:r>
        <w:t xml:space="preserve"> at low levels </w:t>
      </w:r>
      <w:r w:rsidR="00462BD7">
        <w:t xml:space="preserve">for </w:t>
      </w:r>
      <w:r>
        <w:t xml:space="preserve">all sites. </w:t>
      </w:r>
      <w:r w:rsidR="00BC6C59">
        <w:t xml:space="preserve">Widely recognized abundant and/or cosmopolitan taxa </w:t>
      </w:r>
      <w:r w:rsidR="00235083">
        <w:fldChar w:fldCharType="begin" w:fldLock="1"/>
      </w:r>
      <w:r w:rsidR="00235083">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235083">
        <w:fldChar w:fldCharType="separate"/>
      </w:r>
      <w:r w:rsidR="00235083" w:rsidRPr="00235083">
        <w:rPr>
          <w:noProof/>
        </w:rPr>
        <w:t>(Newton et al. 2011)</w:t>
      </w:r>
      <w:r w:rsidR="00235083">
        <w:fldChar w:fldCharType="end"/>
      </w:r>
      <w:r w:rsidR="00BC6C59">
        <w:t xml:space="preserve"> were also present</w:t>
      </w:r>
      <w:r w:rsidR="00235083">
        <w:t>. Where taxonomy was resolved to the clade level</w:t>
      </w:r>
      <w:r w:rsidR="00BC6C59">
        <w:t xml:space="preserve">, we noted which clades contributed to observed transcripts. </w:t>
      </w:r>
      <w:r w:rsidR="00617174">
        <w:t xml:space="preserve">At the </w:t>
      </w:r>
      <w:r w:rsidR="008C0528">
        <w:t xml:space="preserve">clade </w:t>
      </w:r>
      <w:r w:rsidR="00617174">
        <w:t xml:space="preserve">level, members of </w:t>
      </w:r>
      <w:r w:rsidR="00617174">
        <w:rPr>
          <w:i/>
        </w:rPr>
        <w:t xml:space="preserve">Actinobacteria </w:t>
      </w:r>
      <w:proofErr w:type="spellStart"/>
      <w:r w:rsidR="00617174">
        <w:t>acI</w:t>
      </w:r>
      <w:proofErr w:type="spellEnd"/>
      <w:r w:rsidR="00617174">
        <w:t xml:space="preserve"> </w:t>
      </w:r>
      <w:r w:rsidR="00BC6C59">
        <w:t>(</w:t>
      </w:r>
      <w:proofErr w:type="spellStart"/>
      <w:r w:rsidR="00BC6C59">
        <w:t>acI</w:t>
      </w:r>
      <w:proofErr w:type="spellEnd"/>
      <w:r w:rsidR="00BC6C59">
        <w:t xml:space="preserve">-A and </w:t>
      </w:r>
      <w:proofErr w:type="spellStart"/>
      <w:r w:rsidR="00BC6C59">
        <w:t>acI</w:t>
      </w:r>
      <w:proofErr w:type="spellEnd"/>
      <w:r w:rsidR="00BC6C59">
        <w:t xml:space="preserve">-B) </w:t>
      </w:r>
      <w:r w:rsidR="00617174">
        <w:t xml:space="preserve">were both expressed and abundant, as was </w:t>
      </w:r>
      <w:r w:rsidR="00617174">
        <w:rPr>
          <w:i/>
        </w:rPr>
        <w:t xml:space="preserve">Bacteroidetes </w:t>
      </w:r>
      <w:proofErr w:type="spellStart"/>
      <w:r w:rsidR="00617174">
        <w:t>bacI</w:t>
      </w:r>
      <w:proofErr w:type="spellEnd"/>
      <w:r w:rsidR="00617174">
        <w:t>-A in</w:t>
      </w:r>
      <w:r w:rsidR="00B362F8">
        <w:t xml:space="preserve"> ME</w:t>
      </w:r>
      <w:r w:rsidR="00617174">
        <w:t xml:space="preserve"> and</w:t>
      </w:r>
      <w:r w:rsidR="00B362F8">
        <w:t xml:space="preserve"> SP</w:t>
      </w:r>
      <w:r w:rsidR="00617174">
        <w:t xml:space="preserve">. The </w:t>
      </w:r>
      <w:r w:rsidR="008C0528">
        <w:t>clade</w:t>
      </w:r>
      <w:r w:rsidR="00617174">
        <w:t xml:space="preserve"> </w:t>
      </w:r>
      <w:proofErr w:type="spellStart"/>
      <w:r w:rsidR="00617174">
        <w:t>acI</w:t>
      </w:r>
      <w:proofErr w:type="spellEnd"/>
      <w:r w:rsidR="00617174">
        <w:t xml:space="preserve">-B was particularly abundant and </w:t>
      </w:r>
      <w:r w:rsidR="00462BD7">
        <w:t xml:space="preserve">also </w:t>
      </w:r>
      <w:r w:rsidR="00617174">
        <w:t xml:space="preserve">expressed </w:t>
      </w:r>
      <w:r w:rsidR="00462BD7">
        <w:t xml:space="preserve">genes </w:t>
      </w:r>
      <w:r w:rsidR="00617174">
        <w:t>in TB, consistent with previous research identifying acI-B2 as a</w:t>
      </w:r>
      <w:r w:rsidR="008C0528">
        <w:t>n acidic</w:t>
      </w:r>
      <w:r w:rsidR="00617174">
        <w:t xml:space="preserve"> lake specialist </w:t>
      </w:r>
      <w:r w:rsidR="008C0528">
        <w:fldChar w:fldCharType="begin" w:fldLock="1"/>
      </w:r>
      <w:r w:rsidR="00235083">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8C0528">
        <w:fldChar w:fldCharType="separate"/>
      </w:r>
      <w:r w:rsidR="00D916DA" w:rsidRPr="00D916DA">
        <w:rPr>
          <w:noProof/>
        </w:rPr>
        <w:t>(Newton et al. 2007)</w:t>
      </w:r>
      <w:r w:rsidR="008C0528">
        <w:fldChar w:fldCharType="end"/>
      </w:r>
      <w:r w:rsidR="00617174">
        <w:t>.</w:t>
      </w:r>
    </w:p>
    <w:p w14:paraId="3D731C92" w14:textId="77777777" w:rsidR="00164393" w:rsidRDefault="00E22B85" w:rsidP="00D916DA">
      <w:pPr>
        <w:pStyle w:val="Heading3"/>
        <w:jc w:val="left"/>
      </w:pPr>
      <w:bookmarkStart w:id="12" w:name="_ruh70ktc9611" w:colFirst="0" w:colLast="0"/>
      <w:bookmarkStart w:id="13" w:name="_tkkq70ezf96n" w:colFirst="0" w:colLast="0"/>
      <w:bookmarkEnd w:id="12"/>
      <w:bookmarkEnd w:id="13"/>
      <w:r>
        <w:t xml:space="preserve">Assessing variability in freshwater </w:t>
      </w:r>
      <w:proofErr w:type="spellStart"/>
      <w:r>
        <w:t>metatranscriptomes</w:t>
      </w:r>
      <w:proofErr w:type="spellEnd"/>
    </w:p>
    <w:p w14:paraId="041BE216" w14:textId="7A6B18E9" w:rsidR="00164393" w:rsidRDefault="00E22B85" w:rsidP="00D916DA">
      <w:pPr>
        <w:pStyle w:val="Normal1"/>
        <w:jc w:val="left"/>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7A6AEB">
        <w:t>1</w:t>
      </w:r>
      <w:r w:rsidR="00455EAC">
        <w:t>)</w:t>
      </w:r>
      <w:r>
        <w:t xml:space="preserve">. Higher </w:t>
      </w:r>
      <w:proofErr w:type="spellStart"/>
      <w:r>
        <w:t>CoVs</w:t>
      </w:r>
      <w:proofErr w:type="spellEnd"/>
      <w:r>
        <w:t xml:space="preserve"> were observed across 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916DA">
      <w:pPr>
        <w:pStyle w:val="Heading3"/>
        <w:jc w:val="left"/>
        <w:rPr>
          <w:color w:val="000000"/>
        </w:rPr>
      </w:pPr>
      <w:r>
        <w:lastRenderedPageBreak/>
        <w:t>Trends in environmental variables</w:t>
      </w:r>
    </w:p>
    <w:p w14:paraId="1BABCAA5" w14:textId="1EB792E7"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7A6AEB">
        <w:t>2</w:t>
      </w:r>
      <w:r>
        <w:t>). Parameters that reflect the boundaries between layers within the water column, such as dissolved oxygen, temperature, pH, and conductivity, were strongly diel in</w:t>
      </w:r>
      <w:r w:rsidR="00B362F8">
        <w:t xml:space="preserve"> ME</w:t>
      </w:r>
      <w:r>
        <w:t>, but less so in</w:t>
      </w:r>
      <w:r w:rsidR="00B362F8">
        <w:t xml:space="preserve"> SP</w:t>
      </w:r>
      <w:r>
        <w:t xml:space="preserve"> and TB (Figure S</w:t>
      </w:r>
      <w:r w:rsidR="007A6AEB">
        <w:t>3</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7A6AEB">
        <w:t>4</w:t>
      </w:r>
      <w:r>
        <w:t>). No</w:t>
      </w:r>
      <w:r w:rsidR="00AF2017">
        <w:t xml:space="preserve"> diel</w:t>
      </w:r>
      <w:r>
        <w:t xml:space="preserve"> trends were observed in total and dissolved nitrogen or phosphorus concentrations. </w:t>
      </w:r>
    </w:p>
    <w:p w14:paraId="3CBD1FB0" w14:textId="77777777" w:rsidR="00164393" w:rsidRDefault="00E22B85" w:rsidP="00D916DA">
      <w:pPr>
        <w:pStyle w:val="Heading3"/>
        <w:jc w:val="left"/>
      </w:pPr>
      <w:bookmarkStart w:id="14" w:name="_l9dnag5f7d2j" w:colFirst="0" w:colLast="0"/>
      <w:bookmarkEnd w:id="14"/>
      <w:r>
        <w:t>Gene expression in day vs. night</w:t>
      </w:r>
    </w:p>
    <w:p w14:paraId="1E21C6D5" w14:textId="1D76C621" w:rsidR="00E91555" w:rsidRDefault="00E22B85" w:rsidP="00D916DA">
      <w:pPr>
        <w:pStyle w:val="Normal1"/>
        <w:jc w:val="left"/>
      </w:pPr>
      <w:r>
        <w:tab/>
        <w:t>To test differential expression in day vs. night, we aggregated time</w:t>
      </w:r>
      <w:r w:rsidR="001B12C6">
        <w:t xml:space="preserve"> </w:t>
      </w:r>
      <w:r>
        <w:t xml:space="preserve">points by day (9AM, 1PM, and 5PM) or night (9PM, 1AM, and 5AM). </w:t>
      </w:r>
      <w:r w:rsidR="00334E59">
        <w:t xml:space="preserve">We </w:t>
      </w:r>
      <w:r w:rsidR="009A16D4">
        <w:t>identified</w:t>
      </w:r>
      <w:r w:rsidR="00AF2017">
        <w:t xml:space="preserve"> many </w:t>
      </w:r>
      <w:r w:rsidR="009A16D4">
        <w:t xml:space="preserve">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pre-screened </w:t>
      </w:r>
      <w:r w:rsidR="00AF2017">
        <w:t>for</w:t>
      </w:r>
      <w:r w:rsidR="00E91555">
        <w:t xml:space="preserve"> differential expression in day vs. night. </w:t>
      </w:r>
    </w:p>
    <w:p w14:paraId="3B777905" w14:textId="13B129B4" w:rsidR="00164393" w:rsidRDefault="0033334B" w:rsidP="00D916DA">
      <w:pPr>
        <w:pStyle w:val="Normal1"/>
        <w:jc w:val="left"/>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w:t>
      </w:r>
      <w:r w:rsidR="00AF2017">
        <w:t>were likely to be cyclic</w:t>
      </w:r>
      <w:r w:rsidR="00F05FCF">
        <w:t xml:space="preserve"> </w:t>
      </w:r>
      <w:r w:rsidR="0066558E">
        <w:t xml:space="preserve">in all </w:t>
      </w:r>
      <w:r w:rsidR="00F05FCF">
        <w:t>lakes</w:t>
      </w:r>
      <w:r w:rsidR="00FA1D97">
        <w:t xml:space="preserve"> (Figure </w:t>
      </w:r>
      <w:r w:rsidR="007A6AEB">
        <w:t>3)</w:t>
      </w:r>
      <w:r w:rsidR="00FA1D97">
        <w:t xml:space="preserve">. </w:t>
      </w:r>
      <w:r w:rsidR="00E22B85">
        <w:t>In</w:t>
      </w:r>
      <w:r w:rsidR="00B362F8">
        <w:t xml:space="preserve"> ME</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and</w:t>
      </w:r>
      <w:r w:rsidR="00B362F8">
        <w:t xml:space="preserve"> SP</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w:t>
      </w:r>
      <w:r w:rsidR="00F05FCF">
        <w:lastRenderedPageBreak/>
        <w:t xml:space="preserve">different in day vs. night in </w:t>
      </w:r>
      <w:r w:rsidR="00617174">
        <w:t>TB,</w:t>
      </w:r>
      <w:r w:rsidR="00F05FCF">
        <w:t xml:space="preserve"> where it was 7-fold higher during the day</w:t>
      </w:r>
      <w:r w:rsidR="0066558E">
        <w:t>;</w:t>
      </w:r>
      <w:r w:rsidR="00F05FCF">
        <w:t xml:space="preserve"> </w:t>
      </w:r>
      <w:r w:rsidR="004D01B9">
        <w:t xml:space="preserve">the associated gene clusters were </w:t>
      </w:r>
      <w:r w:rsidR="00F05FCF">
        <w:t xml:space="preserve">largely </w:t>
      </w:r>
      <w:r w:rsidR="004D01B9">
        <w:t xml:space="preserve">taxonomically </w:t>
      </w:r>
      <w:r w:rsidR="00F05FCF">
        <w:t>unclassified</w:t>
      </w:r>
      <w:r w:rsidR="007A6AEB">
        <w:t xml:space="preserve"> due to poor reference matching</w:t>
      </w:r>
      <w:r w:rsidR="00F05FCF">
        <w:t>.</w:t>
      </w:r>
    </w:p>
    <w:p w14:paraId="1D1B354C" w14:textId="0DB5F420" w:rsidR="00164393" w:rsidRPr="009A16D4" w:rsidRDefault="00E22B85" w:rsidP="00D916DA">
      <w:pPr>
        <w:pStyle w:val="Normal1"/>
        <w:jc w:val="left"/>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66558E">
        <w:t xml:space="preserve"> (R/S/M)</w:t>
      </w:r>
      <w:r w:rsidR="009A16D4">
        <w:t xml:space="preserve"> transporters</w:t>
      </w:r>
      <w:r>
        <w:t xml:space="preserve"> were </w:t>
      </w:r>
      <w:r w:rsidR="009A16D4">
        <w:t xml:space="preserve">significantly more expressed at night </w:t>
      </w:r>
      <w:r>
        <w:t>in</w:t>
      </w:r>
      <w:r w:rsidR="00B362F8">
        <w:t xml:space="preserve"> ME</w:t>
      </w:r>
      <w:r>
        <w:t xml:space="preserve"> (Figure </w:t>
      </w:r>
      <w:r w:rsidR="007A6AEB">
        <w:t>4</w:t>
      </w:r>
      <w:r>
        <w:t xml:space="preserve">).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(acI-B1 and ac</w:t>
      </w:r>
      <w:r w:rsidR="00D71B2C">
        <w:t>TH1-A1)</w:t>
      </w:r>
      <w:r w:rsidR="009A16D4">
        <w:rPr>
          <w:i/>
        </w:rPr>
        <w:t>, Cyanobacteria</w:t>
      </w:r>
      <w:r w:rsidR="00D71B2C">
        <w:rPr>
          <w:i/>
        </w:rPr>
        <w:t xml:space="preserve"> </w:t>
      </w:r>
      <w:r w:rsidR="00D71B2C">
        <w:t>(</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 Ribose transporters and </w:t>
      </w:r>
      <w:r w:rsidR="0066558E">
        <w:t>R/S/M</w:t>
      </w:r>
      <w:r w:rsidR="009A16D4">
        <w:t xml:space="preserve"> transporters were mostly classified </w:t>
      </w:r>
      <w:r w:rsidR="00B1412D">
        <w:t>to</w:t>
      </w:r>
      <w:r w:rsidR="009A16D4">
        <w:t xml:space="preserve">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proofErr w:type="spellStart"/>
      <w:r w:rsidR="00D71B2C">
        <w:t>acI</w:t>
      </w:r>
      <w:proofErr w:type="spellEnd"/>
      <w:r w:rsidR="00D71B2C">
        <w:t>-B)</w:t>
      </w:r>
      <w:r w:rsidR="009A16D4">
        <w:rPr>
          <w:i/>
        </w:rPr>
        <w:t xml:space="preserve"> </w:t>
      </w:r>
      <w:r w:rsidR="009A16D4">
        <w:t>contributed the majority of expressed reads for all three types of sugar transporters, w</w:t>
      </w:r>
      <w:r w:rsidR="0066558E">
        <w:t>hile</w:t>
      </w:r>
      <w:r w:rsidR="009A16D4">
        <w:t xml:space="preserve"> </w:t>
      </w:r>
      <w:proofErr w:type="spellStart"/>
      <w:r w:rsidR="009A16D4">
        <w:rPr>
          <w:i/>
        </w:rPr>
        <w:t>Alphaproteobacteria</w:t>
      </w:r>
      <w:proofErr w:type="spellEnd"/>
      <w:r w:rsidR="0066558E">
        <w:rPr>
          <w:i/>
        </w:rPr>
        <w:t xml:space="preserve"> </w:t>
      </w:r>
      <w:r w:rsidR="00A322EE">
        <w:t>were associated</w:t>
      </w:r>
      <w:r w:rsidR="009A16D4">
        <w:t xml:space="preserve"> </w:t>
      </w:r>
      <w:r w:rsidR="00A322EE">
        <w:t>with</w:t>
      </w:r>
      <w:r w:rsidR="009A16D4">
        <w:t xml:space="preserve"> xylose and general sugar transport, and </w:t>
      </w:r>
      <w:r w:rsidR="009A16D4">
        <w:rPr>
          <w:i/>
        </w:rPr>
        <w:t xml:space="preserve">Cyanobacteria </w:t>
      </w:r>
      <w:r w:rsidR="009A16D4">
        <w:t xml:space="preserve">and </w:t>
      </w:r>
      <w:proofErr w:type="spellStart"/>
      <w:r w:rsidR="009A16D4">
        <w:rPr>
          <w:i/>
        </w:rPr>
        <w:t>Armatimonadetes</w:t>
      </w:r>
      <w:proofErr w:type="spellEnd"/>
      <w:r w:rsidR="00E75421">
        <w:rPr>
          <w:iCs/>
        </w:rPr>
        <w:t xml:space="preserve"> </w:t>
      </w:r>
      <w:r w:rsidR="009A16D4">
        <w:t>contribut</w:t>
      </w:r>
      <w:r w:rsidR="0066558E">
        <w:t>ed</w:t>
      </w:r>
      <w:r w:rsidR="009A16D4">
        <w:t xml:space="preserve"> to general sugar transport. The only significant differentially expressed sugar transport group in</w:t>
      </w:r>
      <w:r w:rsidR="00B362F8">
        <w:t xml:space="preserve"> SP</w:t>
      </w:r>
      <w:r w:rsidR="009A16D4">
        <w:t xml:space="preserve"> was </w:t>
      </w:r>
      <w:r w:rsidR="0066558E">
        <w:t>R/S/M</w:t>
      </w:r>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2712BE76" w:rsidR="007B696B" w:rsidRDefault="00E22B85" w:rsidP="00D916DA">
      <w:pPr>
        <w:pStyle w:val="Normal1"/>
        <w:jc w:val="left"/>
      </w:pPr>
      <w:r>
        <w:tab/>
      </w:r>
      <w:r w:rsidR="00B8024B">
        <w:t>Reactive oxygen species (ROS) defense is a critical function for microbes</w:t>
      </w:r>
      <w:r w:rsidR="0066558E">
        <w:t xml:space="preserve"> exposed to UV radiation</w:t>
      </w:r>
      <w:r w:rsidR="00B8024B">
        <w:t>. As expected, genes related to ROS defense were significantly more expressed in day vs night in all three lakes, with roughly 15% of genes identified as cyclic in</w:t>
      </w:r>
      <w:r w:rsidR="00B362F8">
        <w:t xml:space="preserve"> ME</w:t>
      </w:r>
      <w:r w:rsidR="00B8024B">
        <w:t xml:space="preserve"> and</w:t>
      </w:r>
      <w:r w:rsidR="00B362F8">
        <w:t xml:space="preserve"> SP</w:t>
      </w:r>
      <w:r w:rsidR="00B8024B">
        <w:t>. Phyla expressing ROS defense-related genes in</w:t>
      </w:r>
      <w:r w:rsidR="00B362F8">
        <w:t xml:space="preserve"> ME</w:t>
      </w:r>
      <w:r w:rsidR="00B8024B">
        <w:t xml:space="preserve"> included </w:t>
      </w:r>
      <w:r w:rsidR="00B8024B">
        <w:rPr>
          <w:i/>
        </w:rPr>
        <w:t xml:space="preserve">Cyanobacteria, Deltaproteobacteria, Planctomycetes, </w:t>
      </w:r>
      <w:proofErr w:type="spellStart"/>
      <w:r w:rsidR="00B8024B">
        <w:rPr>
          <w:i/>
        </w:rPr>
        <w:t>Verrucomicrobia</w:t>
      </w:r>
      <w:proofErr w:type="spellEnd"/>
      <w:r w:rsidR="00B8024B">
        <w:rPr>
          <w:i/>
        </w:rPr>
        <w:t>, Betaproteobacteria,</w:t>
      </w:r>
      <w:r w:rsidR="00E73DB1">
        <w:rPr>
          <w:i/>
        </w:rPr>
        <w:t xml:space="preserve"> and</w:t>
      </w:r>
      <w:r w:rsidR="00B8024B">
        <w:rPr>
          <w:i/>
        </w:rPr>
        <w:t xml:space="preserve"> Bacteroidetes</w:t>
      </w:r>
      <w:r w:rsidR="00E73DB1">
        <w:rPr>
          <w:i/>
        </w:rPr>
        <w:t>.</w:t>
      </w:r>
      <w:r w:rsidR="00B8024B">
        <w:t xml:space="preserve"> In T</w:t>
      </w:r>
      <w:r w:rsidR="00901984">
        <w:t>B</w:t>
      </w:r>
      <w:r w:rsidR="00B8024B">
        <w:t xml:space="preserve">,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lastRenderedPageBreak/>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w:t>
      </w:r>
      <w:r w:rsidR="00EF0B27">
        <w:t xml:space="preserve"> ROS defense gene expression in</w:t>
      </w:r>
      <w:r w:rsidR="00B362F8">
        <w:t xml:space="preserve"> SP</w:t>
      </w:r>
      <w:r w:rsidR="00EF0B27">
        <w:t xml:space="preserve"> was</w:t>
      </w:r>
      <w:r w:rsidR="00B8024B">
        <w:t xml:space="preserve"> contributed by </w:t>
      </w:r>
      <w:proofErr w:type="spellStart"/>
      <w:r w:rsidR="00EF0B27">
        <w:rPr>
          <w:i/>
        </w:rPr>
        <w:t>Actinobacterica</w:t>
      </w:r>
      <w:proofErr w:type="spellEnd"/>
      <w:r w:rsidR="00EF0B27">
        <w:rPr>
          <w:i/>
        </w:rPr>
        <w:t xml:space="preserve">, Bacteroidetes, Betaproteobacteria, Cyanobacteria, Deltaproteobacteria, </w:t>
      </w:r>
      <w:proofErr w:type="spellStart"/>
      <w:r w:rsidR="00EF0B27">
        <w:rPr>
          <w:i/>
        </w:rPr>
        <w:t>Eukaryota</w:t>
      </w:r>
      <w:proofErr w:type="spellEnd"/>
      <w:r w:rsidR="00EF0B27">
        <w:rPr>
          <w:i/>
        </w:rPr>
        <w:t xml:space="preserve">, </w:t>
      </w:r>
      <w:proofErr w:type="spellStart"/>
      <w:r w:rsidR="00EF0B27">
        <w:rPr>
          <w:i/>
        </w:rPr>
        <w:t>Gammaproteobacteria</w:t>
      </w:r>
      <w:proofErr w:type="spellEnd"/>
      <w:r w:rsidR="00EF0B27">
        <w:rPr>
          <w:i/>
        </w:rPr>
        <w:t xml:space="preserve">, </w:t>
      </w:r>
      <w:r w:rsidR="00EF0B27">
        <w:t>and</w:t>
      </w:r>
      <w:r w:rsidR="00EF0B27">
        <w:rPr>
          <w:i/>
        </w:rPr>
        <w:t xml:space="preserve"> Planctomycetes.</w:t>
      </w:r>
      <w:r w:rsidR="007B696B">
        <w:t xml:space="preserve"> </w:t>
      </w:r>
      <w:r w:rsidR="00EF0B27">
        <w:t xml:space="preserve">Interestingly, </w:t>
      </w:r>
      <w:r w:rsidR="00EF0B27">
        <w:rPr>
          <w:i/>
        </w:rPr>
        <w:t xml:space="preserve">Cyanobacteria </w:t>
      </w:r>
      <w:r w:rsidR="00EF0B27">
        <w:t>expression of ROS defense genes was comparatively low compared to other groups in both TB and</w:t>
      </w:r>
      <w:r w:rsidR="00B362F8">
        <w:t xml:space="preserve"> SP</w:t>
      </w:r>
      <w:r w:rsidR="00EF0B27">
        <w:t>.</w:t>
      </w:r>
    </w:p>
    <w:p w14:paraId="37D85A7C" w14:textId="4072C9B3" w:rsidR="00164393" w:rsidRPr="00B8024B" w:rsidRDefault="007B696B" w:rsidP="00D916DA">
      <w:pPr>
        <w:pStyle w:val="Normal1"/>
        <w:jc w:val="left"/>
      </w:pPr>
      <w:r>
        <w:rPr>
          <w:i/>
        </w:rPr>
        <w:tab/>
      </w:r>
      <w:r>
        <w:t xml:space="preserve">Several functional gene categories differed in significance between lakes. Genes related to opsins, classified as </w:t>
      </w:r>
      <w:r>
        <w:rPr>
          <w:i/>
        </w:rPr>
        <w:t>Actinobacteria</w:t>
      </w:r>
      <w:r w:rsidR="00D71B2C">
        <w:rPr>
          <w:i/>
        </w:rPr>
        <w:t xml:space="preserve"> </w:t>
      </w:r>
      <w:r w:rsidR="00D71B2C">
        <w:t>(acI-B1)</w:t>
      </w:r>
      <w:r>
        <w:rPr>
          <w:i/>
        </w:rPr>
        <w:t xml:space="preserve"> </w:t>
      </w:r>
      <w:r w:rsidR="0066558E">
        <w:t>and</w:t>
      </w:r>
      <w:r>
        <w:t xml:space="preserve"> </w:t>
      </w:r>
      <w:r>
        <w:rPr>
          <w:i/>
        </w:rPr>
        <w:t xml:space="preserve">Bacteroidetes, </w:t>
      </w:r>
      <w:r>
        <w:t xml:space="preserve">were significantly more expressed in day in </w:t>
      </w:r>
      <w:r w:rsidR="0066558E">
        <w:t>only</w:t>
      </w:r>
      <w:r w:rsidR="00B362F8">
        <w:t xml:space="preserve"> ME</w:t>
      </w:r>
      <w:r w:rsidR="00901984">
        <w:t>,</w:t>
      </w:r>
      <w:r>
        <w:t xml:space="preserve">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in day</w:t>
      </w:r>
      <w:r w:rsidR="00AD4090">
        <w:t>time</w:t>
      </w:r>
      <w:r>
        <w:t xml:space="preserve">). </w:t>
      </w:r>
      <w:r w:rsidR="0066558E">
        <w:t>G</w:t>
      </w:r>
      <w:r w:rsidR="004D28D5">
        <w:t xml:space="preserve">enes associated with </w:t>
      </w:r>
      <w:r>
        <w:t xml:space="preserve">xylose transport and </w:t>
      </w:r>
      <w:proofErr w:type="spellStart"/>
      <w:r>
        <w:t>RuBisCO</w:t>
      </w:r>
      <w:proofErr w:type="spellEnd"/>
      <w:r>
        <w:t xml:space="preserve"> were significantly differentially expressed </w:t>
      </w:r>
      <w:r w:rsidR="0066558E">
        <w:t xml:space="preserve">only </w:t>
      </w:r>
      <w:r>
        <w:t xml:space="preserve">in </w:t>
      </w:r>
      <w:r w:rsidR="00901984">
        <w:t>TB</w:t>
      </w:r>
      <w:r>
        <w:t xml:space="preserve">. </w:t>
      </w:r>
      <w:r w:rsidR="004D28D5">
        <w:t>A</w:t>
      </w:r>
      <w:r w:rsidR="0066558E">
        <w:t>dditionally, a</w:t>
      </w:r>
      <w:r w:rsidR="004D28D5">
        <w:t>mino acid transport genes were</w:t>
      </w:r>
      <w:r>
        <w:t xml:space="preserve"> more expressed at night in </w:t>
      </w:r>
      <w:r w:rsidR="00901984">
        <w:t>TB,</w:t>
      </w:r>
      <w:r>
        <w:t xml:space="preserve"> </w:t>
      </w:r>
      <w:r w:rsidR="004D28D5">
        <w:t>classified</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w:t>
      </w:r>
      <w:r w:rsidR="00B362F8">
        <w:t xml:space="preserve"> SP</w:t>
      </w:r>
      <w:r>
        <w:t xml:space="preserve"> compared to the other two lakes, with no groups found to be significant only in</w:t>
      </w:r>
      <w:r w:rsidR="00B362F8">
        <w:t xml:space="preserve"> SP</w:t>
      </w:r>
      <w:r w:rsidR="00901984">
        <w:t>.</w:t>
      </w:r>
      <w:r w:rsidR="00B8024B">
        <w:rPr>
          <w:i/>
        </w:rPr>
        <w:t xml:space="preserve"> </w:t>
      </w:r>
    </w:p>
    <w:p w14:paraId="02141188" w14:textId="77777777" w:rsidR="00164393" w:rsidRDefault="00E22B85" w:rsidP="00D916DA">
      <w:pPr>
        <w:pStyle w:val="Heading2"/>
        <w:jc w:val="left"/>
      </w:pPr>
      <w:bookmarkStart w:id="15" w:name="_i5otuibs9tt" w:colFirst="0" w:colLast="0"/>
      <w:bookmarkEnd w:id="15"/>
      <w:r>
        <w:t>Discussion</w:t>
      </w:r>
    </w:p>
    <w:p w14:paraId="12BE86CC" w14:textId="41454AF5" w:rsidR="00494965" w:rsidRDefault="00E22B85" w:rsidP="00D916DA">
      <w:pPr>
        <w:pStyle w:val="Normal1"/>
        <w:jc w:val="left"/>
      </w:pPr>
      <w:r>
        <w:tab/>
      </w:r>
      <w:r w:rsidR="0020291E">
        <w:t>In this study, we sought to identify</w:t>
      </w:r>
      <w:r w:rsidR="0066558E">
        <w:t xml:space="preserve"> generalizable interactions in freshwater microbial communities through diel gene expression</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w:t>
      </w:r>
      <w:r w:rsidR="00972ACF">
        <w:t>with</w:t>
      </w:r>
      <w:r w:rsidR="00494965">
        <w:t xml:space="preserve"> cyclic trends. The functional annotations of those genes allow</w:t>
      </w:r>
      <w:r w:rsidR="00972ACF">
        <w:t>ed</w:t>
      </w:r>
      <w:r w:rsidR="00494965">
        <w:t xml:space="preserve"> us to hypothesize </w:t>
      </w:r>
      <w:r w:rsidR="00972ACF">
        <w:t>metabolic exchanges</w:t>
      </w:r>
      <w:r w:rsidR="00494965">
        <w:t xml:space="preserve"> in freshwater microbial communities</w:t>
      </w:r>
      <w:r w:rsidR="00972ACF">
        <w:t>.</w:t>
      </w:r>
      <w:r w:rsidR="00BE5EE4">
        <w:t xml:space="preserve"> </w:t>
      </w:r>
      <w:r w:rsidR="00972ACF">
        <w:t>We found</w:t>
      </w:r>
      <w:r w:rsidR="00BE5EE4">
        <w:t xml:space="preserve"> similar trends</w:t>
      </w:r>
      <w:r w:rsidR="00972ACF">
        <w:t xml:space="preserve"> in the timing and types of genes expressed across all lakes studied, regardless of trophic status</w:t>
      </w:r>
      <w:r w:rsidR="00494965">
        <w:t>.</w:t>
      </w:r>
    </w:p>
    <w:p w14:paraId="56F130A6" w14:textId="6FA04BAE" w:rsidR="00164393" w:rsidRPr="00F722AC" w:rsidRDefault="00E22B85" w:rsidP="00D916DA">
      <w:pPr>
        <w:pStyle w:val="Normal1"/>
        <w:jc w:val="left"/>
      </w:pPr>
      <w:r>
        <w:lastRenderedPageBreak/>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in day and often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w:t>
      </w:r>
      <w:r w:rsidR="00AD4090">
        <w:t xml:space="preserve">direct </w:t>
      </w:r>
      <w:r w:rsidR="00F81E31">
        <w:t xml:space="preserve">protein abundance or function </w:t>
      </w:r>
      <w:r w:rsidR="00B239CD">
        <w:fldChar w:fldCharType="begin" w:fldLock="1"/>
      </w:r>
      <w:r w:rsidR="00235083">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D916DA" w:rsidRPr="00D916DA">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w:t>
      </w:r>
      <w:r w:rsidR="00B362F8">
        <w:t xml:space="preserve"> ME</w:t>
      </w:r>
      <w:r w:rsidR="00F81E31">
        <w:t xml:space="preserve"> or</w:t>
      </w:r>
      <w:r w:rsidR="00B362F8">
        <w:t xml:space="preserve"> SP</w:t>
      </w:r>
      <w:r w:rsidR="00971D76">
        <w:t>.</w:t>
      </w:r>
      <w:r w:rsidR="005B6D11">
        <w:t xml:space="preserve"> </w:t>
      </w:r>
    </w:p>
    <w:p w14:paraId="7DE42A84" w14:textId="3DA2F986" w:rsidR="00164393" w:rsidRDefault="00E22B85" w:rsidP="00D916DA">
      <w:pPr>
        <w:pStyle w:val="Normal1"/>
        <w:jc w:val="left"/>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p>
    <w:p w14:paraId="7CFA21EF" w14:textId="5B68A269" w:rsidR="003F0E15" w:rsidRDefault="003F0E15" w:rsidP="00D916DA">
      <w:pPr>
        <w:pStyle w:val="Normal1"/>
        <w:jc w:val="left"/>
      </w:pPr>
      <w:r>
        <w:tab/>
      </w:r>
      <w:r w:rsidR="00972ACF">
        <w:t>We</w:t>
      </w:r>
      <w:r>
        <w:t xml:space="preserve"> </w:t>
      </w:r>
      <w:r w:rsidR="00972ACF">
        <w:t>studied</w:t>
      </w:r>
      <w:r>
        <w:t xml:space="preserve"> lakes representing eutrophic (LM), </w:t>
      </w:r>
      <w:proofErr w:type="spellStart"/>
      <w:r>
        <w:t>humic</w:t>
      </w:r>
      <w:proofErr w:type="spellEnd"/>
      <w:r>
        <w:t xml:space="preserve"> (TB), and oligotrophic (SL) trophic statuses. There were key differences in gene expression between these lakes, suggesting that microbial </w:t>
      </w:r>
      <w:proofErr w:type="gramStart"/>
      <w:r>
        <w:t>communities</w:t>
      </w:r>
      <w:proofErr w:type="gramEnd"/>
      <w:r>
        <w:t xml:space="preserve"> function differently under varying </w:t>
      </w:r>
      <w:r w:rsidR="006648FD">
        <w:t>productivity levels</w:t>
      </w:r>
      <w:r>
        <w:t>.</w:t>
      </w:r>
      <w:r w:rsidR="00216373">
        <w:t xml:space="preserve"> For example, genes related to amino acid transport were only differentially expressed in day vs. night in TB, while genes related to opsins were only differentially expressed in</w:t>
      </w:r>
      <w:r w:rsidR="00B362F8">
        <w:t xml:space="preserve"> ME</w:t>
      </w:r>
      <w:r w:rsidR="00216373">
        <w:t xml:space="preserve">. </w:t>
      </w:r>
      <w:r w:rsidR="00972ACF">
        <w:t xml:space="preserve">Although sugar </w:t>
      </w:r>
      <w:r w:rsidR="00333710">
        <w:t xml:space="preserve">transporter </w:t>
      </w:r>
      <w:r w:rsidR="00972ACF">
        <w:t xml:space="preserve">expression was commonly observed, the </w:t>
      </w:r>
      <w:r w:rsidR="00216373">
        <w:t xml:space="preserve">types of </w:t>
      </w:r>
      <w:r w:rsidR="00333710">
        <w:t xml:space="preserve">transporters </w:t>
      </w:r>
      <w:r w:rsidR="00216373">
        <w:t>that were differentially expressed in day vs. night differed by lake. In</w:t>
      </w:r>
      <w:r w:rsidR="00B362F8">
        <w:t xml:space="preserve"> ME</w:t>
      </w:r>
      <w:r w:rsidR="00216373">
        <w:t xml:space="preserve">, these genes encode ribose, general sugar, and </w:t>
      </w:r>
      <w:r w:rsidR="00216373">
        <w:lastRenderedPageBreak/>
        <w:t>raffinose/</w:t>
      </w:r>
      <w:proofErr w:type="spellStart"/>
      <w:r w:rsidR="00216373">
        <w:t>stachyose</w:t>
      </w:r>
      <w:proofErr w:type="spellEnd"/>
      <w:r w:rsidR="00216373">
        <w:t>/</w:t>
      </w:r>
      <w:proofErr w:type="spellStart"/>
      <w:r w:rsidR="00216373">
        <w:t>melibiose</w:t>
      </w:r>
      <w:proofErr w:type="spellEnd"/>
      <w:r w:rsidR="00216373">
        <w:t xml:space="preserve"> transport</w:t>
      </w:r>
      <w:r w:rsidR="001941DD">
        <w:t xml:space="preserve">, while </w:t>
      </w:r>
      <w:r w:rsidR="006A2D39">
        <w:t xml:space="preserve">for </w:t>
      </w:r>
      <w:r w:rsidR="001941DD">
        <w:t>TB, they encoded ribose, general sugar, and xylose transport. Among the sugar transporters, only genes encoding raffinose/</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Still, the </w:t>
      </w:r>
      <w:r w:rsidR="00972ACF">
        <w:t>similarities</w:t>
      </w:r>
      <w:r w:rsidR="001941DD">
        <w:t xml:space="preserve"> between these three lakes in sugar transport and photosynthesis diel expression indicate a potentially generalizable trend in freshwater.</w:t>
      </w:r>
    </w:p>
    <w:p w14:paraId="3B23B043" w14:textId="47C40E29" w:rsidR="00EF04EF" w:rsidRDefault="00EF04EF" w:rsidP="00D916DA">
      <w:pPr>
        <w:pStyle w:val="Normal1"/>
        <w:jc w:val="left"/>
      </w:pPr>
      <w:r>
        <w:tab/>
        <w:t xml:space="preserve">There are two non-exclusive hypotheses as to why we observed diel trends in genes encoding sugar transport. One is biotic in origin – if these sugars are indeed algal exudates, they may be produced during the day and released at night. Although </w:t>
      </w:r>
      <w:r w:rsidR="006A2D39">
        <w:t>such</w:t>
      </w:r>
      <w:r>
        <w:t xml:space="preserve"> diel release of sugars has not been </w:t>
      </w:r>
      <w:r w:rsidR="00AE7AE6">
        <w:t>documented</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available. We observe</w:t>
      </w:r>
      <w:r w:rsidR="006D09F3">
        <w:t>d</w:t>
      </w:r>
      <w:r w:rsidR="00C339C0">
        <w:t xml:space="preserve"> </w:t>
      </w:r>
      <w:r w:rsidR="00972ACF">
        <w:t xml:space="preserve">significant </w:t>
      </w:r>
      <w:r w:rsidR="00C339C0">
        <w:t xml:space="preserve">differential expression in genes related </w:t>
      </w:r>
      <w:r w:rsidR="00972ACF">
        <w:t>to ROS</w:t>
      </w:r>
      <w:r w:rsidR="00C339C0">
        <w:t xml:space="preserve"> defense, with higher expression during the day</w:t>
      </w:r>
      <w:r w:rsidR="00972ACF">
        <w:t>,</w:t>
      </w:r>
      <w:r w:rsidR="00C339C0">
        <w:t xml:space="preserve"> in all three lakes. </w:t>
      </w:r>
      <w:r w:rsidR="001816C2">
        <w:t>Although s</w:t>
      </w:r>
      <w:r w:rsidR="006A2D39">
        <w:t xml:space="preserve">olar radiation is known to produce low molecular organic acids from high molecular weight organic matter, </w:t>
      </w:r>
      <w:r w:rsidR="001816C2">
        <w:t>we did not observe differential expression of genes encoding transporters for typical photodegradation products, such as glycolate or carboxylic acids.</w:t>
      </w:r>
    </w:p>
    <w:p w14:paraId="76847ED2" w14:textId="0B155803"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lastRenderedPageBreak/>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51BA6514" w:rsidR="007F6735" w:rsidRDefault="0020291E" w:rsidP="00D916DA">
      <w:pPr>
        <w:pStyle w:val="Normal1"/>
        <w:ind w:firstLine="720"/>
        <w:jc w:val="left"/>
      </w:pPr>
      <w:r>
        <w:t>It is therefore reasonable</w:t>
      </w:r>
      <w:r w:rsidR="00E22B85">
        <w:t xml:space="preserve"> to h</w:t>
      </w:r>
      <w:r>
        <w:t>ypothesize that freshwater photoautotrophs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 xml:space="preserve">“Black Queen Hypothesis”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p>
    <w:p w14:paraId="375EE6B7" w14:textId="7B44FFF3" w:rsidR="00BE5EE4" w:rsidRDefault="0020291E" w:rsidP="00D916DA">
      <w:pPr>
        <w:pStyle w:val="Normal1"/>
        <w:ind w:firstLine="720"/>
        <w:jc w:val="left"/>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D916DA" w:rsidRPr="00D916DA">
        <w:rPr>
          <w:noProof/>
        </w:rPr>
        <w:t>(Braakman et al. 2017)</w:t>
      </w:r>
      <w:r w:rsidR="003B1A0A">
        <w:fldChar w:fldCharType="end"/>
      </w:r>
      <w:r w:rsidR="00E22B85">
        <w:t xml:space="preserve">. </w:t>
      </w: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w:t>
      </w:r>
      <w:r w:rsidR="001816C2">
        <w:lastRenderedPageBreak/>
        <w:t xml:space="preserve">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0A30438C" w:rsidR="00430208" w:rsidRDefault="0043020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43DF6456" w:rsidR="00777FC1" w:rsidRDefault="00F1088C" w:rsidP="00D916DA">
      <w:pPr>
        <w:pStyle w:val="Normal1"/>
        <w:jc w:val="left"/>
      </w:pPr>
      <w:r>
        <w:t xml:space="preserve">This work would not have been possible without the large team of volunteers who helped collect and process samples. </w:t>
      </w:r>
      <w:r w:rsidR="00FC3633">
        <w:t xml:space="preserve">These people included </w:t>
      </w:r>
      <w:r w:rsidR="00894AC8">
        <w:t xml:space="preserve">Amelia Flannery, 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Dominick </w:t>
      </w:r>
      <w:proofErr w:type="spellStart"/>
      <w:r w:rsidR="00894AC8">
        <w:t>Ciruzzi</w:t>
      </w:r>
      <w:proofErr w:type="spellEnd"/>
      <w:r w:rsidR="00894AC8">
        <w:t xml:space="preserve">, Francisco Moya, Grace Schrader, Joshua </w:t>
      </w:r>
      <w:proofErr w:type="spellStart"/>
      <w:r w:rsidR="00894AC8">
        <w:t>Breider</w:t>
      </w:r>
      <w:proofErr w:type="spellEnd"/>
      <w:r w:rsidR="00894AC8">
        <w:t>, Kat</w:t>
      </w:r>
      <w:r w:rsidR="00E72E5A">
        <w:t>rina</w:t>
      </w:r>
      <w:r w:rsidR="00894AC8">
        <w:t xml:space="preserve">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871437">
        <w:t xml:space="preserve"> and genomes,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16" w:name="_abl40ru00kyu" w:colFirst="0" w:colLast="0"/>
      <w:bookmarkEnd w:id="16"/>
      <w:r>
        <w:rPr>
          <w:rFonts w:ascii="Times New Roman" w:eastAsia="Times New Roman" w:hAnsi="Times New Roman" w:cs="Times New Roman"/>
        </w:rPr>
        <w:lastRenderedPageBreak/>
        <w:t>References</w:t>
      </w:r>
    </w:p>
    <w:p w14:paraId="3C3D2821" w14:textId="613C64CF" w:rsidR="00235083" w:rsidRPr="00235083" w:rsidRDefault="00353C04" w:rsidP="00235083">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235083" w:rsidRPr="00235083">
        <w:rPr>
          <w:noProof/>
        </w:rPr>
        <w:t xml:space="preserve">Anders, S., and W. Huber. 2010. Differential expression analysis for sequence count data. Genome Biol. </w:t>
      </w:r>
      <w:r w:rsidR="00235083" w:rsidRPr="00235083">
        <w:rPr>
          <w:b/>
          <w:bCs/>
          <w:noProof/>
        </w:rPr>
        <w:t>11</w:t>
      </w:r>
      <w:r w:rsidR="00235083" w:rsidRPr="00235083">
        <w:rPr>
          <w:noProof/>
        </w:rPr>
        <w:t>: R106. doi:10.1186/gb-2010-11-10-r106</w:t>
      </w:r>
    </w:p>
    <w:p w14:paraId="1139433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Atamna-Ismaeel, N., G. Sabehi, I. Sharon, and others. 2008. Widespread distribution of proteorhodopsins in freshwater and brackish ecosystems. ISME J. </w:t>
      </w:r>
      <w:r w:rsidRPr="00235083">
        <w:rPr>
          <w:b/>
          <w:bCs/>
          <w:noProof/>
        </w:rPr>
        <w:t>2</w:t>
      </w:r>
      <w:r w:rsidRPr="00235083">
        <w:rPr>
          <w:noProof/>
        </w:rPr>
        <w:t>: 656–662. doi:10.1038/ismej.2008.27</w:t>
      </w:r>
    </w:p>
    <w:p w14:paraId="5CD39A6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Aylward, F. O., J. M. Eppley, J. M. Smith, F. P. Chavez, C. A. Scholin, and E. F. DeLong. 2015. Microbial community transcriptional networks are conserved in three domains at ocean basin scales. Proc. Natl. Acad. Sci. </w:t>
      </w:r>
      <w:r w:rsidRPr="00235083">
        <w:rPr>
          <w:b/>
          <w:bCs/>
          <w:noProof/>
        </w:rPr>
        <w:t>112</w:t>
      </w:r>
      <w:r w:rsidRPr="00235083">
        <w:rPr>
          <w:noProof/>
        </w:rPr>
        <w:t>: 5443–5448. doi:10.1073/PNAS.1502883112</w:t>
      </w:r>
    </w:p>
    <w:p w14:paraId="3CD70E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Bankevich, A., S. Nurk, D. Antipov, and others. 2012. SPAdes: A New Genome Assembly Algorithm and Its Applications to Single-Cell Sequencing. J. Comput. Biol. </w:t>
      </w:r>
      <w:r w:rsidRPr="00235083">
        <w:rPr>
          <w:b/>
          <w:bCs/>
          <w:noProof/>
        </w:rPr>
        <w:t>19</w:t>
      </w:r>
      <w:r w:rsidRPr="00235083">
        <w:rPr>
          <w:noProof/>
        </w:rPr>
        <w:t>: 455–477. doi:10.1089/cmb.2012.0021</w:t>
      </w:r>
    </w:p>
    <w:p w14:paraId="2157F1B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Bendall, M. L., S. L. Stevens, L.-K. Chan, and others. 2016. Genome-wide selective sweeps and gene-specific sweeps in natural bacterial populations. ISME J. </w:t>
      </w:r>
      <w:r w:rsidRPr="00235083">
        <w:rPr>
          <w:b/>
          <w:bCs/>
          <w:noProof/>
        </w:rPr>
        <w:t>10</w:t>
      </w:r>
      <w:r w:rsidRPr="00235083">
        <w:rPr>
          <w:noProof/>
        </w:rPr>
        <w:t>: 1589–1601. doi:10.1038/ismej.2015.241</w:t>
      </w:r>
    </w:p>
    <w:p w14:paraId="45E146D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Bertilsson, S., O. Berglund, M. J. Pullin, and S. W. Chisholm. 2005. Release of dissolved organic matter by Prochlorococcus. Vie Milieu </w:t>
      </w:r>
      <w:r w:rsidRPr="00235083">
        <w:rPr>
          <w:b/>
          <w:bCs/>
          <w:noProof/>
        </w:rPr>
        <w:t>55</w:t>
      </w:r>
      <w:r w:rsidRPr="00235083">
        <w:rPr>
          <w:noProof/>
        </w:rPr>
        <w:t>: 225–232.</w:t>
      </w:r>
    </w:p>
    <w:p w14:paraId="6E683B0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Bertilsson, S., and J. B. Jones. 2003. Supply of Dissolved Organic Matter to Aquatic Ecosystems: Autochthonous Sources. Aquat. Ecosyst. 3–24. doi:10.1016/B978-012256371-3/50002-0</w:t>
      </w:r>
    </w:p>
    <w:p w14:paraId="2FADD5A9"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Bertilsson, S., and L. J. Tranvik. 2000. Photochemical transformation of dissolved organic matter in lakes. Limnol. Oceanogr. </w:t>
      </w:r>
      <w:r w:rsidRPr="00235083">
        <w:rPr>
          <w:b/>
          <w:bCs/>
          <w:noProof/>
        </w:rPr>
        <w:t>45</w:t>
      </w:r>
      <w:r w:rsidRPr="00235083">
        <w:rPr>
          <w:noProof/>
        </w:rPr>
        <w:t>: 753–762. doi:10.4319/lo.2000.45.4.0753</w:t>
      </w:r>
    </w:p>
    <w:p w14:paraId="3AEA84F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Braakman, R., M. J. Follows, and S. W. Chisholm. 2017. Metabolic evolution and the self-organization of ecosystems. Proc. Natl. Acad. Sci. U. S. A. </w:t>
      </w:r>
      <w:r w:rsidRPr="00235083">
        <w:rPr>
          <w:b/>
          <w:bCs/>
          <w:noProof/>
        </w:rPr>
        <w:t>114</w:t>
      </w:r>
      <w:r w:rsidRPr="00235083">
        <w:rPr>
          <w:noProof/>
        </w:rPr>
        <w:t>: E3091–E3100. doi:10.1073/pnas.1619573114</w:t>
      </w:r>
    </w:p>
    <w:p w14:paraId="51FAF58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Bushnell, B., R. Egan, A. Copeland, and others. 2014. BBMap: A Fast, Accurate, Splice-Aware Aligner.doi:10.1186/1471-2105-13-238</w:t>
      </w:r>
    </w:p>
    <w:p w14:paraId="23A93B8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Chin-Leo, G., and D. L. Kirchman. 1988. Estimating bacterial production in marine waters from the simultaneous incorporation of thymidine and leucine. Appl. Environ. Microbiol. </w:t>
      </w:r>
      <w:r w:rsidRPr="00235083">
        <w:rPr>
          <w:b/>
          <w:bCs/>
          <w:noProof/>
        </w:rPr>
        <w:t>54</w:t>
      </w:r>
      <w:r w:rsidRPr="00235083">
        <w:rPr>
          <w:noProof/>
        </w:rPr>
        <w:t>: 1934–9.</w:t>
      </w:r>
    </w:p>
    <w:p w14:paraId="2E5E09A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Cole, J. J. 1982. INTERACTIONS BETWEEN BACTERIA AND ALGAE IN AQUATIC ECOSYSTEMS.</w:t>
      </w:r>
    </w:p>
    <w:p w14:paraId="68A43FE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Fiore, C. L., K. Longnecker, M. C. Kido Soule, and E. B. Kujawinski. 2015. Release of ecologically relevant metabolites by the cyanobacterium Synechococcus elongatus CCMP 1631. Environ. Microbiol. </w:t>
      </w:r>
      <w:r w:rsidRPr="00235083">
        <w:rPr>
          <w:b/>
          <w:bCs/>
          <w:noProof/>
        </w:rPr>
        <w:t>17</w:t>
      </w:r>
      <w:r w:rsidRPr="00235083">
        <w:rPr>
          <w:noProof/>
        </w:rPr>
        <w:t>: 3949–3963. doi:10.1111/1462-2920.12899</w:t>
      </w:r>
    </w:p>
    <w:p w14:paraId="00354A2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Garcia, S. L., S. L. R. Stevens, B. Crary, and others. 2018. Contrasting patterns of genome-level diversity across distinct co-occurring bacterial populations. ISME J. </w:t>
      </w:r>
      <w:r w:rsidRPr="00235083">
        <w:rPr>
          <w:b/>
          <w:bCs/>
          <w:noProof/>
        </w:rPr>
        <w:t>12</w:t>
      </w:r>
      <w:r w:rsidRPr="00235083">
        <w:rPr>
          <w:noProof/>
        </w:rPr>
        <w:t>: 742–755. doi:10.1038/s41396-017-0001-0</w:t>
      </w:r>
    </w:p>
    <w:p w14:paraId="176A98F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Ghylin, T. W., S. L. Garcia, F. Moya, and others. 2014. Comparative single-cell genomics reveals potential ecological niches for the freshwater acI Actinobacteria lineage. ISME J. </w:t>
      </w:r>
      <w:r w:rsidRPr="00235083">
        <w:rPr>
          <w:b/>
          <w:bCs/>
          <w:noProof/>
        </w:rPr>
        <w:t>8</w:t>
      </w:r>
      <w:r w:rsidRPr="00235083">
        <w:rPr>
          <w:noProof/>
        </w:rPr>
        <w:t>: 2503–16. doi:10.1038/ismej.2014.135</w:t>
      </w:r>
    </w:p>
    <w:p w14:paraId="6F7A99D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Goldford, J. E., N. Lu, D. Bajić, and others. 2018. Emergent simplicity in microbial community assembly. Science </w:t>
      </w:r>
      <w:r w:rsidRPr="00235083">
        <w:rPr>
          <w:b/>
          <w:bCs/>
          <w:noProof/>
        </w:rPr>
        <w:t>361</w:t>
      </w:r>
      <w:r w:rsidRPr="00235083">
        <w:rPr>
          <w:noProof/>
        </w:rPr>
        <w:t>: 469–474. doi:10.1126/science.aat1168</w:t>
      </w:r>
    </w:p>
    <w:p w14:paraId="4D6D979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Hellebust, J. A. 1965. EXCRETION OF SOME ORGANIC COMPOUNDS BY MARINE PHYTOPLANKTON1. Limnol. Oceanogr. </w:t>
      </w:r>
      <w:r w:rsidRPr="00235083">
        <w:rPr>
          <w:b/>
          <w:bCs/>
          <w:noProof/>
        </w:rPr>
        <w:t>10</w:t>
      </w:r>
      <w:r w:rsidRPr="00235083">
        <w:rPr>
          <w:noProof/>
        </w:rPr>
        <w:t>: 192–206. doi:10.4319/lo.1965.10.2.0192</w:t>
      </w:r>
    </w:p>
    <w:p w14:paraId="005D8C3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Huang, Y., B. Niu, Y. Gao, L. Fu, and W. Li. 2010. CD-HIT Suite: a web server for clustering and </w:t>
      </w:r>
      <w:r w:rsidRPr="00235083">
        <w:rPr>
          <w:noProof/>
        </w:rPr>
        <w:lastRenderedPageBreak/>
        <w:t xml:space="preserve">comparing biological sequences. Bioinformatics </w:t>
      </w:r>
      <w:r w:rsidRPr="00235083">
        <w:rPr>
          <w:b/>
          <w:bCs/>
          <w:noProof/>
        </w:rPr>
        <w:t>26</w:t>
      </w:r>
      <w:r w:rsidRPr="00235083">
        <w:rPr>
          <w:noProof/>
        </w:rPr>
        <w:t>: 680–682. doi:10.1093/bioinformatics/btq003</w:t>
      </w:r>
    </w:p>
    <w:p w14:paraId="1FDA0130"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Jorgenson, N. O., L. J. Tranvik, H. Edling, W. Graneli, and M. Lindell. 1998. Effects of sunlight on occurrence and bacterial turnover of specific carbon and nitrogen compounds in lake water. FEMS Microbiol. Ecol. </w:t>
      </w:r>
      <w:r w:rsidRPr="00235083">
        <w:rPr>
          <w:b/>
          <w:bCs/>
          <w:noProof/>
        </w:rPr>
        <w:t>25</w:t>
      </w:r>
      <w:r w:rsidRPr="00235083">
        <w:rPr>
          <w:noProof/>
        </w:rPr>
        <w:t>: 217–227.</w:t>
      </w:r>
    </w:p>
    <w:p w14:paraId="096C600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Kaplan, L. A., and T. L. Bott. 1989. Diel fluctuations in bacterial activity on streambed substrata during vernal algal blooms: Effects of temperature, water chemistry, and habitat. Limnol. Oceanogr. </w:t>
      </w:r>
      <w:r w:rsidRPr="00235083">
        <w:rPr>
          <w:b/>
          <w:bCs/>
          <w:noProof/>
        </w:rPr>
        <w:t>34</w:t>
      </w:r>
      <w:r w:rsidRPr="00235083">
        <w:rPr>
          <w:noProof/>
        </w:rPr>
        <w:t>: 718–733. doi:10.4319/lo.1989.34.4.0718</w:t>
      </w:r>
    </w:p>
    <w:p w14:paraId="1DAD1A1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235083">
        <w:rPr>
          <w:b/>
          <w:bCs/>
          <w:noProof/>
        </w:rPr>
        <w:t>8</w:t>
      </w:r>
      <w:r w:rsidRPr="00235083">
        <w:rPr>
          <w:noProof/>
        </w:rPr>
        <w:t>: 1448–1459. doi:10.1111/j.1462-2920.2006.01039.x</w:t>
      </w:r>
    </w:p>
    <w:p w14:paraId="14CE3ED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Kopylova, E., L. Noé, and H. Touzet. 2012. SortMeRNA: fast and accurate filtering of ribosomal RNAs in metatranscriptomic data. Bioinformatics </w:t>
      </w:r>
      <w:r w:rsidRPr="00235083">
        <w:rPr>
          <w:b/>
          <w:bCs/>
          <w:noProof/>
        </w:rPr>
        <w:t>28</w:t>
      </w:r>
      <w:r w:rsidRPr="00235083">
        <w:rPr>
          <w:noProof/>
        </w:rPr>
        <w:t>: 3211–3217. doi:10.1093/bioinformatics/bts611</w:t>
      </w:r>
    </w:p>
    <w:p w14:paraId="474CB1B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 D., R. Luo, C.-M. Liu, C.-M. Leung, H.-F. Ting, K. Sadakane, H. Yamashita, and T.-W. Lam. 2016. MEGAHIT v1.0: A fast and scalable metagenome assembler driven by advanced methodologies and community practices. Methods </w:t>
      </w:r>
      <w:r w:rsidRPr="00235083">
        <w:rPr>
          <w:b/>
          <w:bCs/>
          <w:noProof/>
        </w:rPr>
        <w:t>102</w:t>
      </w:r>
      <w:r w:rsidRPr="00235083">
        <w:rPr>
          <w:noProof/>
        </w:rPr>
        <w:t>: 3–11. doi:10.1016/J.YMETH.2016.02.020</w:t>
      </w:r>
    </w:p>
    <w:p w14:paraId="64499E0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Liao, Y., G. K. Smyth, and W. Shi. 2014. featureCounts: an efficient general purpose program for assigning sequence reads to genomic features. Bioinformatics </w:t>
      </w:r>
      <w:r w:rsidRPr="00235083">
        <w:rPr>
          <w:b/>
          <w:bCs/>
          <w:noProof/>
        </w:rPr>
        <w:t>30</w:t>
      </w:r>
      <w:r w:rsidRPr="00235083">
        <w:rPr>
          <w:noProof/>
        </w:rPr>
        <w:t>: 923–930. doi:10.1093/bioinformatics/btt656</w:t>
      </w:r>
    </w:p>
    <w:p w14:paraId="773F69D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Linz, A. M., S. He, S. L. R. Stevens, K. Anantharaman, R. R. Rohwer, R. R. Malmstrom, S. Bertilsson, and K. D. McMahon. 2018. Freshwater carbon and nutrient cycles revealed through reconstructed population genomes. PeerJ </w:t>
      </w:r>
      <w:r w:rsidRPr="00235083">
        <w:rPr>
          <w:b/>
          <w:bCs/>
          <w:noProof/>
        </w:rPr>
        <w:t>6</w:t>
      </w:r>
      <w:r w:rsidRPr="00235083">
        <w:rPr>
          <w:noProof/>
        </w:rPr>
        <w:t>: e6075. doi:10.7717/peerj.6075</w:t>
      </w:r>
    </w:p>
    <w:p w14:paraId="56CD8439"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Love, M. I., S. Anders, and W. Huber. 2016. Differential analysis of count data-the DESeq2 package.doi:10.1186/s13059-014-0550-8</w:t>
      </w:r>
    </w:p>
    <w:p w14:paraId="2556746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 L., B. C. Calfee, J. J. Morris, Z. I. Johnson, and E. R. Zinser. 2018. Degradation of hydrogen peroxide at the ocean’s surface: the influence of the microbial community on the realized thermal niche of Prochlorococcus. ISME J. </w:t>
      </w:r>
      <w:r w:rsidRPr="00235083">
        <w:rPr>
          <w:b/>
          <w:bCs/>
          <w:noProof/>
        </w:rPr>
        <w:t>12</w:t>
      </w:r>
      <w:r w:rsidRPr="00235083">
        <w:rPr>
          <w:noProof/>
        </w:rPr>
        <w:t>: 473–484. doi:10.1038/ismej.2017.182</w:t>
      </w:r>
    </w:p>
    <w:p w14:paraId="00BD146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Maresca, J. A., J. L. Keffer, P. Hempel, and others. 2019. Light modulates the physiology of non-phototrophic Actinobacteria. J. Bacteriol. JB.00740-18. doi:10.1128/JB.00740-18</w:t>
      </w:r>
    </w:p>
    <w:p w14:paraId="70C54E1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Markowitz, V. M., I. M. A. Chen, K. Palaniappan, and others. 2012. IMG: The integrated microbial genomes database and comparative analysis system. Nucleic Acids Res. </w:t>
      </w:r>
      <w:r w:rsidRPr="00235083">
        <w:rPr>
          <w:b/>
          <w:bCs/>
          <w:noProof/>
        </w:rPr>
        <w:t>40</w:t>
      </w:r>
      <w:r w:rsidRPr="00235083">
        <w:rPr>
          <w:noProof/>
        </w:rPr>
        <w:t>: 115–122. doi:10.1093/nar/gkr1044</w:t>
      </w:r>
    </w:p>
    <w:p w14:paraId="5C52E1C3"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Maršálek, B., and R. Rojíčková. 1996. Stress Factors Enhancing Production of Algal Exudates: a Potential Self-Protective Mechanism? Zeitschrift für Naturforsch. C </w:t>
      </w:r>
      <w:r w:rsidRPr="00235083">
        <w:rPr>
          <w:b/>
          <w:bCs/>
          <w:noProof/>
        </w:rPr>
        <w:t>51</w:t>
      </w:r>
      <w:r w:rsidRPr="00235083">
        <w:rPr>
          <w:noProof/>
        </w:rPr>
        <w:t>: 646–650. doi:10.1515/znc-1996-9-1008</w:t>
      </w:r>
    </w:p>
    <w:p w14:paraId="72ABEDC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Masuda, T., G. Bernát, M. Bečková, E. Kotabová, E. Lawrenz, M. Lukeš, J. Komenda, and O. Prášil. 2018. Diel regulation of photosynthetic activity in the oceanic unicellular diazotrophic cyanobacterium </w:t>
      </w:r>
      <w:r w:rsidRPr="00235083">
        <w:rPr>
          <w:i/>
          <w:iCs/>
          <w:noProof/>
        </w:rPr>
        <w:t>Crocosphaera watsonii</w:t>
      </w:r>
      <w:r w:rsidRPr="00235083">
        <w:rPr>
          <w:noProof/>
        </w:rPr>
        <w:t xml:space="preserve"> WH8501. Environ. Microbiol. </w:t>
      </w:r>
      <w:r w:rsidRPr="00235083">
        <w:rPr>
          <w:b/>
          <w:bCs/>
          <w:noProof/>
        </w:rPr>
        <w:t>20</w:t>
      </w:r>
      <w:r w:rsidRPr="00235083">
        <w:rPr>
          <w:noProof/>
        </w:rPr>
        <w:t>: 546–560. doi:10.1111/1462-2920.13963</w:t>
      </w:r>
    </w:p>
    <w:p w14:paraId="48CEA3E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Moran, M. A., E. B. Kujawinski, A. Stubbins, and others. 2016. Deciphering ocean carbon in a changing world. Proc. Natl. Acad. Sci. U. S. A. </w:t>
      </w:r>
      <w:r w:rsidRPr="00235083">
        <w:rPr>
          <w:b/>
          <w:bCs/>
          <w:noProof/>
        </w:rPr>
        <w:t>113</w:t>
      </w:r>
      <w:r w:rsidRPr="00235083">
        <w:rPr>
          <w:noProof/>
        </w:rPr>
        <w:t>: 3143–51. doi:10.1073/pnas.1514645113</w:t>
      </w:r>
    </w:p>
    <w:p w14:paraId="3A725A8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Moran, M. A., B. Satinsky, S. M. Gifford, and others. 2013. Sizing up metatranscriptomics. ISME J. </w:t>
      </w:r>
      <w:r w:rsidRPr="00235083">
        <w:rPr>
          <w:b/>
          <w:bCs/>
          <w:noProof/>
        </w:rPr>
        <w:t>7</w:t>
      </w:r>
      <w:r w:rsidRPr="00235083">
        <w:rPr>
          <w:noProof/>
        </w:rPr>
        <w:t>: 237–243. doi:10.1038/ismej.2012.94</w:t>
      </w:r>
    </w:p>
    <w:p w14:paraId="50082B83"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lastRenderedPageBreak/>
        <w:t xml:space="preserve">Morris, J. J., Z. I. Johnson, M. J. Szul, M. Keller, and E. R. Zinser. 2011. Dependence of the Cyanobacterium Prochlorococcus on Hydrogen Peroxide Scavenging Microbes for Growth at the Ocean’s Surface F. Rodriguez-Valera [ed.]. PLoS One </w:t>
      </w:r>
      <w:r w:rsidRPr="00235083">
        <w:rPr>
          <w:b/>
          <w:bCs/>
          <w:noProof/>
        </w:rPr>
        <w:t>6</w:t>
      </w:r>
      <w:r w:rsidRPr="00235083">
        <w:rPr>
          <w:noProof/>
        </w:rPr>
        <w:t>: e16805. doi:10.1371/journal.pone.0016805</w:t>
      </w:r>
    </w:p>
    <w:p w14:paraId="647A101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Morris, J. J., Z. I. Johnson, S. W. Wilhelm, and E. R. Zinser. 2016. Diel regulation of hydrogen peroxide defenses by open ocean microbial communities. J. Plankton Res. </w:t>
      </w:r>
      <w:r w:rsidRPr="00235083">
        <w:rPr>
          <w:b/>
          <w:bCs/>
          <w:noProof/>
        </w:rPr>
        <w:t>38</w:t>
      </w:r>
      <w:r w:rsidRPr="00235083">
        <w:rPr>
          <w:noProof/>
        </w:rPr>
        <w:t>: 1103–1114. doi:10.1093/plankt/fbw016</w:t>
      </w:r>
    </w:p>
    <w:p w14:paraId="39C8117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Morris, J. J., R. E. Lenski, and E. R. Zinser. 2012. The Black Queen Hypothesis: evolution of dependencies through adaptive gene loss. MBio </w:t>
      </w:r>
      <w:r w:rsidRPr="00235083">
        <w:rPr>
          <w:b/>
          <w:bCs/>
          <w:noProof/>
        </w:rPr>
        <w:t>3</w:t>
      </w:r>
      <w:r w:rsidRPr="00235083">
        <w:rPr>
          <w:noProof/>
        </w:rPr>
        <w:t>: e00036-12. doi:10.1128/mBio.00036-12</w:t>
      </w:r>
    </w:p>
    <w:p w14:paraId="4B536E5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Nelson, C. E., S. J. Goldberg, L. Wegley Kelly, A. F. Haas, J. E. Smith, F. Rohwer, and C. A. Carlson. 2013. Coral and macroalgal exudates vary in neutral sugar composition and differentially enrich reef bacterioplankton lineages. ISME J. </w:t>
      </w:r>
      <w:r w:rsidRPr="00235083">
        <w:rPr>
          <w:b/>
          <w:bCs/>
          <w:noProof/>
        </w:rPr>
        <w:t>7</w:t>
      </w:r>
      <w:r w:rsidRPr="00235083">
        <w:rPr>
          <w:noProof/>
        </w:rPr>
        <w:t>: 962–979. doi:10.1038/ismej.2012.161</w:t>
      </w:r>
    </w:p>
    <w:p w14:paraId="5ABC73C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Newton, R. J., S. E. Jones, A. Eiler, K. D. McMahon, and S. Bertilsson. 2011. A guide to the natural history of freshwater lake bacteria. Microbiol. Mol. Biol. Rev. </w:t>
      </w:r>
      <w:r w:rsidRPr="00235083">
        <w:rPr>
          <w:b/>
          <w:bCs/>
          <w:noProof/>
        </w:rPr>
        <w:t>75</w:t>
      </w:r>
      <w:r w:rsidRPr="00235083">
        <w:rPr>
          <w:noProof/>
        </w:rPr>
        <w:t>: 14–49. doi:10.1128/MMBR.00028-10</w:t>
      </w:r>
    </w:p>
    <w:p w14:paraId="0AB20B9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Newton, R. J., S. E. Jones, M. R. Helmus, and K. D. McMahon. 2007. Phylogenetic ecology of the freshwater Actinobacteria acI lineage. Appl. Environ. Microbiol. </w:t>
      </w:r>
      <w:r w:rsidRPr="00235083">
        <w:rPr>
          <w:b/>
          <w:bCs/>
          <w:noProof/>
        </w:rPr>
        <w:t>73</w:t>
      </w:r>
      <w:r w:rsidRPr="00235083">
        <w:rPr>
          <w:noProof/>
        </w:rPr>
        <w:t>: 7169–76. doi:10.1128/AEM.00794-07</w:t>
      </w:r>
    </w:p>
    <w:p w14:paraId="6B7323C0"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Ottesen, E. A., C. R. Young, J. M. Eppley, J. P. Ryan, F. P. Chavez, C. A. Scholin, and E. F. DeLong. 2013. Pattern and synchrony of gene expression among sympatric marine microbial populations. Proc. Natl. Acad. Sci. U. S. A. </w:t>
      </w:r>
      <w:r w:rsidRPr="00235083">
        <w:rPr>
          <w:b/>
          <w:bCs/>
          <w:noProof/>
        </w:rPr>
        <w:t>110</w:t>
      </w:r>
      <w:r w:rsidRPr="00235083">
        <w:rPr>
          <w:noProof/>
        </w:rPr>
        <w:t>: E488-97. doi:10.1073/pnas.1222099110</w:t>
      </w:r>
    </w:p>
    <w:p w14:paraId="3B2F67A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Ottesen, E. A., C. R. Young, S. M. Gifford, J. M. Eppley, R. Marin, S. C. Schuster, C. A. Scholin, and E. F. DeLong. 2014. Ocean microbes. Multispecies diel transcriptional oscillations in open ocean heterotrophic bacterial assemblages. Science </w:t>
      </w:r>
      <w:r w:rsidRPr="00235083">
        <w:rPr>
          <w:b/>
          <w:bCs/>
          <w:noProof/>
        </w:rPr>
        <w:t>345</w:t>
      </w:r>
      <w:r w:rsidRPr="00235083">
        <w:rPr>
          <w:noProof/>
        </w:rPr>
        <w:t>: 207–12. doi:10.1126/science.1252476</w:t>
      </w:r>
    </w:p>
    <w:p w14:paraId="24A9131E"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Parks, D. H., M. Imelfort, C. T. Skennerton, P. Hugenholtz, and G. W. Tyson. 2015. CheckM: assessing the quality of microbial genomes recovered from isolates, single cells, and metagenomes. Genome Res. </w:t>
      </w:r>
      <w:r w:rsidRPr="00235083">
        <w:rPr>
          <w:b/>
          <w:bCs/>
          <w:noProof/>
        </w:rPr>
        <w:t>25</w:t>
      </w:r>
      <w:r w:rsidRPr="00235083">
        <w:rPr>
          <w:noProof/>
        </w:rPr>
        <w:t>: 1043–55. doi:10.1101/gr.186072.114</w:t>
      </w:r>
    </w:p>
    <w:p w14:paraId="054F3361"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Paver, S. F., K. R. Hayek, K. A. Gano, and others. 2013. Interactions between specific phytoplankton and bacteria affect lake bacterial community succession. Environ. Microbiol. </w:t>
      </w:r>
      <w:r w:rsidRPr="00235083">
        <w:rPr>
          <w:b/>
          <w:bCs/>
          <w:noProof/>
        </w:rPr>
        <w:t>15</w:t>
      </w:r>
      <w:r w:rsidRPr="00235083">
        <w:rPr>
          <w:noProof/>
        </w:rPr>
        <w:t>: 2489–2504. doi:10.1111/1462-2920.12131</w:t>
      </w:r>
    </w:p>
    <w:p w14:paraId="4A72BCA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Paver, S. F., N. D. Youngblut, R. J. Whitaker, and A. D. Kent. 2015. Phytoplankton succession affects the composition of </w:t>
      </w:r>
      <w:r w:rsidRPr="00235083">
        <w:rPr>
          <w:i/>
          <w:iCs/>
          <w:noProof/>
        </w:rPr>
        <w:t>P</w:t>
      </w:r>
      <w:r w:rsidRPr="00235083">
        <w:rPr>
          <w:noProof/>
        </w:rPr>
        <w:t xml:space="preserve"> </w:t>
      </w:r>
      <w:r w:rsidRPr="00235083">
        <w:rPr>
          <w:i/>
          <w:iCs/>
          <w:noProof/>
        </w:rPr>
        <w:t>olynucleobacter</w:t>
      </w:r>
      <w:r w:rsidRPr="00235083">
        <w:rPr>
          <w:noProof/>
        </w:rPr>
        <w:t xml:space="preserve"> subtypes in humic lakes. Environ. Microbiol. </w:t>
      </w:r>
      <w:r w:rsidRPr="00235083">
        <w:rPr>
          <w:b/>
          <w:bCs/>
          <w:noProof/>
        </w:rPr>
        <w:t>17</w:t>
      </w:r>
      <w:r w:rsidRPr="00235083">
        <w:rPr>
          <w:noProof/>
        </w:rPr>
        <w:t>: 816–828. doi:10.1111/1462-2920.12529</w:t>
      </w:r>
    </w:p>
    <w:p w14:paraId="2EBCE14F"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Pernthaler, J., T. Posch, K. Simek, and others. 2001. Predator-specific enrichment of actinobacteria from a cosmopolitan freshwater clade in mixed continuous culture. Appl. Environ. Microbiol. </w:t>
      </w:r>
      <w:r w:rsidRPr="00235083">
        <w:rPr>
          <w:b/>
          <w:bCs/>
          <w:noProof/>
        </w:rPr>
        <w:t>67</w:t>
      </w:r>
      <w:r w:rsidRPr="00235083">
        <w:rPr>
          <w:noProof/>
        </w:rPr>
        <w:t>: 2145–55. doi:10.1128/AEM.67.5.2145-2155.2001</w:t>
      </w:r>
    </w:p>
    <w:p w14:paraId="1F1C70D6"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Pinhassi, J., E. F. DeLong, O. Béjà, J. M. González, and C. Pedrós-Alió. 2016. Marine Bacterial and Archaeal Ion-Pumping Rhodopsins: Genetic Diversity, Physiology, and Ecology. Microbiol. Mol. Biol. Rev. </w:t>
      </w:r>
      <w:r w:rsidRPr="00235083">
        <w:rPr>
          <w:b/>
          <w:bCs/>
          <w:noProof/>
        </w:rPr>
        <w:t>80</w:t>
      </w:r>
      <w:r w:rsidRPr="00235083">
        <w:rPr>
          <w:noProof/>
        </w:rPr>
        <w:t>: 929–954. doi:10.1128/MMBR.00003-16</w:t>
      </w:r>
    </w:p>
    <w:p w14:paraId="2121931E"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Poretsky, R. S., I. Hewson, S. Sun, A. E. Allen, J. P. Zehr, and M. A. Moran. 2009. Comparative day/night metatranscriptomic analysis of microbial communities in the North Pacific subtropical gyre. Environ. Microbiol. </w:t>
      </w:r>
      <w:r w:rsidRPr="00235083">
        <w:rPr>
          <w:b/>
          <w:bCs/>
          <w:noProof/>
        </w:rPr>
        <w:t>11</w:t>
      </w:r>
      <w:r w:rsidRPr="00235083">
        <w:rPr>
          <w:noProof/>
        </w:rPr>
        <w:t>: 1358–1375. doi:10.1111/j.1462-2920.2008.01863.x</w:t>
      </w:r>
    </w:p>
    <w:p w14:paraId="2015A36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Posch, T., K. Simek, J. Vrba, J. Pernthaler, J. Nedoma, B. Sattler, B. Sonntag, and R. Psenner. </w:t>
      </w:r>
      <w:r w:rsidRPr="00235083">
        <w:rPr>
          <w:noProof/>
        </w:rPr>
        <w:lastRenderedPageBreak/>
        <w:t xml:space="preserve">1999. Predator-induced changes of bacterial size-structure and productivity studied on an experimental microbial community. Aquat. Microb. Ecol. </w:t>
      </w:r>
      <w:r w:rsidRPr="00235083">
        <w:rPr>
          <w:b/>
          <w:bCs/>
          <w:noProof/>
        </w:rPr>
        <w:t>18</w:t>
      </w:r>
      <w:r w:rsidRPr="00235083">
        <w:rPr>
          <w:noProof/>
        </w:rPr>
        <w:t>: 235–246. doi:10.3354/ame018235</w:t>
      </w:r>
    </w:p>
    <w:p w14:paraId="792AF837"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Pruitt, K. D., and D. R. Maglott. 2001. RefSeq and LocusLink: NCBI gene-centered resources. Nucleic Acids Res. </w:t>
      </w:r>
      <w:r w:rsidRPr="00235083">
        <w:rPr>
          <w:b/>
          <w:bCs/>
          <w:noProof/>
        </w:rPr>
        <w:t>29</w:t>
      </w:r>
      <w:r w:rsidRPr="00235083">
        <w:rPr>
          <w:noProof/>
        </w:rPr>
        <w:t>: 137–140. doi:10.1093/nar/29.1.137</w:t>
      </w:r>
    </w:p>
    <w:p w14:paraId="008146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Rinke, C., J. Lee, N. Nath, and others. 2014. Obtaining genomes from uncultivated environmental microorganisms using FACS–based single-cell genomics. Nat. Protoc. </w:t>
      </w:r>
      <w:r w:rsidRPr="00235083">
        <w:rPr>
          <w:b/>
          <w:bCs/>
          <w:noProof/>
        </w:rPr>
        <w:t>9</w:t>
      </w:r>
      <w:r w:rsidRPr="00235083">
        <w:rPr>
          <w:noProof/>
        </w:rPr>
        <w:t>: 1038–1048. doi:10.1038/nprot.2014.067</w:t>
      </w:r>
    </w:p>
    <w:p w14:paraId="7A7E35B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Satinsky, B. M., S. M. Gifford, B. C. Crump, and M. A. Moran. 2013. Use of Internal Standards for Quantitative Metatranscriptome and Metagenome Analysis. Methods Enzymol. </w:t>
      </w:r>
      <w:r w:rsidRPr="00235083">
        <w:rPr>
          <w:b/>
          <w:bCs/>
          <w:noProof/>
        </w:rPr>
        <w:t>531</w:t>
      </w:r>
      <w:r w:rsidRPr="00235083">
        <w:rPr>
          <w:noProof/>
        </w:rPr>
        <w:t>: 237–250. doi:10.1016/B978-0-12-407863-5.00012-5</w:t>
      </w:r>
    </w:p>
    <w:p w14:paraId="56DFC164"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Simek, K., V. Kasalický, E. Zapomĕlová, and K. Hornák. 2011. Alga-derived substrates select for distinct Betaproteobacterial lineages and contribute to niche separation in Limnohabitans strains. Appl. Environ. Microbiol. </w:t>
      </w:r>
      <w:r w:rsidRPr="00235083">
        <w:rPr>
          <w:b/>
          <w:bCs/>
          <w:noProof/>
        </w:rPr>
        <w:t>77</w:t>
      </w:r>
      <w:r w:rsidRPr="00235083">
        <w:rPr>
          <w:noProof/>
        </w:rPr>
        <w:t>: 7307–15. doi:10.1128/AEM.05107-11</w:t>
      </w:r>
    </w:p>
    <w:p w14:paraId="610AEDC5"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Šimek, K., J. Nedoma, J. Pernthaler, T. Posch, and J. R. Dolan. 2002. Altering the balance between bacterial production and protistan bacterivory triggers shifts in freshwater bacterial community composition. Antonie Van Leeuwenhoek </w:t>
      </w:r>
      <w:r w:rsidRPr="00235083">
        <w:rPr>
          <w:b/>
          <w:bCs/>
          <w:noProof/>
        </w:rPr>
        <w:t>81</w:t>
      </w:r>
      <w:r w:rsidRPr="00235083">
        <w:rPr>
          <w:noProof/>
        </w:rPr>
        <w:t>: 453–463. doi:10.1023/A:1020557221798</w:t>
      </w:r>
    </w:p>
    <w:p w14:paraId="7B50939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235083">
        <w:rPr>
          <w:b/>
          <w:bCs/>
          <w:noProof/>
        </w:rPr>
        <w:t>78</w:t>
      </w:r>
      <w:r w:rsidRPr="00235083">
        <w:rPr>
          <w:noProof/>
        </w:rPr>
        <w:t>: 1361–9. doi:10.1128/AEM.05542-11</w:t>
      </w:r>
    </w:p>
    <w:p w14:paraId="5D3B708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Solomon, C. T., D. A. Bruesewitz, D. C. Richardson, and others. 2013. Ecosystem respiration: Drivers of daily variability and background respiration in lakes around the globe. Limnol. Oceanogr. </w:t>
      </w:r>
      <w:r w:rsidRPr="00235083">
        <w:rPr>
          <w:b/>
          <w:bCs/>
          <w:noProof/>
        </w:rPr>
        <w:t>58</w:t>
      </w:r>
      <w:r w:rsidRPr="00235083">
        <w:rPr>
          <w:noProof/>
        </w:rPr>
        <w:t>: 849–866. doi:10.4319/lo.2013.58.3.0849</w:t>
      </w:r>
    </w:p>
    <w:p w14:paraId="4C5804EA"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Sommaruga, R., I. Obernosterer, G. J. Herndl, and R. Psenner. 1997. Inhibitory effect of solar radiation on thymidine and leucine incorporation by freshwater and marine bacterioplankton. Appl. Environ. Microbiol. </w:t>
      </w:r>
      <w:r w:rsidRPr="00235083">
        <w:rPr>
          <w:b/>
          <w:bCs/>
          <w:noProof/>
        </w:rPr>
        <w:t>63</w:t>
      </w:r>
      <w:r w:rsidRPr="00235083">
        <w:rPr>
          <w:noProof/>
        </w:rPr>
        <w:t>: 4178–84.</w:t>
      </w:r>
    </w:p>
    <w:p w14:paraId="67C16F1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Sunagawa, S., L. P. Coelho, S. Chaffron, and others. 2015. Structure and function of the global ocean microbiome. Science </w:t>
      </w:r>
      <w:r w:rsidRPr="00235083">
        <w:rPr>
          <w:b/>
          <w:bCs/>
          <w:noProof/>
        </w:rPr>
        <w:t>348</w:t>
      </w:r>
      <w:r w:rsidRPr="00235083">
        <w:rPr>
          <w:noProof/>
        </w:rPr>
        <w:t>: 1261359. doi:10.1126/science.1261359</w:t>
      </w:r>
    </w:p>
    <w:p w14:paraId="02D04072"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Teeling, H., B. M. Fuchs, D. Becher, and others. 2012. Substrate-Controlled Succession of Marine Bacterioplankton Populations Induced by a Phytoplankton Bloom. Science (80-. ). </w:t>
      </w:r>
      <w:r w:rsidRPr="00235083">
        <w:rPr>
          <w:b/>
          <w:bCs/>
          <w:noProof/>
        </w:rPr>
        <w:t>336</w:t>
      </w:r>
      <w:r w:rsidRPr="00235083">
        <w:rPr>
          <w:noProof/>
        </w:rPr>
        <w:t>: 608–611. doi:10.1126/science.1218344</w:t>
      </w:r>
    </w:p>
    <w:p w14:paraId="0A44FC8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Thaben, P. F., and P. O. Westermark. 2014. Detecting rhythms in time series with RAIN. J. Biol. Rhythms </w:t>
      </w:r>
      <w:r w:rsidRPr="00235083">
        <w:rPr>
          <w:b/>
          <w:bCs/>
          <w:noProof/>
        </w:rPr>
        <w:t>29</w:t>
      </w:r>
      <w:r w:rsidRPr="00235083">
        <w:rPr>
          <w:noProof/>
        </w:rPr>
        <w:t>: 391–400. doi:10.1177/0748730414553029</w:t>
      </w:r>
    </w:p>
    <w:p w14:paraId="139899D8"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Tsementzi, D., R. Poretsky, L. M. Rodriguez-R, C. Luo, and K. T. Konstantinidis. 2014. Evaluation of metatranscriptomic protocols and application to the study of freshwater microbial communities. Environ. Microbiol. Rep. </w:t>
      </w:r>
      <w:r w:rsidRPr="00235083">
        <w:rPr>
          <w:b/>
          <w:bCs/>
          <w:noProof/>
        </w:rPr>
        <w:t>6</w:t>
      </w:r>
      <w:r w:rsidRPr="00235083">
        <w:rPr>
          <w:noProof/>
        </w:rPr>
        <w:t>: 640–655. doi:10.1111/1758-2229.12180</w:t>
      </w:r>
    </w:p>
    <w:p w14:paraId="6052B2EC"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235083">
        <w:rPr>
          <w:b/>
          <w:bCs/>
          <w:noProof/>
        </w:rPr>
        <w:t>84</w:t>
      </w:r>
      <w:r w:rsidRPr="00235083">
        <w:rPr>
          <w:noProof/>
        </w:rPr>
        <w:t>: 265–277. doi:10.1080/00364827.1999.10420431</w:t>
      </w:r>
    </w:p>
    <w:p w14:paraId="5FA6F2E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Vila-Costa, M., S. Sharma, M. A. Moran, and E. O. Casamayor. 2013. Diel gene expression profiles of a phosphorus limited mountain lake using metatranscriptomics. Environ. Microbiol. </w:t>
      </w:r>
      <w:r w:rsidRPr="00235083">
        <w:rPr>
          <w:b/>
          <w:bCs/>
          <w:noProof/>
        </w:rPr>
        <w:t>15</w:t>
      </w:r>
      <w:r w:rsidRPr="00235083">
        <w:rPr>
          <w:noProof/>
        </w:rPr>
        <w:t>: 1190–1203. doi:10.1111/1462-2920.12033</w:t>
      </w:r>
    </w:p>
    <w:p w14:paraId="22C2082D"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Vorobev, A., S. Sharma, M. Yu, and others. 2018. Identifying labile DOM components in a coastal </w:t>
      </w:r>
      <w:r w:rsidRPr="00235083">
        <w:rPr>
          <w:noProof/>
        </w:rPr>
        <w:lastRenderedPageBreak/>
        <w:t xml:space="preserve">ocean through depleted bacterial transcripts and chemical signals. Environ. Microbiol. </w:t>
      </w:r>
      <w:r w:rsidRPr="00235083">
        <w:rPr>
          <w:b/>
          <w:bCs/>
          <w:noProof/>
        </w:rPr>
        <w:t>20</w:t>
      </w:r>
      <w:r w:rsidRPr="00235083">
        <w:rPr>
          <w:noProof/>
        </w:rPr>
        <w:t>: 3012–3030. doi:10.1111/1462-2920.14344</w:t>
      </w:r>
    </w:p>
    <w:p w14:paraId="08C061E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Welkie, D. G., B. E. Rubin, S. Diamond, R. D. Hood, D. F. Savage, and S. S. Golden. 2018. A Hard Day’s Night: Cyanobacteria in Diel Cycles. Trends Microbiol. doi:10.1016/J.TIM.2018.11.002</w:t>
      </w:r>
    </w:p>
    <w:p w14:paraId="5779375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Woyke, T., A. Sczyrba, J. Lee, and others. 2011. Decontamination of MDA Reagents for Single Cell Whole Genome Amplification O. Lespinet [ed.]. PLoS One </w:t>
      </w:r>
      <w:r w:rsidRPr="00235083">
        <w:rPr>
          <w:b/>
          <w:bCs/>
          <w:noProof/>
        </w:rPr>
        <w:t>6</w:t>
      </w:r>
      <w:r w:rsidRPr="00235083">
        <w:rPr>
          <w:noProof/>
        </w:rPr>
        <w:t>: e26161. doi:10.1371/journal.pone.0026161</w:t>
      </w:r>
    </w:p>
    <w:p w14:paraId="604D86BB" w14:textId="77777777" w:rsidR="00235083" w:rsidRPr="00235083" w:rsidRDefault="00235083" w:rsidP="00235083">
      <w:pPr>
        <w:widowControl w:val="0"/>
        <w:autoSpaceDE w:val="0"/>
        <w:autoSpaceDN w:val="0"/>
        <w:adjustRightInd w:val="0"/>
        <w:spacing w:after="0" w:line="240" w:lineRule="auto"/>
        <w:ind w:left="480" w:hanging="480"/>
        <w:rPr>
          <w:noProof/>
        </w:rPr>
      </w:pPr>
      <w:r w:rsidRPr="00235083">
        <w:rPr>
          <w:noProof/>
        </w:rPr>
        <w:t xml:space="preserve">Wu, Y.-W., Y.-H. Tang, S. G. Tringe, B. A. Simmons, and S. W. Singer. 2014. MaxBin: an automated binning method to recover individual genomes from metagenomes using an expectation-maximization algorithm. Microbiome </w:t>
      </w:r>
      <w:r w:rsidRPr="00235083">
        <w:rPr>
          <w:b/>
          <w:bCs/>
          <w:noProof/>
        </w:rPr>
        <w:t>2</w:t>
      </w:r>
      <w:r w:rsidRPr="00235083">
        <w:rPr>
          <w:noProof/>
        </w:rPr>
        <w:t>: 26. doi:10.1186/2049-2618-2-26</w:t>
      </w:r>
    </w:p>
    <w:p w14:paraId="67A7FE15" w14:textId="1F4D93C4" w:rsidR="008F3F5E" w:rsidRPr="00015021" w:rsidRDefault="00353C04" w:rsidP="00235083">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9"/>
      <w:footerReference w:type="default" r:id="rId10"/>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BD8B" w14:textId="77777777" w:rsidR="00664B4D" w:rsidRDefault="00664B4D" w:rsidP="00D916DA">
      <w:pPr>
        <w:spacing w:after="0" w:line="240" w:lineRule="auto"/>
      </w:pPr>
      <w:r>
        <w:separator/>
      </w:r>
    </w:p>
  </w:endnote>
  <w:endnote w:type="continuationSeparator" w:id="0">
    <w:p w14:paraId="14A44057" w14:textId="77777777" w:rsidR="00664B4D" w:rsidRDefault="00664B4D"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2751845"/>
      <w:docPartObj>
        <w:docPartGallery w:val="Page Numbers (Bottom of Page)"/>
        <w:docPartUnique/>
      </w:docPartObj>
    </w:sdtPr>
    <w:sdtContent>
      <w:p w14:paraId="7BE58DED" w14:textId="22182B22" w:rsidR="00D916DA" w:rsidRDefault="00D916DA" w:rsidP="00523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D916DA" w:rsidRDefault="00D916DA" w:rsidP="00D91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726193"/>
      <w:docPartObj>
        <w:docPartGallery w:val="Page Numbers (Bottom of Page)"/>
        <w:docPartUnique/>
      </w:docPartObj>
    </w:sdtPr>
    <w:sdtContent>
      <w:p w14:paraId="45A69E51" w14:textId="7E19D659" w:rsidR="00D916DA" w:rsidRDefault="00D916DA" w:rsidP="00523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EE8664" w14:textId="77777777" w:rsidR="00D916DA" w:rsidRDefault="00D916DA" w:rsidP="00D91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F0DAC" w14:textId="77777777" w:rsidR="00664B4D" w:rsidRDefault="00664B4D" w:rsidP="00D916DA">
      <w:pPr>
        <w:spacing w:after="0" w:line="240" w:lineRule="auto"/>
      </w:pPr>
      <w:r>
        <w:separator/>
      </w:r>
    </w:p>
  </w:footnote>
  <w:footnote w:type="continuationSeparator" w:id="0">
    <w:p w14:paraId="55AC1DC1" w14:textId="77777777" w:rsidR="00664B4D" w:rsidRDefault="00664B4D" w:rsidP="00D91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15021"/>
    <w:rsid w:val="00044449"/>
    <w:rsid w:val="00056272"/>
    <w:rsid w:val="00082719"/>
    <w:rsid w:val="00083715"/>
    <w:rsid w:val="0008750F"/>
    <w:rsid w:val="00094EEC"/>
    <w:rsid w:val="000A4F8D"/>
    <w:rsid w:val="000C1647"/>
    <w:rsid w:val="000C5DC1"/>
    <w:rsid w:val="000D654B"/>
    <w:rsid w:val="000F0D32"/>
    <w:rsid w:val="000F0EA6"/>
    <w:rsid w:val="000F457A"/>
    <w:rsid w:val="00104B30"/>
    <w:rsid w:val="0011314F"/>
    <w:rsid w:val="001175AC"/>
    <w:rsid w:val="001319FE"/>
    <w:rsid w:val="00152F82"/>
    <w:rsid w:val="00154D0F"/>
    <w:rsid w:val="00154E93"/>
    <w:rsid w:val="00164393"/>
    <w:rsid w:val="0016769D"/>
    <w:rsid w:val="00177A90"/>
    <w:rsid w:val="001816C2"/>
    <w:rsid w:val="001910C3"/>
    <w:rsid w:val="001941DD"/>
    <w:rsid w:val="001B12C6"/>
    <w:rsid w:val="001C514A"/>
    <w:rsid w:val="001C59E7"/>
    <w:rsid w:val="001D75BD"/>
    <w:rsid w:val="0020229A"/>
    <w:rsid w:val="0020291E"/>
    <w:rsid w:val="00216373"/>
    <w:rsid w:val="0022101B"/>
    <w:rsid w:val="00235083"/>
    <w:rsid w:val="00244FE5"/>
    <w:rsid w:val="002779FF"/>
    <w:rsid w:val="002A3821"/>
    <w:rsid w:val="002C5637"/>
    <w:rsid w:val="002D3D77"/>
    <w:rsid w:val="002F15A3"/>
    <w:rsid w:val="0030228D"/>
    <w:rsid w:val="00307056"/>
    <w:rsid w:val="003249BB"/>
    <w:rsid w:val="0033334B"/>
    <w:rsid w:val="00333710"/>
    <w:rsid w:val="00334E59"/>
    <w:rsid w:val="00346CDD"/>
    <w:rsid w:val="00353C04"/>
    <w:rsid w:val="003625B9"/>
    <w:rsid w:val="0036306A"/>
    <w:rsid w:val="00364258"/>
    <w:rsid w:val="00366AB2"/>
    <w:rsid w:val="00374048"/>
    <w:rsid w:val="0038194E"/>
    <w:rsid w:val="003B00D7"/>
    <w:rsid w:val="003B1A0A"/>
    <w:rsid w:val="003C696B"/>
    <w:rsid w:val="003D0C18"/>
    <w:rsid w:val="003D36F0"/>
    <w:rsid w:val="003E7294"/>
    <w:rsid w:val="003F0E15"/>
    <w:rsid w:val="003F26B0"/>
    <w:rsid w:val="003F4487"/>
    <w:rsid w:val="004020E7"/>
    <w:rsid w:val="00411212"/>
    <w:rsid w:val="004137C0"/>
    <w:rsid w:val="00430208"/>
    <w:rsid w:val="00440E88"/>
    <w:rsid w:val="004445AB"/>
    <w:rsid w:val="004479AA"/>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648"/>
    <w:rsid w:val="004E2EA7"/>
    <w:rsid w:val="004E4B43"/>
    <w:rsid w:val="00513B77"/>
    <w:rsid w:val="00531650"/>
    <w:rsid w:val="005363C3"/>
    <w:rsid w:val="00561AE9"/>
    <w:rsid w:val="00585765"/>
    <w:rsid w:val="00586F61"/>
    <w:rsid w:val="005915D3"/>
    <w:rsid w:val="00592355"/>
    <w:rsid w:val="00596C2A"/>
    <w:rsid w:val="005A0693"/>
    <w:rsid w:val="005A155C"/>
    <w:rsid w:val="005B5B97"/>
    <w:rsid w:val="005B6D11"/>
    <w:rsid w:val="005C1807"/>
    <w:rsid w:val="005F664D"/>
    <w:rsid w:val="00617174"/>
    <w:rsid w:val="0063056B"/>
    <w:rsid w:val="006466DD"/>
    <w:rsid w:val="00656B61"/>
    <w:rsid w:val="006648FD"/>
    <w:rsid w:val="00664B4D"/>
    <w:rsid w:val="0066558E"/>
    <w:rsid w:val="00665D70"/>
    <w:rsid w:val="00671E0F"/>
    <w:rsid w:val="006740C0"/>
    <w:rsid w:val="00675E99"/>
    <w:rsid w:val="00682EB7"/>
    <w:rsid w:val="006A2D39"/>
    <w:rsid w:val="006B3E4F"/>
    <w:rsid w:val="006B53BD"/>
    <w:rsid w:val="006C502D"/>
    <w:rsid w:val="006D09F3"/>
    <w:rsid w:val="006E2C59"/>
    <w:rsid w:val="00717862"/>
    <w:rsid w:val="0072215F"/>
    <w:rsid w:val="00723035"/>
    <w:rsid w:val="007415C0"/>
    <w:rsid w:val="007440AC"/>
    <w:rsid w:val="00773822"/>
    <w:rsid w:val="00776371"/>
    <w:rsid w:val="00777FC1"/>
    <w:rsid w:val="00781CB2"/>
    <w:rsid w:val="00781EDD"/>
    <w:rsid w:val="00785C38"/>
    <w:rsid w:val="0079545B"/>
    <w:rsid w:val="007A3DEC"/>
    <w:rsid w:val="007A6AEB"/>
    <w:rsid w:val="007B1D8E"/>
    <w:rsid w:val="007B696B"/>
    <w:rsid w:val="007C425D"/>
    <w:rsid w:val="007D1C38"/>
    <w:rsid w:val="007D42CF"/>
    <w:rsid w:val="007E1D26"/>
    <w:rsid w:val="007F6735"/>
    <w:rsid w:val="00806F1A"/>
    <w:rsid w:val="00820A9B"/>
    <w:rsid w:val="0082345C"/>
    <w:rsid w:val="0083119B"/>
    <w:rsid w:val="008354D3"/>
    <w:rsid w:val="00835FA4"/>
    <w:rsid w:val="0084749F"/>
    <w:rsid w:val="00853073"/>
    <w:rsid w:val="008649C2"/>
    <w:rsid w:val="00871437"/>
    <w:rsid w:val="008752D0"/>
    <w:rsid w:val="0087615E"/>
    <w:rsid w:val="00894AC8"/>
    <w:rsid w:val="008B1441"/>
    <w:rsid w:val="008C02D3"/>
    <w:rsid w:val="008C0528"/>
    <w:rsid w:val="008D14C9"/>
    <w:rsid w:val="008F17E2"/>
    <w:rsid w:val="008F3F5E"/>
    <w:rsid w:val="00901984"/>
    <w:rsid w:val="00905A5E"/>
    <w:rsid w:val="00912992"/>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5CE8"/>
    <w:rsid w:val="00A14ED4"/>
    <w:rsid w:val="00A15C34"/>
    <w:rsid w:val="00A322EE"/>
    <w:rsid w:val="00A45C7C"/>
    <w:rsid w:val="00A5556F"/>
    <w:rsid w:val="00A62F9B"/>
    <w:rsid w:val="00A71773"/>
    <w:rsid w:val="00A73402"/>
    <w:rsid w:val="00A86C4C"/>
    <w:rsid w:val="00A92F06"/>
    <w:rsid w:val="00AA2238"/>
    <w:rsid w:val="00AC4FD0"/>
    <w:rsid w:val="00AD4090"/>
    <w:rsid w:val="00AE7AE6"/>
    <w:rsid w:val="00AF2017"/>
    <w:rsid w:val="00B00EFA"/>
    <w:rsid w:val="00B02013"/>
    <w:rsid w:val="00B112C6"/>
    <w:rsid w:val="00B1412D"/>
    <w:rsid w:val="00B2311D"/>
    <w:rsid w:val="00B239CD"/>
    <w:rsid w:val="00B2782E"/>
    <w:rsid w:val="00B362F8"/>
    <w:rsid w:val="00B37368"/>
    <w:rsid w:val="00B37C85"/>
    <w:rsid w:val="00B4780B"/>
    <w:rsid w:val="00B56E04"/>
    <w:rsid w:val="00B62BBF"/>
    <w:rsid w:val="00B67C22"/>
    <w:rsid w:val="00B8024B"/>
    <w:rsid w:val="00B8213A"/>
    <w:rsid w:val="00B97E41"/>
    <w:rsid w:val="00BA305D"/>
    <w:rsid w:val="00BB1884"/>
    <w:rsid w:val="00BC3CB1"/>
    <w:rsid w:val="00BC6C59"/>
    <w:rsid w:val="00BE11A9"/>
    <w:rsid w:val="00BE5EE4"/>
    <w:rsid w:val="00BF1A10"/>
    <w:rsid w:val="00BF3E0D"/>
    <w:rsid w:val="00C067D4"/>
    <w:rsid w:val="00C15172"/>
    <w:rsid w:val="00C15626"/>
    <w:rsid w:val="00C15947"/>
    <w:rsid w:val="00C163F2"/>
    <w:rsid w:val="00C17931"/>
    <w:rsid w:val="00C26B5A"/>
    <w:rsid w:val="00C339C0"/>
    <w:rsid w:val="00C358AC"/>
    <w:rsid w:val="00C67779"/>
    <w:rsid w:val="00C75D89"/>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71B2C"/>
    <w:rsid w:val="00D8267E"/>
    <w:rsid w:val="00D916DA"/>
    <w:rsid w:val="00D91A77"/>
    <w:rsid w:val="00DA6C13"/>
    <w:rsid w:val="00DB2633"/>
    <w:rsid w:val="00DC0096"/>
    <w:rsid w:val="00DC45A8"/>
    <w:rsid w:val="00DC76C1"/>
    <w:rsid w:val="00DD0E13"/>
    <w:rsid w:val="00DD2616"/>
    <w:rsid w:val="00DE0782"/>
    <w:rsid w:val="00DE31D4"/>
    <w:rsid w:val="00E01139"/>
    <w:rsid w:val="00E03D13"/>
    <w:rsid w:val="00E2018C"/>
    <w:rsid w:val="00E20241"/>
    <w:rsid w:val="00E20472"/>
    <w:rsid w:val="00E20608"/>
    <w:rsid w:val="00E22B85"/>
    <w:rsid w:val="00E41801"/>
    <w:rsid w:val="00E55E5A"/>
    <w:rsid w:val="00E72E5A"/>
    <w:rsid w:val="00E73DB1"/>
    <w:rsid w:val="00E75421"/>
    <w:rsid w:val="00E81C26"/>
    <w:rsid w:val="00E85E88"/>
    <w:rsid w:val="00E91555"/>
    <w:rsid w:val="00E941B2"/>
    <w:rsid w:val="00EB4B0C"/>
    <w:rsid w:val="00EC2953"/>
    <w:rsid w:val="00EC4F0E"/>
    <w:rsid w:val="00ED5E7E"/>
    <w:rsid w:val="00EF04EF"/>
    <w:rsid w:val="00EF0B27"/>
    <w:rsid w:val="00EF3B8C"/>
    <w:rsid w:val="00F05FCF"/>
    <w:rsid w:val="00F1088C"/>
    <w:rsid w:val="00F112C5"/>
    <w:rsid w:val="00F15664"/>
    <w:rsid w:val="00F374C3"/>
    <w:rsid w:val="00F60A64"/>
    <w:rsid w:val="00F7056C"/>
    <w:rsid w:val="00F722AC"/>
    <w:rsid w:val="00F81E31"/>
    <w:rsid w:val="00F83D26"/>
    <w:rsid w:val="00F91100"/>
    <w:rsid w:val="00F954D6"/>
    <w:rsid w:val="00FA1D97"/>
    <w:rsid w:val="00FA413F"/>
    <w:rsid w:val="00FA552F"/>
    <w:rsid w:val="00FB080E"/>
    <w:rsid w:val="00FB0F49"/>
    <w:rsid w:val="00FC0BBB"/>
    <w:rsid w:val="00FC3633"/>
    <w:rsid w:val="00FC6DFF"/>
    <w:rsid w:val="00FD6028"/>
    <w:rsid w:val="00FE21DE"/>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cMahonLab/geo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5A2CF-272D-EE47-BC87-8CEE1AFB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35038</Words>
  <Characters>199718</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5</cp:revision>
  <cp:lastPrinted>2019-02-13T15:47:00Z</cp:lastPrinted>
  <dcterms:created xsi:type="dcterms:W3CDTF">2019-02-25T13:44:00Z</dcterms:created>
  <dcterms:modified xsi:type="dcterms:W3CDTF">2019-02-25T20:27:00Z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