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01C4" w14:textId="5F619262" w:rsidR="00E07854" w:rsidRPr="00653237" w:rsidRDefault="007B78FB">
      <w:pPr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  <w:b/>
        </w:rPr>
        <w:t>Table 1. Comparison of Sparkling Lake, Lake Mendota, and Trout Bog.</w:t>
      </w:r>
      <w:r w:rsidRPr="00653237">
        <w:rPr>
          <w:rFonts w:ascii="Times New Roman" w:hAnsi="Times New Roman" w:cs="Times New Roman"/>
        </w:rPr>
        <w:t xml:space="preserve"> These three lakes were chosen for comparative </w:t>
      </w:r>
      <w:proofErr w:type="spellStart"/>
      <w:r w:rsidRPr="00653237">
        <w:rPr>
          <w:rFonts w:ascii="Times New Roman" w:hAnsi="Times New Roman" w:cs="Times New Roman"/>
        </w:rPr>
        <w:t>metatranscriptomics</w:t>
      </w:r>
      <w:proofErr w:type="spellEnd"/>
      <w:r w:rsidRPr="00653237">
        <w:rPr>
          <w:rFonts w:ascii="Times New Roman" w:hAnsi="Times New Roman" w:cs="Times New Roman"/>
        </w:rPr>
        <w:t xml:space="preserve"> because of their varying trophic statuses, extensive historical data, and previous microbial sampling. Data on surface area, maximum depth, dissolved organic carbon, and development on shoreline courtesy of NTL-LTER &lt;lter.limnology.wisc.edu&gt;. Temperature, dissolved oxygen, pH, and conductivity were measured using a </w:t>
      </w:r>
      <w:proofErr w:type="spellStart"/>
      <w:r w:rsidRPr="00653237">
        <w:rPr>
          <w:rFonts w:ascii="Times New Roman" w:hAnsi="Times New Roman" w:cs="Times New Roman"/>
        </w:rPr>
        <w:t>HydroLab</w:t>
      </w:r>
      <w:proofErr w:type="spellEnd"/>
      <w:r w:rsidRPr="00653237">
        <w:rPr>
          <w:rFonts w:ascii="Times New Roman" w:hAnsi="Times New Roman" w:cs="Times New Roman"/>
        </w:rPr>
        <w:t xml:space="preserve"> DS5x </w:t>
      </w:r>
      <w:proofErr w:type="spellStart"/>
      <w:r w:rsidRPr="00653237">
        <w:rPr>
          <w:rFonts w:ascii="Times New Roman" w:hAnsi="Times New Roman" w:cs="Times New Roman"/>
        </w:rPr>
        <w:t>Sonde</w:t>
      </w:r>
      <w:proofErr w:type="spellEnd"/>
      <w:r w:rsidRPr="00653237">
        <w:rPr>
          <w:rFonts w:ascii="Times New Roman" w:hAnsi="Times New Roman" w:cs="Times New Roman"/>
        </w:rPr>
        <w:t xml:space="preserve"> and are averaged over all sampling depths and timepoints for each lake. Chlorophyll and </w:t>
      </w:r>
      <w:proofErr w:type="spellStart"/>
      <w:r w:rsidRPr="00653237">
        <w:rPr>
          <w:rFonts w:ascii="Times New Roman" w:hAnsi="Times New Roman" w:cs="Times New Roman"/>
        </w:rPr>
        <w:t>phaeophytin</w:t>
      </w:r>
      <w:proofErr w:type="spellEnd"/>
      <w:r w:rsidRPr="00653237">
        <w:rPr>
          <w:rFonts w:ascii="Times New Roman" w:hAnsi="Times New Roman" w:cs="Times New Roman"/>
        </w:rPr>
        <w:t xml:space="preserve"> concentrations were measured from the integrated epilimnion samples using a methanol extraction protocol and averaged over all timepoints. Secchi depth was measured </w:t>
      </w:r>
      <w:bookmarkStart w:id="0" w:name="_GoBack"/>
      <w:bookmarkEnd w:id="0"/>
      <w:r w:rsidRPr="00653237">
        <w:rPr>
          <w:rFonts w:ascii="Times New Roman" w:hAnsi="Times New Roman" w:cs="Times New Roman"/>
        </w:rPr>
        <w:t xml:space="preserve">at the first timepoint for each lake. Bacterial production was quantified via C14-leucine incorporation and averaged over all timepoints. Total and dissolved nitrogen and phosphorus concentrations were measured via </w:t>
      </w:r>
      <w:proofErr w:type="spellStart"/>
      <w:r w:rsidRPr="00653237">
        <w:rPr>
          <w:rFonts w:ascii="Times New Roman" w:hAnsi="Times New Roman" w:cs="Times New Roman"/>
        </w:rPr>
        <w:t>colorometric</w:t>
      </w:r>
      <w:proofErr w:type="spellEnd"/>
      <w:r w:rsidRPr="00653237">
        <w:rPr>
          <w:rFonts w:ascii="Times New Roman" w:hAnsi="Times New Roman" w:cs="Times New Roman"/>
        </w:rPr>
        <w:t xml:space="preserve"> HPLC; concentrations are within the typical ranges of these lakes. Due to thunderstorms the night of July 8th, the final 1AM timepoint in Sparkling Lake was collected on July 9th instead.</w:t>
      </w:r>
    </w:p>
    <w:p w14:paraId="3D39B04A" w14:textId="692CD5EE" w:rsidR="007B78FB" w:rsidRPr="00653237" w:rsidRDefault="007B78FB">
      <w:pPr>
        <w:rPr>
          <w:rFonts w:ascii="Times New Roman" w:hAnsi="Times New Roman" w:cs="Times New Roman"/>
        </w:rPr>
      </w:pPr>
    </w:p>
    <w:p w14:paraId="33F989D0" w14:textId="77777777" w:rsidR="007B78FB" w:rsidRPr="00653237" w:rsidRDefault="007B78FB" w:rsidP="007B78FB">
      <w:pPr>
        <w:pStyle w:val="Compact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t>*Dissolved organic carbon was measured by the North Temperate Lakes - Long-Term Ecological Research project and is available at &lt;lter.limnology.wisc.edu&gt;. The measurement closest to the date of sampling is reported here; this was July 5, 2016 for Lake Mendota, July 19, 2016 for Trout Bog Lake, and July 21, 2016</w:t>
      </w:r>
    </w:p>
    <w:p w14:paraId="7817FD80" w14:textId="0728C815" w:rsidR="007B78FB" w:rsidRPr="00653237" w:rsidRDefault="007B78FB">
      <w:pPr>
        <w:rPr>
          <w:rFonts w:ascii="Times New Roman" w:hAnsi="Times New Roman" w:cs="Times New Roman"/>
        </w:rPr>
      </w:pPr>
    </w:p>
    <w:p w14:paraId="6FCF7318" w14:textId="77777777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  <w:b/>
        </w:rPr>
        <w:t>Figure 1. Abundance vs. expression by lake.</w:t>
      </w:r>
      <w:r w:rsidRPr="00653237">
        <w:rPr>
          <w:rFonts w:ascii="Times New Roman" w:hAnsi="Times New Roman" w:cs="Times New Roman"/>
        </w:rPr>
        <w:t xml:space="preserve"> To determine which phyla were most abundant or most expressed during our time series, we analyzed metagenomic</w:t>
      </w:r>
    </w:p>
    <w:p w14:paraId="047F5835" w14:textId="77777777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t xml:space="preserve">and </w:t>
      </w:r>
      <w:proofErr w:type="spellStart"/>
      <w:r w:rsidRPr="00653237">
        <w:rPr>
          <w:rFonts w:ascii="Times New Roman" w:hAnsi="Times New Roman" w:cs="Times New Roman"/>
        </w:rPr>
        <w:t>metatranscriptomic</w:t>
      </w:r>
      <w:proofErr w:type="spellEnd"/>
      <w:r w:rsidRPr="00653237">
        <w:rPr>
          <w:rFonts w:ascii="Times New Roman" w:hAnsi="Times New Roman" w:cs="Times New Roman"/>
        </w:rPr>
        <w:t xml:space="preserve"> read counts. All read counts are reported in transcripts per liter. The expression of clustered, nonredundant genes was aggregated by phylum and</w:t>
      </w:r>
    </w:p>
    <w:p w14:paraId="24679FBB" w14:textId="77777777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t>compared to the coverage of those phyla in metagenomes and colored by kingdom(A-C). Axis are reported in proportion of reads assigned to each phylum across the time</w:t>
      </w:r>
    </w:p>
    <w:p w14:paraId="36677E6F" w14:textId="77777777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t xml:space="preserve">series. Genes that could not be </w:t>
      </w:r>
      <w:proofErr w:type="spellStart"/>
      <w:r w:rsidRPr="00653237">
        <w:rPr>
          <w:rFonts w:ascii="Times New Roman" w:hAnsi="Times New Roman" w:cs="Times New Roman"/>
        </w:rPr>
        <w:t>classi_ed</w:t>
      </w:r>
      <w:proofErr w:type="spellEnd"/>
      <w:r w:rsidRPr="00653237">
        <w:rPr>
          <w:rFonts w:ascii="Times New Roman" w:hAnsi="Times New Roman" w:cs="Times New Roman"/>
        </w:rPr>
        <w:t xml:space="preserve"> into a phylum were not included in this analysis. Proteobacteria were split into classes due to the high diversity of this phylum. No</w:t>
      </w:r>
    </w:p>
    <w:p w14:paraId="3B6A3653" w14:textId="77777777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t>positive relationship was observed between expression and abundance. We repeated this analysis at a _</w:t>
      </w:r>
      <w:proofErr w:type="spellStart"/>
      <w:r w:rsidRPr="00653237">
        <w:rPr>
          <w:rFonts w:ascii="Times New Roman" w:hAnsi="Times New Roman" w:cs="Times New Roman"/>
        </w:rPr>
        <w:t>ner</w:t>
      </w:r>
      <w:proofErr w:type="spellEnd"/>
      <w:r w:rsidRPr="00653237">
        <w:rPr>
          <w:rFonts w:ascii="Times New Roman" w:hAnsi="Times New Roman" w:cs="Times New Roman"/>
        </w:rPr>
        <w:t xml:space="preserve"> resolution by investigating freshwater clades (D-F). Clades are</w:t>
      </w:r>
    </w:p>
    <w:p w14:paraId="42908719" w14:textId="0EFC2721" w:rsidR="007B78FB" w:rsidRPr="00653237" w:rsidRDefault="007B78FB" w:rsidP="007B78FB">
      <w:pPr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t>color-coded by phylum to provide taxonomic context.</w:t>
      </w:r>
    </w:p>
    <w:p w14:paraId="7A75D674" w14:textId="15B12C8F" w:rsidR="007B78FB" w:rsidRPr="00653237" w:rsidRDefault="007B78FB" w:rsidP="007B78FB">
      <w:pPr>
        <w:rPr>
          <w:rFonts w:ascii="Times New Roman" w:hAnsi="Times New Roman" w:cs="Times New Roman"/>
        </w:rPr>
      </w:pPr>
    </w:p>
    <w:p w14:paraId="49072CB6" w14:textId="17679903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  <w:b/>
        </w:rPr>
        <w:t>Figure 2. Cyclic trends in photosynthesis-related genes.</w:t>
      </w:r>
      <w:r w:rsidRPr="00653237">
        <w:rPr>
          <w:rFonts w:ascii="Times New Roman" w:hAnsi="Times New Roman" w:cs="Times New Roman"/>
        </w:rPr>
        <w:t xml:space="preserve"> Cyclic trends with a </w:t>
      </w:r>
      <w:proofErr w:type="gramStart"/>
      <w:r w:rsidRPr="00653237">
        <w:rPr>
          <w:rFonts w:ascii="Times New Roman" w:hAnsi="Times New Roman" w:cs="Times New Roman"/>
        </w:rPr>
        <w:t>12 hour</w:t>
      </w:r>
      <w:proofErr w:type="gramEnd"/>
      <w:r w:rsidRPr="00653237">
        <w:rPr>
          <w:rFonts w:ascii="Times New Roman" w:hAnsi="Times New Roman" w:cs="Times New Roman"/>
        </w:rPr>
        <w:t xml:space="preserve"> phase were detected in the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top 20,000 most expressed genes in each lake. Here, we present an example of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these cyclic trends in genes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related to photosynthesis. Read counts in transcripts per liter were z-score normalized for the purpose of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visualization. Each gene trend is color-coded by its time of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maximal expression in the</w:t>
      </w:r>
      <w:r w:rsidRPr="00653237">
        <w:rPr>
          <w:rFonts w:ascii="Times New Roman" w:hAnsi="Times New Roman" w:cs="Times New Roman"/>
        </w:rPr>
        <w:t xml:space="preserve"> fi</w:t>
      </w:r>
      <w:r w:rsidRPr="00653237">
        <w:rPr>
          <w:rFonts w:ascii="Times New Roman" w:hAnsi="Times New Roman" w:cs="Times New Roman"/>
        </w:rPr>
        <w:t xml:space="preserve">rst </w:t>
      </w:r>
      <w:proofErr w:type="gramStart"/>
      <w:r w:rsidRPr="00653237">
        <w:rPr>
          <w:rFonts w:ascii="Times New Roman" w:hAnsi="Times New Roman" w:cs="Times New Roman"/>
        </w:rPr>
        <w:t>24 hour</w:t>
      </w:r>
      <w:proofErr w:type="gramEnd"/>
      <w:r w:rsidRPr="00653237">
        <w:rPr>
          <w:rFonts w:ascii="Times New Roman" w:hAnsi="Times New Roman" w:cs="Times New Roman"/>
        </w:rPr>
        <w:t xml:space="preserve"> period. Because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of missing samples in Day 2 of Trout Bog, only Day 1 is displayed.</w:t>
      </w:r>
    </w:p>
    <w:p w14:paraId="7C65B365" w14:textId="64A02971" w:rsidR="007B78FB" w:rsidRPr="00653237" w:rsidRDefault="007B78FB">
      <w:pPr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br w:type="page"/>
      </w:r>
    </w:p>
    <w:p w14:paraId="5FFFDC70" w14:textId="2B317AB6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  <w:b/>
        </w:rPr>
        <w:lastRenderedPageBreak/>
        <w:t>Figure 3. Cyclic trends by functional category and lake.</w:t>
      </w:r>
      <w:r w:rsidRPr="00653237">
        <w:rPr>
          <w:rFonts w:ascii="Times New Roman" w:hAnsi="Times New Roman" w:cs="Times New Roman"/>
        </w:rPr>
        <w:t xml:space="preserve"> For each lake, we grouped genes by functional category based on their annotations and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 xml:space="preserve">plotted the time of their maximal </w:t>
      </w:r>
      <w:proofErr w:type="gramStart"/>
      <w:r w:rsidRPr="00653237">
        <w:rPr>
          <w:rFonts w:ascii="Times New Roman" w:hAnsi="Times New Roman" w:cs="Times New Roman"/>
        </w:rPr>
        <w:t xml:space="preserve">expression </w:t>
      </w:r>
      <w:r w:rsidRPr="00653237">
        <w:rPr>
          <w:rFonts w:ascii="Times New Roman" w:hAnsi="Times New Roman" w:cs="Times New Roman"/>
        </w:rPr>
        <w:t xml:space="preserve"> i</w:t>
      </w:r>
      <w:r w:rsidRPr="00653237">
        <w:rPr>
          <w:rFonts w:ascii="Times New Roman" w:hAnsi="Times New Roman" w:cs="Times New Roman"/>
        </w:rPr>
        <w:t>n</w:t>
      </w:r>
      <w:proofErr w:type="gramEnd"/>
      <w:r w:rsidRPr="00653237">
        <w:rPr>
          <w:rFonts w:ascii="Times New Roman" w:hAnsi="Times New Roman" w:cs="Times New Roman"/>
        </w:rPr>
        <w:t xml:space="preserve"> the two day time series. Only genes with signi</w:t>
      </w:r>
      <w:r w:rsidRPr="00653237">
        <w:rPr>
          <w:rFonts w:ascii="Times New Roman" w:hAnsi="Times New Roman" w:cs="Times New Roman"/>
        </w:rPr>
        <w:t>fi</w:t>
      </w:r>
      <w:r w:rsidRPr="00653237">
        <w:rPr>
          <w:rFonts w:ascii="Times New Roman" w:hAnsi="Times New Roman" w:cs="Times New Roman"/>
        </w:rPr>
        <w:t>cant variation (greater than 20% co</w:t>
      </w:r>
      <w:r w:rsidRPr="00653237">
        <w:rPr>
          <w:rFonts w:ascii="Times New Roman" w:hAnsi="Times New Roman" w:cs="Times New Roman"/>
        </w:rPr>
        <w:t>effi</w:t>
      </w:r>
      <w:r w:rsidRPr="00653237">
        <w:rPr>
          <w:rFonts w:ascii="Times New Roman" w:hAnsi="Times New Roman" w:cs="Times New Roman"/>
        </w:rPr>
        <w:t>cient of</w:t>
      </w:r>
    </w:p>
    <w:p w14:paraId="6F62C8B6" w14:textId="2F38158D" w:rsidR="007B78FB" w:rsidRPr="00653237" w:rsidRDefault="007B78FB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</w:rPr>
        <w:t>variance) are plotted. Genes are color-coded by whether they have a signi</w:t>
      </w:r>
      <w:r w:rsidRPr="00653237">
        <w:rPr>
          <w:rFonts w:ascii="Times New Roman" w:hAnsi="Times New Roman" w:cs="Times New Roman"/>
        </w:rPr>
        <w:t>fi</w:t>
      </w:r>
      <w:r w:rsidRPr="00653237">
        <w:rPr>
          <w:rFonts w:ascii="Times New Roman" w:hAnsi="Times New Roman" w:cs="Times New Roman"/>
        </w:rPr>
        <w:t>cant cyclic pattern or not. This analysis revealed many categories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contained cyclic genes in all three lakes, including anoxyge</w:t>
      </w:r>
      <w:r w:rsidRPr="00653237">
        <w:rPr>
          <w:rFonts w:ascii="Times New Roman" w:hAnsi="Times New Roman" w:cs="Times New Roman"/>
        </w:rPr>
        <w:t>ni</w:t>
      </w:r>
      <w:r w:rsidRPr="00653237">
        <w:rPr>
          <w:rFonts w:ascii="Times New Roman" w:hAnsi="Times New Roman" w:cs="Times New Roman"/>
        </w:rPr>
        <w:t>c aerobic photosynthesis (AAP), general sugar transport, reactive oxygen species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 xml:space="preserve">defense (ROS), and carbon </w:t>
      </w:r>
      <w:r w:rsidRPr="00653237">
        <w:rPr>
          <w:rFonts w:ascii="Times New Roman" w:hAnsi="Times New Roman" w:cs="Times New Roman"/>
        </w:rPr>
        <w:t>fi</w:t>
      </w:r>
      <w:r w:rsidRPr="00653237">
        <w:rPr>
          <w:rFonts w:ascii="Times New Roman" w:hAnsi="Times New Roman" w:cs="Times New Roman"/>
        </w:rPr>
        <w:t>xation (</w:t>
      </w:r>
      <w:proofErr w:type="spellStart"/>
      <w:r w:rsidRPr="00653237">
        <w:rPr>
          <w:rFonts w:ascii="Times New Roman" w:hAnsi="Times New Roman" w:cs="Times New Roman"/>
        </w:rPr>
        <w:t>RuBisCO</w:t>
      </w:r>
      <w:proofErr w:type="spellEnd"/>
      <w:r w:rsidRPr="00653237">
        <w:rPr>
          <w:rFonts w:ascii="Times New Roman" w:hAnsi="Times New Roman" w:cs="Times New Roman"/>
        </w:rPr>
        <w:t>). The time of maximal expression varied by lake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and category, with 1:00 as a time of maximal expression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in Sparkling Lake and 9:00 in Trout Bog.</w:t>
      </w:r>
    </w:p>
    <w:p w14:paraId="159F8237" w14:textId="2353301B" w:rsidR="00653237" w:rsidRPr="00653237" w:rsidRDefault="00653237" w:rsidP="007B78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693128" w14:textId="088EB344" w:rsidR="00653237" w:rsidRPr="007B78FB" w:rsidRDefault="00653237" w:rsidP="006532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3237">
        <w:rPr>
          <w:rFonts w:ascii="Times New Roman" w:hAnsi="Times New Roman" w:cs="Times New Roman"/>
          <w:b/>
        </w:rPr>
        <w:t xml:space="preserve">Figure 4. Taxonomic composition of functional categories by time and lake. </w:t>
      </w:r>
      <w:r w:rsidRPr="00653237">
        <w:rPr>
          <w:rFonts w:ascii="Times New Roman" w:hAnsi="Times New Roman" w:cs="Times New Roman"/>
        </w:rPr>
        <w:t>We next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investigated the taxonomy of functional categories and how phylogenetic groups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change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expression over time. The x-axis indicates the number of genes from each category assigned to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each phylum, summed across both days of the time series.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Proteobacteria were split by class due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to the high diversity of this phylum. RNA polymerase, used as an indicator of growth, was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phylogenetically diverse in all lakes,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although less well-classi</w:t>
      </w:r>
      <w:r w:rsidRPr="00653237">
        <w:rPr>
          <w:rFonts w:ascii="Times New Roman" w:hAnsi="Times New Roman" w:cs="Times New Roman"/>
        </w:rPr>
        <w:t>fi</w:t>
      </w:r>
      <w:r w:rsidRPr="00653237">
        <w:rPr>
          <w:rFonts w:ascii="Times New Roman" w:hAnsi="Times New Roman" w:cs="Times New Roman"/>
        </w:rPr>
        <w:t>ed in Sparkling Lake, likely due to the lack of reference genomes from this site. Cyanobacteria contributed to photosynthesis in all lakes, particularly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in Lake Mendota. General sugar transport was encoded primarily by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Cyanobacteria and Actinobacteria in Lake Mendota, Actinobacteria and Betaproteobacteria</w:t>
      </w:r>
      <w:r w:rsidRPr="00653237">
        <w:rPr>
          <w:rFonts w:ascii="Times New Roman" w:hAnsi="Times New Roman" w:cs="Times New Roman"/>
        </w:rPr>
        <w:t xml:space="preserve"> </w:t>
      </w:r>
      <w:r w:rsidRPr="00653237">
        <w:rPr>
          <w:rFonts w:ascii="Times New Roman" w:hAnsi="Times New Roman" w:cs="Times New Roman"/>
        </w:rPr>
        <w:t>in Trout Bog, and Actinobacteria and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Armatimonadetes</w:t>
      </w:r>
      <w:proofErr w:type="spellEnd"/>
      <w:r>
        <w:rPr>
          <w:rFonts w:ascii="Times New Roman" w:hAnsi="Times New Roman" w:cs="Times New Roman"/>
        </w:rPr>
        <w:t xml:space="preserve"> in Sparkling Lake.</w:t>
      </w:r>
    </w:p>
    <w:sectPr w:rsidR="00653237" w:rsidRPr="007B78FB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FB"/>
    <w:rsid w:val="001B275B"/>
    <w:rsid w:val="0051478D"/>
    <w:rsid w:val="00653237"/>
    <w:rsid w:val="007B78FB"/>
    <w:rsid w:val="007E799B"/>
    <w:rsid w:val="00B47BAB"/>
    <w:rsid w:val="00D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65B49"/>
  <w15:chartTrackingRefBased/>
  <w15:docId w15:val="{91D64693-431D-3847-B4D0-87B5BCBF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7B78FB"/>
    <w:pPr>
      <w:spacing w:before="36" w:after="36"/>
    </w:pPr>
  </w:style>
  <w:style w:type="paragraph" w:styleId="BodyText">
    <w:name w:val="Body Text"/>
    <w:basedOn w:val="Normal"/>
    <w:link w:val="BodyTextChar"/>
    <w:uiPriority w:val="99"/>
    <w:semiHidden/>
    <w:unhideWhenUsed/>
    <w:rsid w:val="007B78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1</cp:revision>
  <dcterms:created xsi:type="dcterms:W3CDTF">2019-07-25T19:58:00Z</dcterms:created>
  <dcterms:modified xsi:type="dcterms:W3CDTF">2019-07-25T20:23:00Z</dcterms:modified>
</cp:coreProperties>
</file>