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3506" w:rsidRDefault="00000000">
      <w:r>
        <w:rPr>
          <w:b/>
          <w:sz w:val="36"/>
        </w:rPr>
        <w:t>DeepFakeDetector — Image Preprocessing Pipeline &amp; Model Tech Stack (#6)</w:t>
      </w:r>
    </w:p>
    <w:p w:rsidR="00923506" w:rsidRDefault="0014715F">
      <w:r>
        <w:rPr>
          <w:i/>
        </w:rPr>
        <w:t>Vihaan Singhal  |  Date: 2</w:t>
      </w:r>
      <w:r w:rsidR="00F15472">
        <w:rPr>
          <w:i/>
        </w:rPr>
        <w:t>2-10</w:t>
      </w:r>
      <w:r>
        <w:rPr>
          <w:i/>
        </w:rPr>
        <w:t>-2</w:t>
      </w:r>
      <w:r w:rsidR="00F15472">
        <w:rPr>
          <w:i/>
        </w:rPr>
        <w:t>025</w:t>
      </w:r>
      <w:r>
        <w:rPr>
          <w:i/>
        </w:rPr>
        <w:t xml:space="preserve"> |  </w:t>
      </w:r>
    </w:p>
    <w:p w:rsidR="00923506" w:rsidRDefault="0014715F"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Goal </w:t>
      </w:r>
      <w:r>
        <w:t>:</w:t>
      </w:r>
      <w:proofErr w:type="gramEnd"/>
      <w:r>
        <w:t xml:space="preserve"> prepare images so that our three-expert detector (CNN spatial, ViT global, and FFT frequency) gets clean, consistent inputs without destroying subtle forensic cues. Below I summarize the research and propose a concrete pipeline with defaults, plus a framework recommendation (PyTorch &gt; TensorFlow) tailored to our hybrid system.</w:t>
      </w:r>
    </w:p>
    <w:p w:rsidR="0014715F" w:rsidRPr="00683E06" w:rsidRDefault="00000000" w:rsidP="0014715F">
      <w:pPr>
        <w:pStyle w:val="Heading3"/>
        <w:rPr>
          <w:color w:val="000000" w:themeColor="text1"/>
        </w:rPr>
      </w:pPr>
      <w:r w:rsidRPr="00683E06">
        <w:rPr>
          <w:color w:val="000000" w:themeColor="text1"/>
        </w:rPr>
        <w:t>Key Normalization Constants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3506" w:rsidTr="0014715F">
        <w:tc>
          <w:tcPr>
            <w:tcW w:w="2880" w:type="dxa"/>
          </w:tcPr>
          <w:p w:rsidR="00923506" w:rsidRDefault="00000000">
            <w:r>
              <w:t>Scheme</w:t>
            </w:r>
          </w:p>
        </w:tc>
        <w:tc>
          <w:tcPr>
            <w:tcW w:w="2880" w:type="dxa"/>
          </w:tcPr>
          <w:p w:rsidR="00923506" w:rsidRDefault="00000000">
            <w:r>
              <w:t>Mean (R,G,B)</w:t>
            </w:r>
          </w:p>
        </w:tc>
        <w:tc>
          <w:tcPr>
            <w:tcW w:w="2880" w:type="dxa"/>
          </w:tcPr>
          <w:p w:rsidR="00923506" w:rsidRDefault="00000000">
            <w:r>
              <w:t>Std (R,G,B)</w:t>
            </w:r>
          </w:p>
        </w:tc>
      </w:tr>
      <w:tr w:rsidR="00923506" w:rsidTr="0014715F">
        <w:tc>
          <w:tcPr>
            <w:tcW w:w="2880" w:type="dxa"/>
          </w:tcPr>
          <w:p w:rsidR="00923506" w:rsidRDefault="00000000">
            <w:r>
              <w:t>ImageNet</w:t>
            </w:r>
          </w:p>
        </w:tc>
        <w:tc>
          <w:tcPr>
            <w:tcW w:w="2880" w:type="dxa"/>
          </w:tcPr>
          <w:p w:rsidR="00923506" w:rsidRDefault="00000000">
            <w:r>
              <w:t>(0.485, 0.456, 0.406)</w:t>
            </w:r>
          </w:p>
        </w:tc>
        <w:tc>
          <w:tcPr>
            <w:tcW w:w="2880" w:type="dxa"/>
          </w:tcPr>
          <w:p w:rsidR="00923506" w:rsidRDefault="00000000">
            <w:r>
              <w:t>(0.229, 0.224, 0.225)</w:t>
            </w:r>
          </w:p>
        </w:tc>
      </w:tr>
      <w:tr w:rsidR="00923506" w:rsidTr="0014715F">
        <w:tc>
          <w:tcPr>
            <w:tcW w:w="2880" w:type="dxa"/>
          </w:tcPr>
          <w:p w:rsidR="00923506" w:rsidRDefault="00000000">
            <w:r>
              <w:t>CLIP (OpenAI/OpenCLIP)</w:t>
            </w:r>
          </w:p>
        </w:tc>
        <w:tc>
          <w:tcPr>
            <w:tcW w:w="2880" w:type="dxa"/>
          </w:tcPr>
          <w:p w:rsidR="00923506" w:rsidRDefault="00000000">
            <w:r>
              <w:t>(~0.481, ~0.458, ~0.408)</w:t>
            </w:r>
          </w:p>
        </w:tc>
        <w:tc>
          <w:tcPr>
            <w:tcW w:w="2880" w:type="dxa"/>
          </w:tcPr>
          <w:p w:rsidR="00923506" w:rsidRDefault="00000000">
            <w:r>
              <w:t>(~0.269, ~0.261, ~0.276)</w:t>
            </w:r>
          </w:p>
        </w:tc>
      </w:tr>
      <w:tr w:rsidR="00923506" w:rsidTr="0014715F">
        <w:tc>
          <w:tcPr>
            <w:tcW w:w="2880" w:type="dxa"/>
          </w:tcPr>
          <w:p w:rsidR="00923506" w:rsidRDefault="00000000">
            <w:r>
              <w:t>FFT branch</w:t>
            </w:r>
          </w:p>
        </w:tc>
        <w:tc>
          <w:tcPr>
            <w:tcW w:w="2880" w:type="dxa"/>
          </w:tcPr>
          <w:p w:rsidR="00923506" w:rsidRDefault="00000000">
            <w:r>
              <w:t>single‑channel Y (0–1)</w:t>
            </w:r>
          </w:p>
        </w:tc>
        <w:tc>
          <w:tcPr>
            <w:tcW w:w="2880" w:type="dxa"/>
          </w:tcPr>
          <w:p w:rsidR="00923506" w:rsidRDefault="00000000">
            <w:r>
              <w:t>z‑score → min–max</w:t>
            </w:r>
          </w:p>
        </w:tc>
      </w:tr>
    </w:tbl>
    <w:p w:rsidR="0014715F" w:rsidRPr="0014715F" w:rsidRDefault="00000000" w:rsidP="0014715F">
      <w:pPr>
        <w:pStyle w:val="Heading2"/>
        <w:rPr>
          <w:color w:val="000000" w:themeColor="text1"/>
        </w:rPr>
      </w:pPr>
      <w:r w:rsidRPr="0014715F">
        <w:rPr>
          <w:color w:val="000000" w:themeColor="text1"/>
        </w:rPr>
        <w:t>1) what I think we should do</w:t>
      </w:r>
      <w:r w:rsidR="0014715F" w:rsidRPr="0014715F">
        <w:rPr>
          <w:color w:val="000000" w:themeColor="text1"/>
        </w:rPr>
        <w:t>…</w:t>
      </w:r>
    </w:p>
    <w:p w:rsidR="00923506" w:rsidRDefault="00000000">
      <w:r>
        <w:rPr>
          <w:b/>
        </w:rPr>
        <w:t xml:space="preserve">• </w:t>
      </w:r>
      <w:r>
        <w:t xml:space="preserve">Use </w:t>
      </w:r>
      <w:proofErr w:type="spellStart"/>
      <w:r>
        <w:t>PyTorch</w:t>
      </w:r>
      <w:proofErr w:type="spellEnd"/>
      <w:r>
        <w:t xml:space="preserve"> + </w:t>
      </w:r>
      <w:proofErr w:type="spellStart"/>
      <w:r>
        <w:t>timm</w:t>
      </w:r>
      <w:proofErr w:type="spellEnd"/>
      <w:r>
        <w:t xml:space="preserve"> + OpenCLIP/HF Transformers for models. Keep RGB (for compatibility with pretrained weights) AND derive Y (luminance) for the frequency expert.</w:t>
      </w:r>
    </w:p>
    <w:p w:rsidR="00923506" w:rsidRDefault="00000000">
      <w:r>
        <w:rPr>
          <w:b/>
        </w:rPr>
        <w:t xml:space="preserve">• </w:t>
      </w:r>
      <w:r>
        <w:t>Global path: ViT at 224×224 (or 384 for larger ViTs): Resize(shortest=size) → CenterCrop(size).</w:t>
      </w:r>
    </w:p>
    <w:p w:rsidR="00923506" w:rsidRDefault="00000000">
      <w:r>
        <w:rPr>
          <w:b/>
        </w:rPr>
        <w:t xml:space="preserve">• </w:t>
      </w:r>
      <w:r>
        <w:t>Spatial path: slide 224×224 patches with 50% overlap over the ORIGINAL or lightly downscaled image; normalize with ImageNet mean/std; avoid hard resizing that erases artifacts.</w:t>
      </w:r>
    </w:p>
    <w:p w:rsidR="00923506" w:rsidRDefault="00000000">
      <w:r>
        <w:rPr>
          <w:b/>
        </w:rPr>
        <w:t xml:space="preserve">• </w:t>
      </w:r>
      <w:r>
        <w:t>Frequency path: compute 2D FFT on the Y channel with a Hann window; take log‑magnitude, z‑score, then min–max to [0,1]. Feed as a 1‑channel map to a light CNN.</w:t>
      </w:r>
    </w:p>
    <w:p w:rsidR="00923506" w:rsidRDefault="00000000">
      <w:r>
        <w:rPr>
          <w:b/>
        </w:rPr>
        <w:t xml:space="preserve">• </w:t>
      </w:r>
      <w:r>
        <w:t>Fuse the three experts with a small calibrated meta‑classifier (logistic regression/MLP).</w:t>
      </w:r>
    </w:p>
    <w:p w:rsidR="00923506" w:rsidRPr="0014715F" w:rsidRDefault="00000000">
      <w:pPr>
        <w:pStyle w:val="Heading2"/>
        <w:rPr>
          <w:color w:val="000000" w:themeColor="text1"/>
        </w:rPr>
      </w:pPr>
      <w:r w:rsidRPr="0014715F">
        <w:rPr>
          <w:color w:val="000000" w:themeColor="text1"/>
        </w:rPr>
        <w:t xml:space="preserve">2) Resizing strategies </w:t>
      </w:r>
    </w:p>
    <w:p w:rsidR="00923506" w:rsidRDefault="00000000" w:rsidP="0014715F">
      <w:r>
        <w:rPr>
          <w:b/>
        </w:rPr>
        <w:t xml:space="preserve">• </w:t>
      </w:r>
      <w:r>
        <w:t>If an image is gigantic (&gt;4k on the long side), downscale just enough for memory (~4096px long side), then tile for the CNN branch. The ViT branch can safely take a 224 or 384 square.</w:t>
      </w:r>
    </w:p>
    <w:p w:rsidR="00923506" w:rsidRDefault="00000000">
      <w:r>
        <w:rPr>
          <w:b/>
        </w:rPr>
        <w:t xml:space="preserve">• </w:t>
      </w:r>
      <w:r>
        <w:t>Interpolation: Bicubic with antialias for downscaling is standard. We keep antialias=True for ViT path, but **for the CNN forensic patches we avoid aggressive downscale altogether**—we tile at (near) native resolution.</w:t>
      </w:r>
    </w:p>
    <w:p w:rsidR="00923506" w:rsidRDefault="00000000">
      <w:r>
        <w:rPr>
          <w:b/>
        </w:rPr>
        <w:lastRenderedPageBreak/>
        <w:t xml:space="preserve">• </w:t>
      </w:r>
      <w:r>
        <w:t>Square handling: for ViT, use Resize(shortest=size) → CenterCrop(size). For patch tiles, pad the last tiles if needed.</w:t>
      </w:r>
    </w:p>
    <w:p w:rsidR="00923506" w:rsidRDefault="00000000">
      <w:pPr>
        <w:pStyle w:val="Heading2"/>
      </w:pPr>
      <w:r w:rsidRPr="0014715F">
        <w:rPr>
          <w:color w:val="000000" w:themeColor="text1"/>
        </w:rPr>
        <w:t>3) Normalization methods</w:t>
      </w:r>
    </w:p>
    <w:p w:rsidR="00923506" w:rsidRDefault="00000000">
      <w:r>
        <w:rPr>
          <w:b/>
        </w:rPr>
        <w:t xml:space="preserve">• </w:t>
      </w:r>
      <w:r>
        <w:t>ImageNet normalization (mean/std = (0.485,0.456,0.406)</w:t>
      </w:r>
      <w:r w:rsidR="0014715F">
        <w:t xml:space="preserve"> </w:t>
      </w:r>
      <w:r>
        <w:t>/</w:t>
      </w:r>
      <w:r w:rsidR="0014715F">
        <w:t xml:space="preserve"> </w:t>
      </w:r>
      <w:r>
        <w:t>(0.229,0.224,0.225)) for CNNs/</w:t>
      </w:r>
      <w:proofErr w:type="spellStart"/>
      <w:r>
        <w:t>ViTs</w:t>
      </w:r>
      <w:proofErr w:type="spellEnd"/>
      <w:r>
        <w:t xml:space="preserve"> initialized from ImageNet.</w:t>
      </w:r>
    </w:p>
    <w:p w:rsidR="00923506" w:rsidRDefault="00000000">
      <w:r>
        <w:rPr>
          <w:b/>
        </w:rPr>
        <w:t xml:space="preserve">• </w:t>
      </w:r>
      <w:r>
        <w:t>CLIP normalization (mean/std ≈ (0.481,0.458,0.408)/(0.269,0.261,0.276)) if we use OpenCLIP/CLIP encoders.</w:t>
      </w:r>
    </w:p>
    <w:p w:rsidR="00923506" w:rsidRDefault="00000000">
      <w:r>
        <w:rPr>
          <w:b/>
        </w:rPr>
        <w:t xml:space="preserve">• </w:t>
      </w:r>
      <w:r>
        <w:t>Keep everything in float32 during preprocessing; mixed‑precision can happen later during inference/training.</w:t>
      </w:r>
    </w:p>
    <w:p w:rsidR="00923506" w:rsidRDefault="00000000">
      <w:r>
        <w:rPr>
          <w:b/>
        </w:rPr>
        <w:t xml:space="preserve">• </w:t>
      </w:r>
      <w:r>
        <w:t>Calibrate final probabilities across experts (temperature scaling or Platt).</w:t>
      </w:r>
    </w:p>
    <w:p w:rsidR="00923506" w:rsidRPr="0014715F" w:rsidRDefault="00000000">
      <w:pPr>
        <w:pStyle w:val="Heading2"/>
        <w:rPr>
          <w:color w:val="000000" w:themeColor="text1"/>
        </w:rPr>
      </w:pPr>
      <w:r w:rsidRPr="0014715F">
        <w:rPr>
          <w:color w:val="000000" w:themeColor="text1"/>
        </w:rPr>
        <w:t>4) Color space transformations (RGB vs YCbCr)</w:t>
      </w:r>
    </w:p>
    <w:p w:rsidR="00923506" w:rsidRDefault="00000000">
      <w:r>
        <w:rPr>
          <w:b/>
        </w:rPr>
        <w:t xml:space="preserve">• </w:t>
      </w:r>
      <w:r>
        <w:t>Stay in RGB for branches that rely on pretrained weights (CNN/ViT).</w:t>
      </w:r>
    </w:p>
    <w:p w:rsidR="00923506" w:rsidRDefault="00000000">
      <w:r>
        <w:rPr>
          <w:b/>
        </w:rPr>
        <w:t xml:space="preserve">• </w:t>
      </w:r>
      <w:r>
        <w:t>Also compute YCbCr and use the **Y (luminance) channel** for frequency analysis (FFT), since subtle artifacts often live in high‑frequency luminance patterns. Cb/Cr can be explored for chroma‑subsampling artifacts later.</w:t>
      </w:r>
    </w:p>
    <w:p w:rsidR="00923506" w:rsidRDefault="00000000">
      <w:r>
        <w:rPr>
          <w:b/>
        </w:rPr>
        <w:t xml:space="preserve">• </w:t>
      </w:r>
      <w:r>
        <w:t>Optional: concatenate Y as an extra channel to spatial CNNs during ablations (requires weight surgery).</w:t>
      </w:r>
    </w:p>
    <w:p w:rsidR="00923506" w:rsidRDefault="00000000">
      <w:pPr>
        <w:pStyle w:val="Heading2"/>
      </w:pPr>
      <w:r w:rsidRPr="0014715F">
        <w:rPr>
          <w:color w:val="000000" w:themeColor="text1"/>
        </w:rPr>
        <w:t>5) Patch extraction techniques (for spatial expert &amp; aggregation)</w:t>
      </w:r>
    </w:p>
    <w:p w:rsidR="00923506" w:rsidRDefault="00000000">
      <w:r>
        <w:rPr>
          <w:b/>
        </w:rPr>
        <w:t xml:space="preserve">• </w:t>
      </w:r>
      <w:r>
        <w:t>Patch size = 224 (ImageNet scale). Stride = 50% (112 px) to balance coverage and cost.</w:t>
      </w:r>
    </w:p>
    <w:p w:rsidR="00923506" w:rsidRDefault="00000000">
      <w:r>
        <w:rPr>
          <w:b/>
        </w:rPr>
        <w:t xml:space="preserve">• </w:t>
      </w:r>
      <w:r>
        <w:t>Aggregation options: mean of logits, max, or learned attention pooling over the grid. I’d start with mean-of-calibrated-probs and compare to max.</w:t>
      </w:r>
    </w:p>
    <w:p w:rsidR="00923506" w:rsidRDefault="00000000">
      <w:r>
        <w:rPr>
          <w:b/>
        </w:rPr>
        <w:t xml:space="preserve">• </w:t>
      </w:r>
      <w:r>
        <w:t>Region-of-interest option: if a face detector is available, run a face-crop layer in parallel and fuse scores.</w:t>
      </w:r>
    </w:p>
    <w:p w:rsidR="00923506" w:rsidRDefault="00000000">
      <w:pPr>
        <w:pStyle w:val="Heading2"/>
      </w:pPr>
      <w:r w:rsidRPr="001B6E00">
        <w:rPr>
          <w:color w:val="000000" w:themeColor="text1"/>
        </w:rPr>
        <w:t>6) Frequency-domain preprocessing (FFT/DCT)</w:t>
      </w:r>
    </w:p>
    <w:p w:rsidR="00923506" w:rsidRDefault="00000000">
      <w:r>
        <w:rPr>
          <w:b/>
        </w:rPr>
        <w:t xml:space="preserve">• </w:t>
      </w:r>
      <w:r>
        <w:t>FFT path: convert to Y (luminance), apply Hann window to reduce spectral leakage, 2D FFT, fftshift, log(1+|F|), z‑score, then min–max to [0,1]; feed as a 1‑channel image.</w:t>
      </w:r>
    </w:p>
    <w:p w:rsidR="00923506" w:rsidRDefault="00000000">
      <w:r>
        <w:rPr>
          <w:b/>
        </w:rPr>
        <w:t xml:space="preserve">• </w:t>
      </w:r>
      <w:r>
        <w:t>Radial power profile (optional): average log‑magnitude over rings; append as small numeric features to the MLP.</w:t>
      </w:r>
    </w:p>
    <w:p w:rsidR="00923506" w:rsidRDefault="00000000">
      <w:r>
        <w:rPr>
          <w:b/>
        </w:rPr>
        <w:t xml:space="preserve">• </w:t>
      </w:r>
      <w:r>
        <w:t>DCT (optional/advanced): block‑DCT (8×8) energy ratios to capture JPEG/blocking patterns; compute HF/(total−DC) per block and pool with mean+std.</w:t>
      </w:r>
    </w:p>
    <w:p w:rsidR="00923506" w:rsidRDefault="00000000">
      <w:pPr>
        <w:pStyle w:val="Heading2"/>
      </w:pPr>
      <w:r w:rsidRPr="001B6E00">
        <w:rPr>
          <w:color w:val="000000" w:themeColor="text1"/>
        </w:rPr>
        <w:lastRenderedPageBreak/>
        <w:t>7) Framework: PyTorch vs TensorFlow (for this project)</w:t>
      </w:r>
    </w:p>
    <w:p w:rsidR="00923506" w:rsidRDefault="00000000">
      <w:r>
        <w:rPr>
          <w:b/>
        </w:rPr>
        <w:t xml:space="preserve">• </w:t>
      </w:r>
      <w:r>
        <w:t>Model availability: ViT, Swin, EfficientNet and CLIP variants are easiest in PyTorch via timm and OpenCLIP; HuggingFace Transformers integrates ViT/CLIP as well. TF/Keras has options, but the PyTorch vision zoo is deeper.</w:t>
      </w:r>
    </w:p>
    <w:p w:rsidR="00923506" w:rsidRDefault="00000000">
      <w:r>
        <w:rPr>
          <w:b/>
        </w:rPr>
        <w:t xml:space="preserve">• </w:t>
      </w:r>
      <w:r>
        <w:t>Custom architectures &amp; ensembling: research-style iteration (new heads, multi-expert fusion, tricky dataloaders) is faster in PyTorch’s eager-style APIs.</w:t>
      </w:r>
    </w:p>
    <w:p w:rsidR="00923506" w:rsidRDefault="00000000">
      <w:r>
        <w:rPr>
          <w:b/>
        </w:rPr>
        <w:t xml:space="preserve">• </w:t>
      </w:r>
      <w:r>
        <w:t>Performance &amp; tooling: PyTorch 2.x `torch.compile`, ONNX export, TensorRT, and Triton Inference Server are robust; Apple MPS works for dev; mixed precision is simple. TF advantages are TF Serving and TFLite (esp. mobile).</w:t>
      </w:r>
    </w:p>
    <w:p w:rsidR="00923506" w:rsidRDefault="00000000">
      <w:r>
        <w:rPr>
          <w:b/>
        </w:rPr>
        <w:t xml:space="preserve">• </w:t>
      </w:r>
      <w:r>
        <w:t>Deployment fit for us: a FastAPI microservice with PyTorch models (or ONNX/TensorRT) is straightforward; we don’t need TF Serving’s scale features at the start.</w:t>
      </w:r>
    </w:p>
    <w:p w:rsidR="00923506" w:rsidRDefault="00000000">
      <w:r>
        <w:rPr>
          <w:b/>
        </w:rPr>
        <w:t xml:space="preserve">• </w:t>
      </w:r>
      <w:r>
        <w:t>Recommendation: **Choose PyTorch** (with `timm` + OpenCLIP/HF). Keep ONNX export in mind for portability.</w:t>
      </w:r>
    </w:p>
    <w:p w:rsidR="00923506" w:rsidRPr="001B6E00" w:rsidRDefault="00000000">
      <w:pPr>
        <w:pStyle w:val="Heading2"/>
        <w:rPr>
          <w:color w:val="000000" w:themeColor="text1"/>
        </w:rPr>
      </w:pPr>
      <w:r w:rsidRPr="001B6E00">
        <w:rPr>
          <w:color w:val="000000" w:themeColor="text1"/>
        </w:rPr>
        <w:t>8) Proposed default pipeline (step-by-step)</w:t>
      </w:r>
    </w:p>
    <w:p w:rsidR="00923506" w:rsidRDefault="00000000">
      <w:r>
        <w:rPr>
          <w:b/>
        </w:rPr>
        <w:t xml:space="preserve">• </w:t>
      </w:r>
      <w:r>
        <w:t>Load → EXIF‑transpose → RGB → guard downscale to long_side ≤4096.</w:t>
      </w:r>
    </w:p>
    <w:p w:rsidR="00923506" w:rsidRDefault="00000000">
      <w:r>
        <w:rPr>
          <w:b/>
        </w:rPr>
        <w:t xml:space="preserve">• </w:t>
      </w:r>
      <w:r>
        <w:t>Branch A (ViT): Resize(shortest=S), CenterCrop(S), ToTensor, Normalize(ImageNet or CLIP).</w:t>
      </w:r>
    </w:p>
    <w:p w:rsidR="00923506" w:rsidRDefault="00000000">
      <w:r>
        <w:rPr>
          <w:b/>
        </w:rPr>
        <w:t xml:space="preserve">• </w:t>
      </w:r>
      <w:r>
        <w:t>Branch B (CNN patches): slide 224×224 patches (stride 112), ToTensor, Normalize(ImageNet).</w:t>
      </w:r>
    </w:p>
    <w:p w:rsidR="00923506" w:rsidRDefault="00000000">
      <w:r>
        <w:rPr>
          <w:b/>
        </w:rPr>
        <w:t xml:space="preserve">• </w:t>
      </w:r>
      <w:r>
        <w:t>Branch C (FFT): convert to Y, resize to 224×224, Hann window, FFT → log‑mag → z‑score → min–max → ToTensor (1‑ch).</w:t>
      </w:r>
    </w:p>
    <w:p w:rsidR="00923506" w:rsidRDefault="00000000">
      <w:r>
        <w:rPr>
          <w:b/>
        </w:rPr>
        <w:t xml:space="preserve">• </w:t>
      </w:r>
      <w:r>
        <w:t>Return tensors + grid metadata; inference will compute per‑patch scores and fuse.</w:t>
      </w:r>
    </w:p>
    <w:p w:rsidR="00923506" w:rsidRPr="001B6E00" w:rsidRDefault="00000000">
      <w:pPr>
        <w:pStyle w:val="Heading2"/>
        <w:rPr>
          <w:color w:val="000000" w:themeColor="text1"/>
        </w:rPr>
      </w:pPr>
      <w:r w:rsidRPr="001B6E00">
        <w:rPr>
          <w:color w:val="000000" w:themeColor="text1"/>
        </w:rPr>
        <w:t xml:space="preserve">9) </w:t>
      </w:r>
      <w:r w:rsidR="001B6E00" w:rsidRPr="001B6E00">
        <w:rPr>
          <w:color w:val="000000" w:themeColor="text1"/>
        </w:rPr>
        <w:t>Things I would do to be safe.</w:t>
      </w:r>
    </w:p>
    <w:p w:rsidR="00923506" w:rsidRDefault="00000000">
      <w:r>
        <w:rPr>
          <w:b/>
        </w:rPr>
        <w:t xml:space="preserve">• </w:t>
      </w:r>
      <w:r>
        <w:t>Compression robustness: train with JPEG/WebP re-encodes at random qualities; test FPR @ 95% TPR under heavy compression.</w:t>
      </w:r>
    </w:p>
    <w:p w:rsidR="00923506" w:rsidRDefault="00000000">
      <w:r>
        <w:rPr>
          <w:b/>
        </w:rPr>
        <w:t xml:space="preserve">• </w:t>
      </w:r>
      <w:r>
        <w:t>Resizing sensitivity: compare tiling vs full-image downscale for CNN branch; watch EER changes.</w:t>
      </w:r>
    </w:p>
    <w:p w:rsidR="00923506" w:rsidRDefault="00000000">
      <w:r>
        <w:rPr>
          <w:b/>
        </w:rPr>
        <w:t xml:space="preserve">• </w:t>
      </w:r>
      <w:r>
        <w:t>Color-space ablations: RGB‑only vs RGB+Y; try Cb/Cr‑only FFT to see if chroma artifacts help.</w:t>
      </w:r>
    </w:p>
    <w:p w:rsidR="00923506" w:rsidRDefault="00000000">
      <w:r>
        <w:rPr>
          <w:b/>
        </w:rPr>
        <w:t xml:space="preserve">• </w:t>
      </w:r>
      <w:r>
        <w:t>Ensemble calibration: per-branch temperature scaling vs one joint calibrator after fusion.</w:t>
      </w:r>
    </w:p>
    <w:p w:rsidR="00923506" w:rsidRDefault="00923506"/>
    <w:sectPr w:rsidR="009235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4387">
    <w:abstractNumId w:val="8"/>
  </w:num>
  <w:num w:numId="2" w16cid:durableId="1500731294">
    <w:abstractNumId w:val="6"/>
  </w:num>
  <w:num w:numId="3" w16cid:durableId="1724450640">
    <w:abstractNumId w:val="5"/>
  </w:num>
  <w:num w:numId="4" w16cid:durableId="192698191">
    <w:abstractNumId w:val="4"/>
  </w:num>
  <w:num w:numId="5" w16cid:durableId="1953046600">
    <w:abstractNumId w:val="7"/>
  </w:num>
  <w:num w:numId="6" w16cid:durableId="660158234">
    <w:abstractNumId w:val="3"/>
  </w:num>
  <w:num w:numId="7" w16cid:durableId="240605146">
    <w:abstractNumId w:val="2"/>
  </w:num>
  <w:num w:numId="8" w16cid:durableId="180969981">
    <w:abstractNumId w:val="1"/>
  </w:num>
  <w:num w:numId="9" w16cid:durableId="21577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15F"/>
    <w:rsid w:val="0015074B"/>
    <w:rsid w:val="001B6E00"/>
    <w:rsid w:val="0029639D"/>
    <w:rsid w:val="00326F90"/>
    <w:rsid w:val="00683E06"/>
    <w:rsid w:val="00923506"/>
    <w:rsid w:val="00AA1D8D"/>
    <w:rsid w:val="00B47730"/>
    <w:rsid w:val="00CB0664"/>
    <w:rsid w:val="00F15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B6F682-6A89-D04B-AA87-D2563FC1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Vihaan Singhal</cp:lastModifiedBy>
  <cp:revision>4</cp:revision>
  <dcterms:created xsi:type="dcterms:W3CDTF">2013-12-23T23:15:00Z</dcterms:created>
  <dcterms:modified xsi:type="dcterms:W3CDTF">2025-10-24T08:42:00Z</dcterms:modified>
  <cp:category/>
</cp:coreProperties>
</file>