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Breaking News: The Joy Jamboree – Unveiling Nuanced Patterns in Challenging and Prosperous Times!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bdr w:val="single" w:sz="2" w:space="1" w:color="D9D9E3"/>
        </w:rPr>
      </w:pPr>
      <w:r>
        <w:rPr>
          <w:sz w:val="22"/>
          <w:szCs w:val="22"/>
          <w:bdr w:val="single" w:sz="2" w:space="1" w:color="D9D9E3"/>
        </w:rPr>
        <w:t>Greetings, wonderful audience! I'm your anchor, and we're diving into the exciting world of joy dynamics during the tumultuous 2008 financial crisis and the subsequent recovery. Our data analysts have spun a tale of supply and demand for joy that will leave you intrigued and, dare I say, joyfully puzzled!</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bdr w:val="single" w:sz="2" w:space="1" w:color="D9D9E3"/>
        </w:rPr>
      </w:pPr>
      <w:r>
        <w:rPr>
          <w:sz w:val="22"/>
          <w:szCs w:val="22"/>
          <w:bdr w:val="single" w:sz="2" w:space="1" w:color="D9D9E3"/>
        </w:rPr>
        <w:t>In the gloomy days of the 2008 economic downturn, where the great recession cast its shadow, incidents related to drugs and prostitution were high in both the dazzling cities of New York (NYC) and San Francisco (SF). Despite the economic hardships, there was a notable surge in these incidents, hinting at a potential search for coping mechanisms or alternative sources of income during tough times. It's like people were looking for joy in unconventional places!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bdr w:val="single" w:sz="2" w:space="1" w:color="D9D9E3"/>
        </w:rPr>
      </w:pPr>
      <w:r>
        <w:rPr>
          <w:sz w:val="22"/>
          <w:szCs w:val="22"/>
          <w:bdr w:val="single" w:sz="2" w:space="1" w:color="D9D9E3"/>
        </w:rPr>
        <w:t>Fast forward to the recovery phase in 2017, and joy seems to be on the rise! The incident rates for both drug and prostitution-related categories in NYC and SF take a significant dip, suggesting a potential positive correlation between economic recovery and a reduction in these incidents. While this analysis doesn't directly measure emotional well-being, it provides a sneak peek into societal activities during the bounce-back phase.</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bdr w:val="single" w:sz="2" w:space="1" w:color="D9D9E3"/>
        </w:rPr>
      </w:pPr>
      <w:r>
        <w:rPr>
          <w:sz w:val="22"/>
          <w:szCs w:val="22"/>
          <w:bdr w:val="single" w:sz="2" w:space="1" w:color="D9D9E3"/>
        </w:rPr>
        <w:t>But, dear viewers, remember, joy is as complex as a three-ring circus! The decline in certain incidents might suggest a more abundant joy during economic recovery, but pinpointing the exact moment when joy is most abundant is like trying to catch confetti in a hurricane. Joy is influenced by economic conditions, societal dynamics, and individual circumstances, creating a tapestry of emotions that defy easy categorization.</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bdr w:val="single" w:sz="2" w:space="1" w:color="D9D9E3"/>
        </w:rPr>
      </w:pPr>
      <w:r>
        <w:rPr>
          <w:sz w:val="22"/>
          <w:szCs w:val="22"/>
          <w:bdr w:val="single" w:sz="2" w:space="1" w:color="D9D9E3"/>
        </w:rPr>
        <w:t>In summary, our normalized analysis, based on incidents per 10,000 population, paints a vivid picture of joy's ebb and flow during challenging and prosperous times. So, buckle up for the joy jamboree, where statistics and emotions collide in a dazzling display of normalized conclusions! 🎉💫 Now, stay tuned for our next segment, where we unravel the mysteries of the normalized correlation cabaret in New York's Data Duet!</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Extra! Extra! San Francisco's Data Dance – A Correlation Extravaganza!</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Hello, fabulous viewers! I'm your anchor, and we've got the inside scoop on San Francisco's Data Dance. Our statisticians have uncovered correlations that will have you tapping your feet and scratching your head at the same time!</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First off, in December 2008, drugs and prostitution decided to kick up their heels together. With a correlation coefficient of 0.442733, it's a moderate positive correlation—like two dance partners doing the tango with undeniable flair. It's a data tango extravaganza, folks!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Hold onto your data hats because the real spectacle comes with the perfect positive correlation between drugs in 2008 and 2017. A jaw-dropping coefficient of 1.000000 suggests that these incidents are like synchronized swimmers, performing a flawless routine. Is it data magic or just a quirky holiday trend? Your guess is as good as ours!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But wait, there's more! In a surprising turn of events, drugs and prostitution in December 2017 share a very weak negative correlation with a timid entrance and a coefficient of -0.014361. It's like they're giving each other the side-eye, not quite on the same festive wavelength. A dance floor drama unfolds!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Before you start concocting wild theories, a friendly reminder – correlation doesn't equal causation. These coefficients are like dance partners at a masquerade ball; they might look good together, but there's no guarantee they're ordering pizza together after the event.</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So, buckle up for the festive statistics rollercoaster, and let the correlation chronicles continue! 🕺💃📊 Now, over to our next segment, where we'll reveal the mysterious correlation cabaret of New York's Data Duet!</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Breaking News: NYC and SF's Data Disco – Statistical Shenanigans Unveiled!</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sz w:val="22"/>
          <w:szCs w:val="22"/>
        </w:rPr>
      </w:pPr>
      <w:r>
        <w:rPr>
          <w:sz w:val="22"/>
          <w:szCs w:val="22"/>
        </w:rPr>
        <w:t>Hello, viewers! I'm your anchor, and we're diving into the comedic rollercoaster of NYC and SF's data shenanigans. Grab your statistical seatbelts because we're exploring the wild world of drug and prostitution activities – where nothing says "fun" like a bit of statistical mischief!</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NYC Drug Disco:</w:t>
      </w:r>
      <w:r>
        <w:rPr>
          <w:sz w:val="22"/>
          <w:szCs w:val="22"/>
        </w:rPr>
        <w:t xml:space="preserve"> In 2017, NYC's drug activity slides down the dance floor at -2.12. It's a statistical limbo party with an intercept at 134.31, a moderate R-squared of 0.18, and a P-value of 0.02 screaming, "Statistical significance, baby!" A rave of numbers!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NYC Prostitution Theater:</w:t>
      </w:r>
      <w:r>
        <w:rPr>
          <w:sz w:val="22"/>
          <w:szCs w:val="22"/>
        </w:rPr>
        <w:t xml:space="preserve"> In 2008, NYC's prostitution incidents decline with a slope of -0.60, an intercept at 22.63, an R-squared of 0.14, and a P-value of 0.05 saying, "Kinda, sorta significant!" Fast forward to 2017, a plot twist with a slope of -0.22, a low R-squared of 0.02, and a P-value of 0.51 whispering, "Not significant, darling!" Drama alert!</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SF Drug Disco Fever:</w:t>
      </w:r>
      <w:r>
        <w:rPr>
          <w:sz w:val="22"/>
          <w:szCs w:val="22"/>
        </w:rPr>
        <w:t xml:space="preserve"> In 2008, SF's drug activity does the funky chicken at -0.46, an intercept at 34.43, a groovy R-squared of 0.13, and a P-value of 0.05 saying, "Statistical groove is on!" But wait, SF's drug scene in 2017 is like a confusing dance – a slight slope of 0.08, a low R-squared of 0.02, and a P-value of 0.44, saying, "Not sure where this dance is going!" Dance floor confusion!</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SF Prostitution Vaudeville:</w:t>
      </w:r>
      <w:r>
        <w:rPr>
          <w:sz w:val="22"/>
          <w:szCs w:val="22"/>
        </w:rPr>
        <w:t xml:space="preserve"> In 2008, SF's prostitution incidents are like a silent movie – a slope of -0.06, a weak relationship, and a P-value of 0.43 saying, "Is it really a significant plot twist?" Fast forward to 2017, SF's prostitution drama continues with a slope of -0.80, a moderate R-squared of 0.14, and a P-value of 0.23 whispering, "Not statistically juicy, folks!" A statistical soap opera with twists and turns!</w:t>
      </w:r>
    </w:p>
    <w:p>
      <w:pPr>
        <w:pStyle w:val="BodyText"/>
        <w:pBdr>
          <w:top w:val="single" w:sz="2" w:space="1" w:color="D9D9E3"/>
          <w:left w:val="single" w:sz="2" w:space="1" w:color="D9D9E3"/>
          <w:bottom w:val="single" w:sz="2" w:space="1" w:color="D9D9E3"/>
          <w:right w:val="single" w:sz="2" w:space="1" w:color="D9D9E3"/>
        </w:pBdr>
        <w:bidi w:val="0"/>
        <w:ind w:hanging="0" w:left="0" w:right="0"/>
        <w:jc w:val="left"/>
        <w:rPr/>
      </w:pPr>
      <w:r>
        <w:rPr>
          <w:rStyle w:val="Strong"/>
          <w:sz w:val="22"/>
          <w:szCs w:val="22"/>
        </w:rPr>
        <w:t>Enhanced Conclusion:</w:t>
      </w:r>
      <w:r>
        <w:rPr>
          <w:sz w:val="22"/>
          <w:szCs w:val="22"/>
        </w:rPr>
        <w:t xml:space="preserve"> The statistical dance of NYC and SF is a carnival of numbers and plots, with highs, lows, and a few awkward dance moves. Amidst the twists and turns of the data disco, the conclusion emerges as a reminder that statistical intricacies can be as entertaining as the insights themselves. So, keep grooving, data enthusiasts! 🕺💃 Stay tuned for more as we unravel the mysteries of the statistical cabaret in the Regression Carnival!</w:t>
      </w:r>
    </w:p>
    <w:p>
      <w:pPr>
        <w:pStyle w:val="Normal"/>
        <w:bidi w:val="0"/>
        <w:jc w:val="left"/>
        <w:rPr>
          <w:sz w:val="22"/>
          <w:szCs w:val="22"/>
        </w:rPr>
      </w:pPr>
      <w:r>
        <w:rPr>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LibreOffice/7.6.3.2$Windows_X86_64 LibreOffice_project/29d686fea9f6705b262d369fede658f824154cc0</Application>
  <AppVersion>15.0000</AppVersion>
  <Pages>2</Pages>
  <Words>973</Words>
  <Characters>5134</Characters>
  <CharactersWithSpaces>6093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2024-01-10T10:16:16Z</dcterms:created>
  <dc:creator/>
  <dc:description/>
  <dc:language>en-US</dc:language>
  <cp:lastModifiedBy/>
  <cp:lastPrinted>2024-01-10T10:26:16Z</cp:lastPrinted>
  <dcterms:modified xsi:type="dcterms:W3CDTF">2024-01-10T10:49:17Z</dcterms:modified>
  <cp:revision>1</cp:revision>
  <dc:subject/>
  <dc:title/>
</cp:coreProperties>
</file>