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r>
        <w:t xml:space="preserve"> </w:t>
      </w:r>
      <w:r>
        <w:t xml:space="preserve">University</w:t>
      </w:r>
      <w:r>
        <w:t xml:space="preserve"> </w:t>
      </w:r>
      <w:r>
        <w:t xml:space="preserve">of</w:t>
      </w:r>
      <w:r>
        <w:t xml:space="preserve"> </w:t>
      </w:r>
      <w:r>
        <w:t xml:space="preserve">California,</w:t>
      </w:r>
      <w:r>
        <w:t xml:space="preserve"> </w:t>
      </w:r>
      <w:r>
        <w:t xml:space="preserve">Merced</w:t>
      </w:r>
    </w:p>
    <w:p>
      <w:pPr>
        <w:pStyle w:val="Author"/>
      </w:pPr>
      <w:r>
        <w:t xml:space="preserve">Martha</w:t>
      </w:r>
      <w:r>
        <w:t xml:space="preserve"> </w:t>
      </w:r>
      <w:r>
        <w:t xml:space="preserve">Kandziora,</w:t>
      </w:r>
      <w:r>
        <w:t xml:space="preserve"> </w:t>
      </w:r>
      <w:r>
        <w:t xml:space="preserve">University</w:t>
      </w:r>
      <w:r>
        <w:t xml:space="preserve"> </w:t>
      </w:r>
      <w:r>
        <w:t xml:space="preserve">of</w:t>
      </w:r>
      <w:r>
        <w:t xml:space="preserve"> </w:t>
      </w:r>
      <w:r>
        <w:t xml:space="preserve">California,</w:t>
      </w:r>
      <w:r>
        <w:t xml:space="preserve"> </w:t>
      </w:r>
      <w:r>
        <w:t xml:space="preserve">Merced</w:t>
      </w:r>
    </w:p>
    <w:p>
      <w:pPr>
        <w:pStyle w:val="Author"/>
      </w:pPr>
      <w:r>
        <w:t xml:space="preserve">Emily</w:t>
      </w:r>
      <w:r>
        <w:t xml:space="preserve"> </w:t>
      </w:r>
      <w:r>
        <w:t xml:space="preserve">Jane</w:t>
      </w:r>
      <w:r>
        <w:t xml:space="preserve"> </w:t>
      </w:r>
      <w:r>
        <w:t xml:space="preserve">McTavish,</w:t>
      </w:r>
      <w:r>
        <w:t xml:space="preserve"> </w:t>
      </w:r>
      <w:r>
        <w:t xml:space="preserve">University</w:t>
      </w:r>
      <w:r>
        <w:t xml:space="preserve"> </w:t>
      </w:r>
      <w:r>
        <w:t xml:space="preserve">of</w:t>
      </w:r>
      <w:r>
        <w:t xml:space="preserve"> </w:t>
      </w:r>
      <w:r>
        <w:t xml:space="preserve">California,</w:t>
      </w:r>
      <w:r>
        <w:t xml:space="preserve"> </w:t>
      </w:r>
      <w:r>
        <w:t xml:space="preserve">Merced</w:t>
      </w:r>
    </w:p>
    <w:p>
      <w:pPr>
        <w:pStyle w:val="Date"/>
      </w:pPr>
      <w:r>
        <w:t xml:space="preserve">Manuscript</w:t>
      </w:r>
      <w:r>
        <w:t xml:space="preserve"> </w:t>
      </w:r>
      <w:r>
        <w:t xml:space="preserve">rendered</w:t>
      </w:r>
      <w:r>
        <w:t xml:space="preserve"> </w:t>
      </w:r>
      <w:r>
        <w:t xml:space="preserve">on</w:t>
      </w:r>
      <w:r>
        <w:t xml:space="preserve"> </w:t>
      </w:r>
      <w:bookmarkStart w:id="20" w:name="redoc-inlinecode-1"/>
      <w:r>
        <w:rPr>
          <w:rStyle w:val="redoc-inlinecode-1"/>
        </w:rPr>
        <w:t xml:space="preserve">12</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phylogenies.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r>
        <w:t xml:space="preserve"> </w:t>
      </w:r>
      <w:r>
        <w:t xml:space="preserve">1. Obtention of molecular or morphological character data – get DNA from some organisms and sequence it, or get it from an online repository, such as GenBank.</w:t>
      </w:r>
      <w:r>
        <w:t xml:space="preserve"> </w:t>
      </w:r>
      <w:r>
        <w:t xml:space="preserve">1. Assemble a hypothesis of homology – Create a matrix of your character data, by aligning the sequences, in the case of molecular data.</w:t>
      </w:r>
      <w:r>
        <w:t xml:space="preserve"> </w:t>
      </w:r>
      <w:r>
        <w:t xml:space="preserve">1. Analyse this hypothesis of homology to infer phylogenetic relationships among the organisms you are studying – Use different available programs to infer molecular evolution, trees and times of divergence.</w:t>
      </w:r>
      <w:r>
        <w:t xml:space="preserve"> </w:t>
      </w:r>
      <w:r>
        <w:t xml:space="preserve">1. Discuss the inferred relationships in the context of previous hypothesis, the biology and biogeography of the organisms, etc. – Answer the question,</w:t>
      </w:r>
      <w:r>
        <w:t xml:space="preserve"> </w:t>
      </w:r>
      <w:r>
        <w:rPr>
          <w:i/>
        </w:rPr>
        <w:t xml:space="preserve">is this phylogenetic solution fair/reasonable?</w:t>
      </w:r>
    </w:p>
    <w:p>
      <w:pPr>
        <w:pStyle w:val="BodyText"/>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4" w:name="redoc-citation-1"/>
      <w:r>
        <w:rPr>
          <w:rStyle w:val="redoc-citation-1"/>
        </w:rPr>
        <w:t xml:space="preserve">(Sanderson, Boss, Chen, Cranston, &amp; Wehe, 2008)</w:t>
      </w:r>
      <w:bookmarkEnd w:id="24"/>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5" w:name="how-does-physcraper-work"/>
      <w:r>
        <w:t xml:space="preserve">How does Physcraper work?</w:t>
      </w:r>
      <w:bookmarkEnd w:id="25"/>
    </w:p>
    <w:p>
      <w:pPr>
        <w:pStyle w:val="Heading2"/>
      </w:pPr>
      <w:bookmarkStart w:id="26" w:name="the-input-a-study-tree-and-an-alignment"/>
      <w:r>
        <w:t xml:space="preserve">The input: a study tree and an alignment</w:t>
      </w:r>
      <w:bookmarkEnd w:id="26"/>
    </w:p>
    <w:p>
      <w:pPr>
        <w:pStyle w:val="Compact"/>
        <w:numPr>
          <w:numId w:val="1002"/>
          <w:ilvl w:val="0"/>
        </w:numPr>
      </w:pPr>
      <w:r>
        <w:t xml:space="preserve">The phylogenetic tree has to be in the Open Tree of Life store</w:t>
      </w:r>
      <w:r>
        <w:t xml:space="preserve"> </w:t>
      </w:r>
      <w:bookmarkStart w:id="27" w:name="redoc-citation-2"/>
      <w:r>
        <w:rPr>
          <w:rStyle w:val="redoc-citation-2"/>
        </w:rPr>
        <w:t xml:space="preserve">(McTavish et al., 2015)</w:t>
      </w:r>
      <w:bookmarkEnd w:id="27"/>
      <w:r>
        <w:t xml:space="preserve">.</w:t>
      </w:r>
      <w:r>
        <w:t xml:space="preserve"> </w:t>
      </w:r>
      <w:r>
        <w:t xml:space="preserve">You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w:t>
      </w:r>
    </w:p>
    <w:p>
      <w:pPr>
        <w:pStyle w:val="Compact"/>
        <w:numPr>
          <w:numId w:val="1002"/>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8" w:name="redoc-citation-3"/>
      <w:r>
        <w:rPr>
          <w:rStyle w:val="redoc-citation-3"/>
        </w:rPr>
        <w:t xml:space="preserve">(Piel et al., 2009; Vos et al., 2012)</w:t>
      </w:r>
      <w:bookmarkEnd w:id="28"/>
      <w:r>
        <w:t xml:space="preserve"> </w:t>
      </w:r>
      <w:r>
        <w:t xml:space="preserve">or DRYAD (</w:t>
      </w:r>
      <w:hyperlink r:id="rId29">
        <w:r>
          <w:rPr>
            <w:rStyle w:val="Hyperlink"/>
          </w:rPr>
          <w:t xml:space="preserve">http://datadryad.org/</w:t>
        </w:r>
      </w:hyperlink>
      <w:r>
        <w:t xml:space="preserve">). If the alignment is stored in TreeBase,</w:t>
      </w:r>
      <w:r>
        <w:t xml:space="preserve"> </w:t>
      </w:r>
      <w:r>
        <w:rPr>
          <w:rStyle w:val="VerbatimChar"/>
        </w:rPr>
        <w:t xml:space="preserve">physcraper</w:t>
      </w:r>
      <w:r>
        <w:t xml:space="preserve"> </w:t>
      </w:r>
      <w:r>
        <w:t xml:space="preserve">can download it directly either from the TreeBASE website (</w:t>
      </w:r>
      <w:hyperlink r:id="rId30">
        <w:r>
          <w:rPr>
            <w:rStyle w:val="Hyperlink"/>
          </w:rPr>
          <w:t xml:space="preserve">https://treebase.org/</w:t>
        </w:r>
      </w:hyperlink>
      <w:r>
        <w:t xml:space="preserve">)</w:t>
      </w:r>
      <w:r>
        <w:t xml:space="preserve"> </w:t>
      </w:r>
      <w:r>
        <w:t xml:space="preserve">or through its GitHub repositiry, SuperTreeBASE (</w:t>
      </w:r>
      <w:hyperlink r:id="rId31">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location has to be provided as an argument.</w:t>
      </w:r>
    </w:p>
    <w:p>
      <w:pPr>
        <w:pStyle w:val="Compact"/>
        <w:numPr>
          <w:numId w:val="1002"/>
          <w:ilvl w:val="0"/>
        </w:numPr>
      </w:pPr>
      <w:r>
        <w:t xml:space="preserve">A taxon name matching step is performed to verify that all taxon names on the tips</w:t>
      </w:r>
      <w:r>
        <w:t xml:space="preserve"> </w:t>
      </w:r>
      <w:r>
        <w:t xml:space="preserve">of the tree are in the character matrix and vice versa.</w:t>
      </w:r>
    </w:p>
    <w:p>
      <w:pPr>
        <w:pStyle w:val="Compact"/>
        <w:numPr>
          <w:numId w:val="1002"/>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2"/>
          <w:ilvl w:val="0"/>
        </w:numPr>
      </w:pPr>
      <w:r>
        <w:t xml:space="preserve">Unmatched taxon names are dropped from the tree and alignment.</w:t>
      </w:r>
      <w:r>
        <w:t xml:space="preserve"> </w:t>
      </w:r>
      <w:r>
        <w:rPr>
          <w:i/>
          <w:b/>
        </w:rPr>
        <w:t xml:space="preserve">What is the minimum amount of tips necessary for a physcraper run??</w:t>
      </w:r>
      <w:r>
        <w:t xml:space="preserve"> </w:t>
      </w:r>
      <w:r>
        <w:t xml:space="preserve">Just one!</w:t>
      </w:r>
    </w:p>
    <w:p>
      <w:pPr>
        <w:pStyle w:val="Compact"/>
        <w:numPr>
          <w:numId w:val="1002"/>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2" w:name="dna-sequence-search-and-cleaning"/>
      <w:r>
        <w:t xml:space="preserve">DNA sequence search and cleaning</w:t>
      </w:r>
      <w:bookmarkEnd w:id="32"/>
    </w:p>
    <w:p>
      <w:pPr>
        <w:pStyle w:val="Compact"/>
        <w:numPr>
          <w:numId w:val="1003"/>
          <w:ilvl w:val="0"/>
        </w:numPr>
      </w:pPr>
      <w:r>
        <w:t xml:space="preserve">The first step is to identify the MRCA of all taxa in the tree that is also a</w:t>
      </w:r>
      <w:r>
        <w:t xml:space="preserve"> </w:t>
      </w:r>
      <w:r>
        <w:t xml:space="preserve">named clade in the NCBI taxonomy. This</w:t>
      </w:r>
      <w:r>
        <w:t xml:space="preserve"> </w:t>
      </w:r>
      <w:r>
        <w:t xml:space="preserve">“</w:t>
      </w:r>
      <w:r>
        <w:t xml:space="preserve">taxonomic MRCA</w:t>
      </w:r>
      <w:r>
        <w:t xml:space="preserve">”</w:t>
      </w:r>
      <w:r>
        <w:t xml:space="preserve"> </w:t>
      </w:r>
      <w:r>
        <w:t xml:space="preserve">can be different from</w:t>
      </w:r>
      <w:r>
        <w:t xml:space="preserve"> </w:t>
      </w:r>
      <w:r>
        <w:t xml:space="preserve">the phylogenetic MRCA when the latter is an unnamed clade.</w:t>
      </w:r>
      <w:r>
        <w:t xml:space="preserve"> </w:t>
      </w:r>
      <w:r>
        <w:rPr>
          <w:i/>
          <w:b/>
        </w:rPr>
        <w:t xml:space="preserve">Does</w:t>
      </w:r>
      <w:r>
        <w:rPr>
          <w:i/>
          <w:b/>
        </w:rPr>
        <w:t xml:space="preserve"> </w:t>
      </w:r>
      <w:r>
        <w:rPr>
          <w:i/>
          <w:b/>
        </w:rPr>
        <w:t xml:space="preserve">physcraper take into account the focal clade from Open Tree in any way???</w:t>
      </w:r>
      <w:r>
        <w:t xml:space="preserve"> </w:t>
      </w:r>
      <w:r>
        <w:t xml:space="preserve">Not really, it is a search MRCA more than a taxonomic, the default is to get the ingroup from Otol, which is not the focal group.</w:t>
      </w:r>
    </w:p>
    <w:p>
      <w:pPr>
        <w:pStyle w:val="Compact"/>
        <w:numPr>
          <w:numId w:val="1003"/>
          <w:ilvl w:val="0"/>
        </w:numPr>
      </w:pPr>
      <w:r>
        <w:t xml:space="preserve">The taxonomic MRCA is used to constrain the DNA sequence search within that taxonomic group on the GenBank database.</w:t>
      </w:r>
    </w:p>
    <w:p>
      <w:pPr>
        <w:pStyle w:val="Compact"/>
        <w:numPr>
          <w:numId w:val="1003"/>
          <w:ilvl w:val="0"/>
        </w:numPr>
      </w:pPr>
      <w:r>
        <w:t xml:space="preserve">The DNA sequence search can be done on a local database that is easily setup by the user, or remotely.</w:t>
      </w:r>
    </w:p>
    <w:p>
      <w:pPr>
        <w:pStyle w:val="Compact"/>
        <w:numPr>
          <w:numId w:val="1003"/>
          <w:ilvl w:val="0"/>
        </w:numPr>
      </w:pPr>
      <w:r>
        <w:t xml:space="preserve">The BLAST algorithm is used to identify all DNA sequences in the database within</w:t>
      </w:r>
      <w:r>
        <w:t xml:space="preserve"> </w:t>
      </w:r>
      <w:r>
        <w:t xml:space="preserve">the taxonomic MRCA that are similar to each sequence in the alignment</w:t>
      </w:r>
      <w:r>
        <w:t xml:space="preserve"> </w:t>
      </w:r>
      <w:r>
        <w:rPr>
          <w:i/>
          <w:b/>
        </w:rPr>
        <w:t xml:space="preserve">How does the blast is setup? Is it an all-blast-all??</w:t>
      </w:r>
      <w:r>
        <w:t xml:space="preserve"> </w:t>
      </w:r>
      <w:r>
        <w:t xml:space="preserve">The rmote BLAST uses bioPython and the local BLAST uses BLASTn</w:t>
      </w:r>
    </w:p>
    <w:p>
      <w:pPr>
        <w:pStyle w:val="Compact"/>
        <w:numPr>
          <w:numId w:val="1003"/>
          <w:ilvl w:val="0"/>
        </w:numPr>
      </w:pPr>
      <w:r>
        <w:t xml:space="preserve">Reverse complement sequences are identified and translated.</w:t>
      </w:r>
    </w:p>
    <w:p>
      <w:pPr>
        <w:pStyle w:val="Compact"/>
        <w:numPr>
          <w:numId w:val="1003"/>
          <w:ilvl w:val="0"/>
        </w:numPr>
      </w:pPr>
      <w:r>
        <w:t xml:space="preserve">Sequences found for each</w:t>
      </w:r>
    </w:p>
    <w:p>
      <w:pPr>
        <w:pStyle w:val="Compact"/>
        <w:numPr>
          <w:numId w:val="1003"/>
          <w:ilvl w:val="0"/>
        </w:numPr>
      </w:pPr>
      <w:r>
        <w:t xml:space="preserve">A fasta file containing all sequences resulting from the search is generated for the user.</w:t>
      </w:r>
    </w:p>
    <w:p>
      <w:pPr>
        <w:pStyle w:val="Compact"/>
        <w:numPr>
          <w:numId w:val="1003"/>
          <w:ilvl w:val="0"/>
        </w:numPr>
      </w:pPr>
      <w:r>
        <w:rPr>
          <w:i/>
          <w:b/>
        </w:rPr>
        <w:t xml:space="preserve">Add cycles of blast searches with new sequences</w:t>
      </w:r>
    </w:p>
    <w:p>
      <w:pPr>
        <w:pStyle w:val="Compact"/>
        <w:numPr>
          <w:numId w:val="1003"/>
          <w:ilvl w:val="0"/>
        </w:numPr>
      </w:pPr>
      <w:r>
        <w:t xml:space="preserve">How many sequences per species? Was hardcoded to 5, but it will be an argument now, default to 5.</w:t>
      </w:r>
      <w:r>
        <w:t xml:space="preserve"> </w:t>
      </w:r>
      <w:r>
        <w:rPr>
          <w:i/>
          <w:b/>
        </w:rPr>
        <w:t xml:space="preserve">How does pyphlawd, or phylota does it?</w:t>
      </w:r>
    </w:p>
    <w:p>
      <w:pPr>
        <w:pStyle w:val="Heading2"/>
      </w:pPr>
      <w:bookmarkStart w:id="33" w:name="dna-sequence-alignment"/>
      <w:r>
        <w:t xml:space="preserve">DNA sequence alignment</w:t>
      </w:r>
      <w:bookmarkEnd w:id="33"/>
    </w:p>
    <w:p>
      <w:pPr>
        <w:pStyle w:val="Compact"/>
        <w:numPr>
          <w:numId w:val="1004"/>
          <w:ilvl w:val="0"/>
        </w:numPr>
      </w:pPr>
      <w:r>
        <w:t xml:space="preserve">The software MUSCLE</w:t>
      </w:r>
      <w:r>
        <w:t xml:space="preserve"> </w:t>
      </w:r>
      <w:bookmarkStart w:id="34" w:name="redoc-citation-4"/>
      <w:r>
        <w:rPr>
          <w:rStyle w:val="redoc-citation-4"/>
        </w:rPr>
        <w:t xml:space="preserve">(Edgar, 2004)</w:t>
      </w:r>
      <w:bookmarkEnd w:id="34"/>
      <w:r>
        <w:t xml:space="preserve"> </w:t>
      </w:r>
      <w:r>
        <w:t xml:space="preserve">is implemented for profile alignment, in</w:t>
      </w:r>
      <w:r>
        <w:t xml:space="preserve"> </w:t>
      </w:r>
      <w:r>
        <w:t xml:space="preserve">which the original alignment is used as a template to align all new sequences.</w:t>
      </w:r>
    </w:p>
    <w:p>
      <w:pPr>
        <w:pStyle w:val="Heading2"/>
      </w:pPr>
      <w:bookmarkStart w:id="35" w:name="tree-reconstruction"/>
      <w:r>
        <w:t xml:space="preserve">Tree reconstruction</w:t>
      </w:r>
      <w:bookmarkEnd w:id="35"/>
    </w:p>
    <w:p>
      <w:pPr>
        <w:pStyle w:val="Compact"/>
        <w:numPr>
          <w:numId w:val="1005"/>
          <w:ilvl w:val="0"/>
        </w:numPr>
      </w:pPr>
      <w:r>
        <w:t xml:space="preserve">A gene tree is reconstructed for each alignment provided, using RAxML with bootstrap replicates.</w:t>
      </w:r>
    </w:p>
    <w:p>
      <w:pPr>
        <w:pStyle w:val="Compact"/>
        <w:numPr>
          <w:numId w:val="1005"/>
          <w:ilvl w:val="0"/>
        </w:numPr>
      </w:pPr>
      <w:r>
        <w:t xml:space="preserve">The final result is a gene tree couples to the conlict info.</w:t>
      </w:r>
    </w:p>
    <w:p>
      <w:pPr>
        <w:pStyle w:val="Heading2"/>
      </w:pPr>
      <w:bookmarkStart w:id="36" w:name="tree-comparison"/>
      <w:r>
        <w:t xml:space="preserve">Tree comparison</w:t>
      </w:r>
      <w:bookmarkEnd w:id="36"/>
    </w:p>
    <w:p>
      <w:pPr>
        <w:pStyle w:val="Compact"/>
        <w:numPr>
          <w:numId w:val="1006"/>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37" w:name="use-case-example"/>
      <w:r>
        <w:t xml:space="preserve">Use case/ example</w:t>
      </w:r>
      <w:bookmarkEnd w:id="37"/>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38" w:name="ascomycota-example"/>
      <w:r>
        <w:t xml:space="preserve">Ascomycota Example</w:t>
      </w:r>
      <w:bookmarkEnd w:id="38"/>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39" w:name="redoc-citation-5"/>
      <w:r>
        <w:rPr>
          <w:rStyle w:val="redoc-citation-5"/>
        </w:rPr>
        <w:t xml:space="preserve">Schoch et al. (2009)</w:t>
      </w:r>
      <w:bookmarkEnd w:id="39"/>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0"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0"/>
    <w:p>
      <w:pPr>
        <w:pStyle w:val="Compact"/>
        <w:numPr>
          <w:numId w:val="1007"/>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1"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1"/>
    <w:p>
      <w:pPr>
        <w:pStyle w:val="FirstParagraph"/>
      </w:pPr>
      <w:r>
        <w:t xml:space="preserve">Both trees from this study have</w:t>
      </w:r>
      <w:r>
        <w:t xml:space="preserve"> </w:t>
      </w:r>
      <w:bookmarkStart w:id="42" w:name="redoc-inlinecode-2"/>
      <w:r>
        <w:rPr>
          <w:rStyle w:val="redoc-inlinecode-2"/>
        </w:rPr>
        <w:t xml:space="preserve">434</w:t>
      </w:r>
      <w:bookmarkEnd w:id="42"/>
      <w:r>
        <w:t xml:space="preserve"> </w:t>
      </w:r>
      <w:r>
        <w:t xml:space="preserve">tips.</w:t>
      </w:r>
    </w:p>
    <w:p>
      <w:pPr>
        <w:pStyle w:val="BodyText"/>
      </w:pPr>
      <w:r>
        <w:t xml:space="preserve">Let’s check what one of the trees looks like:</w:t>
      </w:r>
    </w:p>
    <w:p>
      <w:pPr>
        <w:pStyle w:val="BodyText"/>
      </w:pPr>
      <w:bookmarkStart w:id="43" w:name="redoc-htmlcomment-1"/>
      <w:r>
        <w:rPr>
          <w:rStyle w:val="redoc-htmlcomment-1"/>
        </w:rPr>
        <w:t xml:space="preserve"> </w:t>
      </w:r>
      <w:r>
        <w:rPr>
          <w:rStyle w:val="redoc-htmlcomment-1"/>
        </w:rPr>
        <w:t xml:space="preserve"> </w:t>
      </w:r>
      <w:bookmarkEnd w:id="43"/>
    </w:p>
    <w:p>
      <w:pPr>
        <w:pStyle w:val="Compact"/>
        <w:numPr>
          <w:numId w:val="1008"/>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09"/>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44" w:name="testudines-example"/>
      <w:r>
        <w:t xml:space="preserve">Testudines example</w:t>
      </w:r>
      <w:bookmarkEnd w:id="44"/>
    </w:p>
    <w:p>
      <w:pPr>
        <w:pStyle w:val="FirstParagraph"/>
      </w:pPr>
      <w:r>
        <w:t xml:space="preserve">Phylogeny of the Testudines 6 tips from</w:t>
      </w:r>
      <w:r>
        <w:t xml:space="preserve"> </w:t>
      </w:r>
      <w:bookmarkStart w:id="45" w:name="redoc-citation-6"/>
      <w:r>
        <w:rPr>
          <w:rStyle w:val="redoc-citation-6"/>
        </w:rPr>
        <w:t xml:space="preserve">Crawford et al. (2012)</w:t>
      </w:r>
      <w:bookmarkEnd w:id="45"/>
      <w:r>
        <w:t xml:space="preserve"> </w:t>
      </w:r>
      <w:r>
        <w:t xml:space="preserve">There is just one tree in OToL.</w:t>
      </w:r>
      <w:r>
        <w:t xml:space="preserve"> </w:t>
      </w:r>
      <w:r>
        <w:t xml:space="preserve">There is just one alignment on</w:t>
      </w:r>
      <w:r>
        <w:t xml:space="preserve"> </w:t>
      </w:r>
      <w:hyperlink r:id="rId46">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47" w:name="tools-on-a-similar-track"/>
      <w:r>
        <w:t xml:space="preserve">Tools on a similar track:</w:t>
      </w:r>
      <w:bookmarkEnd w:id="47"/>
    </w:p>
    <w:p>
      <w:pPr>
        <w:pStyle w:val="FirstParagraph"/>
      </w:pPr>
      <w:r>
        <w:t xml:space="preserve">Tools that do similar things:</w:t>
      </w:r>
      <w:r>
        <w:t xml:space="preserve"> </w:t>
      </w:r>
      <w:r>
        <w:t xml:space="preserve">pyPhlawd</w:t>
      </w:r>
      <w:r>
        <w:t xml:space="preserve"> </w:t>
      </w:r>
      <w:bookmarkStart w:id="48" w:name="redoc-citation-7"/>
      <w:r>
        <w:rPr>
          <w:rStyle w:val="redoc-citation-7"/>
        </w:rPr>
        <w:t xml:space="preserve">(Smith &amp; Walker, 2019)</w:t>
      </w:r>
      <w:bookmarkEnd w:id="48"/>
      <w:r>
        <w:t xml:space="preserve"> </w:t>
      </w:r>
      <w:r>
        <w:t xml:space="preserve">SUPERSMART</w:t>
      </w:r>
      <w:r>
        <w:t xml:space="preserve"> </w:t>
      </w:r>
      <w:bookmarkStart w:id="49" w:name="redoc-citation-8"/>
      <w:r>
        <w:rPr>
          <w:rStyle w:val="redoc-citation-8"/>
        </w:rPr>
        <w:t xml:space="preserve">(Antonelli et al., 2017)</w:t>
      </w:r>
      <w:bookmarkEnd w:id="49"/>
    </w:p>
    <w:p>
      <w:pPr>
        <w:pStyle w:val="Heading1"/>
      </w:pPr>
      <w:bookmarkStart w:id="50" w:name="acknowledgements"/>
      <w:r>
        <w:t xml:space="preserve">Acknowledgements</w:t>
      </w:r>
      <w:bookmarkEnd w:id="50"/>
    </w:p>
    <w:p>
      <w:pPr>
        <w:pStyle w:val="FirstParagraph"/>
      </w:pPr>
      <w:r>
        <w:t xml:space="preserve">We acknowledge contributions from</w:t>
      </w:r>
    </w:p>
    <w:p>
      <w:pPr>
        <w:pStyle w:val="Heading1"/>
      </w:pPr>
      <w:bookmarkStart w:id="51" w:name="references"/>
      <w:r>
        <w:t xml:space="preserve">References</w:t>
      </w:r>
      <w:bookmarkEnd w:id="51"/>
    </w:p>
    <w:bookmarkStart w:id="66" w:name="refs"/>
    <w:bookmarkStart w:id="52"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w:t>
      </w:r>
    </w:p>
    <w:bookmarkEnd w:id="52"/>
    <w:bookmarkStart w:id="54"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53">
        <w:r>
          <w:rPr>
            <w:rStyle w:val="Hyperlink"/>
          </w:rPr>
          <w:t xml:space="preserve">10.1098/rsbl.2012.0331</w:t>
        </w:r>
      </w:hyperlink>
    </w:p>
    <w:bookmarkEnd w:id="54"/>
    <w:bookmarkStart w:id="56"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55">
        <w:r>
          <w:rPr>
            <w:rStyle w:val="Hyperlink"/>
          </w:rPr>
          <w:t xml:space="preserve">10.1093/nar/gkh340</w:t>
        </w:r>
      </w:hyperlink>
    </w:p>
    <w:bookmarkEnd w:id="56"/>
    <w:bookmarkStart w:id="58"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57">
        <w:r>
          <w:rPr>
            <w:rStyle w:val="Hyperlink"/>
          </w:rPr>
          <w:t xml:space="preserve">10.1093/bioinformatics/btv276</w:t>
        </w:r>
      </w:hyperlink>
    </w:p>
    <w:bookmarkEnd w:id="58"/>
    <w:bookmarkStart w:id="59" w:name="ref-piel2009treebase"/>
    <w:p>
      <w:pPr>
        <w:pStyle w:val="Bibliography"/>
      </w:pPr>
      <w:r>
        <w:t xml:space="preserve">Piel, W., Chan, L., Dominus, M., Ruan, J., Vos, R., &amp; Tannen, V. (2009). Treebase v. 2: A database of phylogenetic knowledge. E-biosphere. London.</w:t>
      </w:r>
    </w:p>
    <w:bookmarkEnd w:id="59"/>
    <w:bookmarkStart w:id="61"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60">
        <w:r>
          <w:rPr>
            <w:rStyle w:val="Hyperlink"/>
          </w:rPr>
          <w:t xml:space="preserve">10.1080/10635150802158688</w:t>
        </w:r>
      </w:hyperlink>
    </w:p>
    <w:bookmarkEnd w:id="61"/>
    <w:bookmarkStart w:id="62"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62"/>
    <w:bookmarkStart w:id="63"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63"/>
    <w:bookmarkStart w:id="65"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64">
        <w:r>
          <w:rPr>
            <w:rStyle w:val="Hyperlink"/>
          </w:rPr>
          <w:t xml:space="preserve">10.1093/sysbio/sys025</w:t>
        </w:r>
      </w:hyperlink>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character" w:customStyle="1" w:styleId="redoc-citation-1">
    <w:name w:val="redoc-citation-1"/>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htmlcomment-1">
    <w:name w:val="redoc-htmlcomment-1"/>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9" Type="http://schemas.openxmlformats.org/officeDocument/2006/relationships/hyperlink" Target="http://datadryad.org/" TargetMode="External"/><Relationship Id="rId60" Type="http://schemas.openxmlformats.org/officeDocument/2006/relationships/hyperlink" Target="https://doi.org/10.1080/10635150802158688" TargetMode="External"/><Relationship Id="rId57" Type="http://schemas.openxmlformats.org/officeDocument/2006/relationships/hyperlink" Target="https://doi.org/10.1093/bioinformatics/btv276" TargetMode="External"/><Relationship Id="rId55" Type="http://schemas.openxmlformats.org/officeDocument/2006/relationships/hyperlink" Target="https://doi.org/10.1093/nar/gkh340" TargetMode="External"/><Relationship Id="rId64" Type="http://schemas.openxmlformats.org/officeDocument/2006/relationships/hyperlink" Target="https://doi.org/10.1093/sysbio/sys025" TargetMode="External"/><Relationship Id="rId53" Type="http://schemas.openxmlformats.org/officeDocument/2006/relationships/hyperlink" Target="https://doi.org/10.1098/rsbl.2012.0331" TargetMode="External"/><Relationship Id="rId22" Type="http://schemas.openxmlformats.org/officeDocument/2006/relationships/hyperlink" Target="https://github.com/McTavishLab/physcraper" TargetMode="External"/><Relationship Id="rId31" Type="http://schemas.openxmlformats.org/officeDocument/2006/relationships/hyperlink" Target="https://github.com/TreeBASE/supertreebase" TargetMode="External"/><Relationship Id="rId30" Type="http://schemas.openxmlformats.org/officeDocument/2006/relationships/hyperlink" Target="https://treebase.org/" TargetMode="External"/><Relationship Id="rId46" Type="http://schemas.openxmlformats.org/officeDocument/2006/relationships/hyperlink" Target="https://treebase.org/treebase-web/search/study/matrices.html?id=12742" TargetMode="External"/><Relationship Id="rId65" Type="http://schemas.openxmlformats.org/officeDocument/2006/relationships/Rmd" Target="../redoc/physcraper_ms.Rmd"/><Relationship Id="rId66" Type="http://schemas.openxmlformats.org/officeDocument/2006/relationships/md" Target="../redoc/physcraper_ms.knit.md"/><Relationship Id="rId67" Type="http://schemas.openxmlformats.org/officeDocument/2006/relationships/md" Target="../redoc/physcraper_ms.utf8.md"/><Relationship Id="rId68" Type="http://schemas.openxmlformats.org/officeDocument/2006/relationships/yml" Target="../redoc/physcraper_ms.codelist.yml"/><Relationship Id="rId69" Type="http://schemas.openxmlformats.org/officeDocument/2006/relationships/Rmd" Target="../redoc/physcraper_ms.preprocessed.Rmd"/><Relationship Id="rId70" Type="http://schemas.openxmlformats.org/officeDocument/2006/relationships/Rmd" Target="../redoc/physcraper_ms.roundtrip.Rmd"/><Relationship Id="rId71"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29" Type="http://schemas.openxmlformats.org/officeDocument/2006/relationships/hyperlink" Target="http://datadryad.org/" TargetMode="External"/><Relationship Id="rId60" Type="http://schemas.openxmlformats.org/officeDocument/2006/relationships/hyperlink" Target="https://doi.org/10.1080/10635150802158688" TargetMode="External"/><Relationship Id="rId57" Type="http://schemas.openxmlformats.org/officeDocument/2006/relationships/hyperlink" Target="https://doi.org/10.1093/bioinformatics/btv276" TargetMode="External"/><Relationship Id="rId55" Type="http://schemas.openxmlformats.org/officeDocument/2006/relationships/hyperlink" Target="https://doi.org/10.1093/nar/gkh340" TargetMode="External"/><Relationship Id="rId64" Type="http://schemas.openxmlformats.org/officeDocument/2006/relationships/hyperlink" Target="https://doi.org/10.1093/sysbio/sys025" TargetMode="External"/><Relationship Id="rId53" Type="http://schemas.openxmlformats.org/officeDocument/2006/relationships/hyperlink" Target="https://doi.org/10.1098/rsbl.2012.0331" TargetMode="External"/><Relationship Id="rId22" Type="http://schemas.openxmlformats.org/officeDocument/2006/relationships/hyperlink" Target="https://github.com/McTavishLab/physcraper" TargetMode="External"/><Relationship Id="rId31" Type="http://schemas.openxmlformats.org/officeDocument/2006/relationships/hyperlink" Target="https://github.com/TreeBASE/supertreebase" TargetMode="External"/><Relationship Id="rId30" Type="http://schemas.openxmlformats.org/officeDocument/2006/relationships/hyperlink" Target="https://treebase.org/" TargetMode="External"/><Relationship Id="rId46" Type="http://schemas.openxmlformats.org/officeDocument/2006/relationships/hyperlink" Target="https://treebase.org/treebase-web/search/study/matrices.html?id=12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University of California, Merced; Martha Kandziora, University of California, Merced; Emily Jane McTavish, University of California, Merced</dc:creator>
  <cp:keywords/>
  <dcterms:created xsi:type="dcterms:W3CDTF">2020-05-12T21:28:02Z</dcterms:created>
  <dcterms:modified xsi:type="dcterms:W3CDTF">2020-05-12T14:28:03Z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