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logo" descr="Logo de TILCOR" title="Logo TILC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TILCOR</w:t>
      </w:r>
    </w:p>
    <w:p>
      <w:pPr>
        <w:spacing w:after="500"/>
        <w:jc w:val="center"/>
      </w:pPr>
      <w:r>
        <w:rPr>
          <w:rFonts w:ascii="Arial" w:cs="Arial" w:eastAsia="Arial" w:hAnsi="Arial"/>
          <w:color w:val="1E8449"/>
          <w:sz w:val="40"/>
          <w:szCs w:val="40"/>
        </w:rPr>
        <w:t xml:space="preserve">Manual de marca</w:t>
      </w: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21"/>
          <w:szCs w:val="21"/>
        </w:rPr>
        <w:t xml:space="preserve">Sistema de Gestión Avícola — TILCOR S.A.S., Córdoba</w:t>
      </w: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21"/>
          <w:szCs w:val="21"/>
        </w:rPr>
        <w:t xml:space="preserve">Trabajo Práctico Integrador — Instancia Evaluativa 2 · Entregable B.4</w:t>
      </w:r>
    </w:p>
    <w:p>
      <w:pPr>
        <w:spacing w:after="40" w:before="700"/>
        <w:jc w:val="center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Carnielli, Matías · Bacari, Fernando</w:t>
      </w:r>
    </w:p>
    <w:p>
      <w:pPr>
        <w:jc w:val="center"/>
      </w:pPr>
      <w:r>
        <w:rPr>
          <w:rFonts w:ascii="Arial" w:cs="Arial" w:eastAsia="Arial" w:hAnsi="Arial"/>
          <w:color w:val="5D6D7E"/>
          <w:sz w:val="21"/>
          <w:szCs w:val="21"/>
        </w:rPr>
        <w:t xml:space="preserve">Analistas en Sistemas de Información — IES Córdoba ·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Esencia de la marca</w:t>
      </w:r>
    </w:p>
    <w:p>
      <w:pPr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TILCOR es el nombre del sistema de gestión avícola desarrollado para TILCOR S.A.S., una empresa de Córdoba que cría y produce con dos líneas genéticas: Lohmann Brown-Classic y LSL-Classic. Este manual fija cómo se ve y cómo habla la marca, para que la aplicación, los documentos y las presentaciones se reconozcan como parte de un mismo producto.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980B9"/>
          <w:sz w:val="25"/>
          <w:szCs w:val="25"/>
        </w:rPr>
        <w:t xml:space="preserve">Personalidad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Confiable: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el sistema maneja datos de producción, mortalidad y facturación; la interfaz transmite orden y exactitud.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Práctica: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pensado para uso diario en el galpón, con pantallas simples y acciones claras.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Seria y cercana: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el azul aporta seriedad y el verde remite al campo y al crecimiento.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980B9"/>
          <w:sz w:val="25"/>
          <w:szCs w:val="25"/>
        </w:rPr>
        <w:t xml:space="preserve">Tono de voz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 escribe en español rioplatense neutro, en frases cortas y con verbos de acción ("Registrar lote", "Ver alertas").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Las alertas dicen qué pasó y qué hacer: "Mortalidad fuera de rango en el Lote 12. Revisar el galpón".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No se usan tecnicismos innecesarios ni mayúsculas sostenidas, salvo en etiquetas cortas de datos.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Logo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980B9"/>
          <w:sz w:val="25"/>
          <w:szCs w:val="25"/>
        </w:rPr>
        <w:t xml:space="preserve">Construcción</w:t>
      </w:r>
    </w:p>
    <w:p>
      <w:pPr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El logo es un ícono cuadrado de esquinas redondeadas con una letra T blanca. A la derecha de la T, dos círculos superpuestos forman la silueta de un pollito. El fondo se divide en dos campos: Azul TILCOR arriba, que representa la tecnología y la gestión, y Verde TILCOR abajo, que representa la producción y el campo.</w:t>
      </w:r>
    </w:p>
    <w:p>
      <w:pPr>
        <w:spacing w:after="120" w:before="120"/>
        <w:jc w:val="center"/>
      </w:pPr>
      <w:r>
        <w:drawing>
          <wp:inline distT="0" distB="0" distL="0" distR="0">
            <wp:extent cx="1619250" cy="1619250"/>
            <wp:effectExtent t="0" r="0" b="0" l="0"/>
            <wp:docPr id="1" name="logo" descr="Logo de TILCOR" title="Logo TILC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Logo TILCOR — versión principal (archivos icon-512.png e icon-192.png)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980B9"/>
          <w:sz w:val="25"/>
          <w:szCs w:val="25"/>
        </w:rPr>
        <w:t xml:space="preserve">Versiones y tamaños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638"/>
      </w:tblGrid>
      <w:tr>
        <w:trPr>
          <w:tblHeader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Tamaño</w:t>
            </w:r>
          </w:p>
        </w:tc>
        <w:tc>
          <w:tcPr>
            <w:tcW w:type="dxa" w:w="4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icon-512.png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512 × 512 px</w:t>
            </w:r>
          </w:p>
        </w:tc>
        <w:tc>
          <w:tcPr>
            <w:tcW w:type="dxa" w:w="4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Pantalla de inicio, portadas, presentaciones y documentos</w:t>
            </w:r>
          </w:p>
        </w:tc>
      </w:tr>
      <w:t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icon-192.png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192 × 192 px</w:t>
            </w:r>
          </w:p>
        </w:tc>
        <w:tc>
          <w:tcPr>
            <w:tcW w:type="dxa" w:w="4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Ícono de la aplicación instalada (PWA) y pestaña del navegador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Tamaños de referencia (96, 48 y 24 px):</w:t>
      </w:r>
    </w:p>
    <w:p>
      <w:pPr>
        <w:spacing w:after="160"/>
      </w:pPr>
      <w:r>
        <w:drawing>
          <wp:inline distT="0" distB="0" distL="0" distR="0">
            <wp:extent cx="914400" cy="914400"/>
            <wp:effectExtent t="0" r="0" b="0" l="0"/>
            <wp:docPr id="1" name="logo" descr="Logo de TILCOR" title="Logo TILC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1A202C"/>
          <w:sz w:val="21"/>
          <w:szCs w:val="21"/>
        </w:rPr>
        <w:t xml:space="preserve">     </w:t>
      </w:r>
      <w:r>
        <w:drawing>
          <wp:inline distT="0" distB="0" distL="0" distR="0">
            <wp:extent cx="457200" cy="457200"/>
            <wp:effectExtent t="0" r="0" b="0" l="0"/>
            <wp:docPr id="1" name="logo" descr="Logo de TILCOR" title="Logo TILC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1A202C"/>
          <w:sz w:val="21"/>
          <w:szCs w:val="21"/>
        </w:rPr>
        <w:t xml:space="preserve">     </w:t>
      </w:r>
      <w:r>
        <w:drawing>
          <wp:inline distT="0" distB="0" distL="0" distR="0">
            <wp:extent cx="228600" cy="228600"/>
            <wp:effectExtent t="0" r="0" b="0" l="0"/>
            <wp:docPr id="1" name="logo" descr="Logo de TILCOR" title="Logo TILC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980B9"/>
          <w:sz w:val="25"/>
          <w:szCs w:val="25"/>
        </w:rPr>
        <w:t xml:space="preserve">Reglas de uso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Espacio libre: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dejar alrededor del logo un espacio libre igual a la mitad de su ancho. No colocar texto ni imágenes dentro de esa zona.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Tamaño mínimo: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24 px en pantalla o 10 mm impreso. Por debajo de ese tamaño la T y el pollito dejan de distinguirse.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Fondos permitidos: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sobre blanco o sobre Gris fondo. En fondos de color, usar el logo completo sin recortar sus esquinas.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980B9"/>
          <w:sz w:val="25"/>
          <w:szCs w:val="25"/>
        </w:rPr>
        <w:t xml:space="preserve">Usos incorrectos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Estirar, comprimir o rotar el logo.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Cambiar los colores de los campos azul y verde, o invertirlos.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Agregar sombras, brillos, contornos o efectos.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Colocarlo sobre fotografías o fondos que le quiten contraste.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Reemplazar la T o separar el pollito del resto del ícono.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Paleta de color</w:t>
      </w:r>
    </w:p>
    <w:p>
      <w:pPr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Los colores son los definidos en la hoja de estilos de la aplicación (variables CSS), por lo que el manual y el producto coinciden. El Azul TILCOR y el Verde TILCOR son los colores de marca; los demás cumplen una función de estado o de apoyo.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1150"/>
        <w:gridCol w:w="1500"/>
        <w:gridCol w:w="1000"/>
        <w:gridCol w:w="3188"/>
      </w:tblGrid>
      <w:tr>
        <w:trPr>
          <w:tblHeader/>
        </w:trPr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11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RGB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1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Azul TILCOR</w:t>
            </w:r>
          </w:p>
        </w:tc>
        <w:tc>
          <w:tcPr>
            <w:tcW w:type="dxa" w:w="11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#1A5276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26, 82, 118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--bd</w:t>
            </w:r>
          </w:p>
        </w:tc>
        <w:tc>
          <w:tcPr>
            <w:tcW w:type="dxa" w:w="31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Color principal: encabezados, botones primarios, fondo del logo, barra superior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2980B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Azul medio</w:t>
            </w:r>
          </w:p>
        </w:tc>
        <w:tc>
          <w:tcPr>
            <w:tcW w:type="dxa" w:w="11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#2980B9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41, 128, 185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--bm</w:t>
            </w:r>
          </w:p>
        </w:tc>
        <w:tc>
          <w:tcPr>
            <w:tcW w:type="dxa" w:w="31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Acentos, enlaces, foco de campos, estados activos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6EA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Azul claro</w:t>
            </w:r>
          </w:p>
        </w:tc>
        <w:tc>
          <w:tcPr>
            <w:tcW w:type="dxa" w:w="11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#D6EAF8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214, 234, 248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--bl</w:t>
            </w:r>
          </w:p>
        </w:tc>
        <w:tc>
          <w:tcPr>
            <w:tcW w:type="dxa" w:w="31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Fondos suaves, chips informativos, filas resaltadas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844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Verde TILCOR</w:t>
            </w:r>
          </w:p>
        </w:tc>
        <w:tc>
          <w:tcPr>
            <w:tcW w:type="dxa" w:w="11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#1E8449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30, 132, 73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--gn</w:t>
            </w:r>
          </w:p>
        </w:tc>
        <w:tc>
          <w:tcPr>
            <w:tcW w:type="dxa" w:w="31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Color secundario: franja del logo, acciones de confirmación, estado correcto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45A3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Verde oscuro</w:t>
            </w:r>
          </w:p>
        </w:tc>
        <w:tc>
          <w:tcPr>
            <w:tcW w:type="dxa" w:w="11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#145A32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20, 90, 50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--gd</w:t>
            </w:r>
          </w:p>
        </w:tc>
        <w:tc>
          <w:tcPr>
            <w:tcW w:type="dxa" w:w="31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Texto sobre fondos verde claro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5F5E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Verde claro</w:t>
            </w:r>
          </w:p>
        </w:tc>
        <w:tc>
          <w:tcPr>
            <w:tcW w:type="dxa" w:w="11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#D5F5E3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213, 245, 227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--gb</w:t>
            </w:r>
          </w:p>
        </w:tc>
        <w:tc>
          <w:tcPr>
            <w:tcW w:type="dxa" w:w="31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Fondo de indicadores en rango y mensajes de éxito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B7770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Ámbar</w:t>
            </w:r>
          </w:p>
        </w:tc>
        <w:tc>
          <w:tcPr>
            <w:tcW w:type="dxa" w:w="11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#B7770D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183, 119, 13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--am</w:t>
            </w:r>
          </w:p>
        </w:tc>
        <w:tc>
          <w:tcPr>
            <w:tcW w:type="dxa" w:w="31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Advertencias y valores en observación (viabilidad en el límite)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F9E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Ámbar claro</w:t>
            </w:r>
          </w:p>
        </w:tc>
        <w:tc>
          <w:tcPr>
            <w:tcW w:type="dxa" w:w="11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#FEF9E7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254, 249, 231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--ab</w:t>
            </w:r>
          </w:p>
        </w:tc>
        <w:tc>
          <w:tcPr>
            <w:tcW w:type="dxa" w:w="31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Fondo de alertas de atención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C0392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Rojo alerta</w:t>
            </w:r>
          </w:p>
        </w:tc>
        <w:tc>
          <w:tcPr>
            <w:tcW w:type="dxa" w:w="11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#C0392B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192, 57, 43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--rd</w:t>
            </w:r>
          </w:p>
        </w:tc>
        <w:tc>
          <w:tcPr>
            <w:tcW w:type="dxa" w:w="31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Alertas críticas, mortalidad fuera de rango, errores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DBD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Rojo claro</w:t>
            </w:r>
          </w:p>
        </w:tc>
        <w:tc>
          <w:tcPr>
            <w:tcW w:type="dxa" w:w="11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#FADBD8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250, 219, 216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--rb</w:t>
            </w:r>
          </w:p>
        </w:tc>
        <w:tc>
          <w:tcPr>
            <w:tcW w:type="dxa" w:w="31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Fondo de alertas críticas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5D6D7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Gris texto</w:t>
            </w:r>
          </w:p>
        </w:tc>
        <w:tc>
          <w:tcPr>
            <w:tcW w:type="dxa" w:w="11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#5D6D7E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93, 109, 126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--gy</w:t>
            </w:r>
          </w:p>
        </w:tc>
        <w:tc>
          <w:tcPr>
            <w:tcW w:type="dxa" w:w="31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Texto secundario, etiquetas, íconos inactivos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0F3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Gris fondo</w:t>
            </w:r>
          </w:p>
        </w:tc>
        <w:tc>
          <w:tcPr>
            <w:tcW w:type="dxa" w:w="11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#F0F3F7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240, 243, 247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--gl</w:t>
            </w:r>
          </w:p>
        </w:tc>
        <w:tc>
          <w:tcPr>
            <w:tcW w:type="dxa" w:w="31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Fondo general de la aplicación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Gris borde</w:t>
            </w:r>
          </w:p>
        </w:tc>
        <w:tc>
          <w:tcPr>
            <w:tcW w:type="dxa" w:w="11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#E2E8F0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226, 232, 240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--gm</w:t>
            </w:r>
          </w:p>
        </w:tc>
        <w:tc>
          <w:tcPr>
            <w:tcW w:type="dxa" w:w="31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Bordes, separadores, campos deshabilitados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202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Tinta</w:t>
            </w:r>
          </w:p>
        </w:tc>
        <w:tc>
          <w:tcPr>
            <w:tcW w:type="dxa" w:w="11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#1A202C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26, 32, 44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--bk</w:t>
            </w:r>
          </w:p>
        </w:tc>
        <w:tc>
          <w:tcPr>
            <w:tcW w:type="dxa" w:w="31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Texto principal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980B9"/>
          <w:sz w:val="25"/>
          <w:szCs w:val="25"/>
        </w:rPr>
        <w:t xml:space="preserve">Color con significado</w:t>
      </w:r>
    </w:p>
    <w:p>
      <w:pPr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Los colores de estado son los mismos en toda la aplicación y no se usan con otro fin: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Verde: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viabilidad y producción dentro de lo esperado, registro guardado.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Ámbar: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valor en observación, cerca del límite.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Rojo: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valor fuera de rango o error que requiere acción.</w:t>
      </w:r>
    </w:p>
    <w:p>
      <w:pPr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El color nunca es el único indicador: cada estado acompaña al color con un texto o un ícono, para que se entienda también en pantallas con poco brillo o con daltonismo.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980B9"/>
          <w:sz w:val="25"/>
          <w:szCs w:val="25"/>
        </w:rPr>
        <w:t xml:space="preserve">Contraste</w:t>
      </w:r>
    </w:p>
    <w:p>
      <w:pPr>
        <w:keepNext/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 calculó el contraste de las combinaciones principales con la fórmula de la guía WCAG 2.1. El mínimo recomendado es 4,5 : 1 para texto normal y 3 : 1 para texto grande.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400"/>
        <w:gridCol w:w="1900"/>
        <w:gridCol w:w="3238"/>
      </w:tblGrid>
      <w:tr>
        <w:trPr>
          <w:tblHeader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Combinación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Contraste</w:t>
            </w:r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3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Blanco sobre Azul TILCOR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8.36 : 1</w:t>
            </w:r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AAA</w:t>
            </w:r>
          </w:p>
        </w:tc>
        <w:tc>
          <w:tcPr>
            <w:tcW w:type="dxa" w:w="3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Botón primario, encabezados</w:t>
            </w:r>
          </w:p>
        </w:tc>
      </w:tr>
      <w:t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Blanco sobre Verde TILCOR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4.72 : 1</w:t>
            </w:r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AA</w:t>
            </w:r>
          </w:p>
        </w:tc>
        <w:tc>
          <w:tcPr>
            <w:tcW w:type="dxa" w:w="3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Botón de confirmación</w:t>
            </w:r>
          </w:p>
        </w:tc>
      </w:tr>
      <w:t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Blanco sobre Azul medio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4.30 : 1</w:t>
            </w:r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Solo texto grande</w:t>
            </w:r>
          </w:p>
        </w:tc>
        <w:tc>
          <w:tcPr>
            <w:tcW w:type="dxa" w:w="3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Acentos sobre color (texto grande)</w:t>
            </w:r>
          </w:p>
        </w:tc>
      </w:tr>
      <w:t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Tinta sobre Gris fondo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14.66 : 1</w:t>
            </w:r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AAA</w:t>
            </w:r>
          </w:p>
        </w:tc>
        <w:tc>
          <w:tcPr>
            <w:tcW w:type="dxa" w:w="3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Texto general de la app</w:t>
            </w:r>
          </w:p>
        </w:tc>
      </w:tr>
      <w:t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Gris texto sobre Blanco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5.31 : 1</w:t>
            </w:r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AA</w:t>
            </w:r>
          </w:p>
        </w:tc>
        <w:tc>
          <w:tcPr>
            <w:tcW w:type="dxa" w:w="3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Etiquetas y texto secundario</w:t>
            </w:r>
          </w:p>
        </w:tc>
      </w:tr>
      <w:t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Verde oscuro sobre Verde claro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7.09 : 1</w:t>
            </w:r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AAA</w:t>
            </w:r>
          </w:p>
        </w:tc>
        <w:tc>
          <w:tcPr>
            <w:tcW w:type="dxa" w:w="3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Indicador en rango</w:t>
            </w:r>
          </w:p>
        </w:tc>
      </w:tr>
      <w:t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Ámbar sobre Ámbar claro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3.52 : 1</w:t>
            </w:r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Solo texto grande</w:t>
            </w:r>
          </w:p>
        </w:tc>
        <w:tc>
          <w:tcPr>
            <w:tcW w:type="dxa" w:w="3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Indicador en observación</w:t>
            </w:r>
          </w:p>
        </w:tc>
      </w:tr>
      <w:t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Rojo alerta sobre Rojo claro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4.19 : 1</w:t>
            </w:r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Solo texto grande</w:t>
            </w:r>
          </w:p>
        </w:tc>
        <w:tc>
          <w:tcPr>
            <w:tcW w:type="dxa" w:w="3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Indicador crítico</w:t>
            </w:r>
          </w:p>
        </w:tc>
      </w:tr>
    </w:tbl>
    <w:p>
      <w:pPr>
        <w:spacing w:before="120"/>
      </w:pPr>
    </w:p>
    <w:p>
      <w:pPr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Las combinaciones que quedan en "solo texto grande" no deben usarse para texto chico. En esos casos conviene usar el Azul TILCOR o el color oscuro del mismo tono.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Tipografía</w:t>
      </w:r>
    </w:p>
    <w:p>
      <w:pPr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 aplicación usa la tipografía del sistema operativo del dispositivo, en este orden: fuente del sistema (San Francisco en iPhone y Mac), Segoe UI en Windows y Arial como alternativa. Así carga más rápido y funciona sin conexión, algo importante en un galpón con señal inestable.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2100"/>
        <w:gridCol w:w="3738"/>
      </w:tblGrid>
      <w:tr>
        <w:trPr>
          <w:tblHeader/>
        </w:trP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Tamaño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3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Número de KPI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24–28 px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Negrita</w:t>
            </w:r>
          </w:p>
        </w:tc>
        <w:tc>
          <w:tcPr>
            <w:tcW w:type="dxa" w:w="3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Cifras grandes del dashboard</w:t>
            </w:r>
          </w:p>
        </w:tc>
      </w:tr>
      <w:t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Título de pantalla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19–21 px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Negrita</w:t>
            </w:r>
          </w:p>
        </w:tc>
        <w:tc>
          <w:tcPr>
            <w:tcW w:type="dxa" w:w="3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Encabezado de cada módulo</w:t>
            </w:r>
          </w:p>
        </w:tc>
      </w:tr>
      <w:t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Subtítulo / tarjeta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15–17 px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Seminegrita</w:t>
            </w:r>
          </w:p>
        </w:tc>
        <w:tc>
          <w:tcPr>
            <w:tcW w:type="dxa" w:w="3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Título de tarjetas y secciones</w:t>
            </w:r>
          </w:p>
        </w:tc>
      </w:tr>
      <w:t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Texto base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14 px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Normal</w:t>
            </w:r>
          </w:p>
        </w:tc>
        <w:tc>
          <w:tcPr>
            <w:tcW w:type="dxa" w:w="3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Contenido general y campos</w:t>
            </w:r>
          </w:p>
        </w:tc>
      </w:tr>
      <w:t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Texto secundario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12–13 px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Normal</w:t>
            </w:r>
          </w:p>
        </w:tc>
        <w:tc>
          <w:tcPr>
            <w:tcW w:type="dxa" w:w="3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Descripciones, filas de tabla</w:t>
            </w:r>
          </w:p>
        </w:tc>
      </w:tr>
      <w:t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Etiqueta / dato menor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9–11 px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Mayúsculas o seminegrita</w:t>
            </w:r>
          </w:p>
        </w:tc>
        <w:tc>
          <w:tcPr>
            <w:tcW w:type="dxa" w:w="3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Etiquetas de KPI, badges, pie de datos</w:t>
            </w:r>
          </w:p>
        </w:tc>
      </w:tr>
    </w:tbl>
    <w:p>
      <w:pPr>
        <w:spacing w:before="120"/>
      </w:pPr>
    </w:p>
    <w:p>
      <w:pPr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En documentos y presentaciones fuera de la aplicación se usa Arial, para que se vea igual en cualquier computadora.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Componentes de interfaz</w:t>
      </w:r>
    </w:p>
    <w:p>
      <w:pPr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Estos componentes se repiten en todos los módulos. Respetarlos mantiene la aplicación coherente y reduce el tiempo de aprendizaje de los usuarios.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Característica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Tarjetas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Fondo blanco, radio 14 px, sombra suave (0 1px 3px y 0 4px 16px al 6 % de negro).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Botón primario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Fondo Azul TILCOR, texto blanco, radio 10 px, sombra azul. Una sola acción primaria por pantalla.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Botón de confirmación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Fondo Verde TILCOR, texto blanco, radio 10 px. Para guardar o confirmar un registro.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Botón pequeño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Mismo estilo con relleno de 6 × 12 px y texto de 12 px, para acciones dentro de filas.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Campos de formulario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Radio 10 px, borde Gris borde; al enfocar, borde Azul medio con halo del 12 %.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Tarjeta de KPI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Ícono, etiqueta en mayúsculas, valor grande y variación con color: verde sube, rojo baja, gris neutral, ámbar en observación.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Badges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Forma de píldora (radio 20 px), texto de 10 px, fondo claro y texto oscuro del mismo tono.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Barra de navegación inferior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Fondo blanco con sombra hacia arriba; la sección activa se marca en Azul medio.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980B9"/>
          <w:sz w:val="25"/>
          <w:szCs w:val="25"/>
        </w:rPr>
        <w:t xml:space="preserve">Principios de diseño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Móvil primero: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las pantallas se diseñan primero para el celular, y se ensanchan en tablet y escritorio.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Una acción principal: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cada pantalla tiene una acción principal, la más visible.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Lo importante primero: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los datos críticos (mortalidad, viabilidad, alertas) van arriba y con color de estado.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Funciona sin señal: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la interfaz es una aplicación web instalable (PWA) y debe seguir siendo usable sin conexión.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Aplicación de la marca</w:t>
      </w:r>
    </w:p>
    <w:p>
      <w:pPr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Para que los documentos y las presentaciones del proyecto sean coherentes con la aplicación: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Usar el Azul TILCOR en títulos y portadas, y el Verde TILCOR para destacar cifras positivas o llamados a la acción.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Colocar el logo en la portada de cada entregable, con el nombre del sistema debajo.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Tablas con encabezado en Azul TILCOR y texto blanco, y filas alternas en Gris fondo.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Mantener la misma paleta en las diapositivas de la defensa.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980B9"/>
          <w:sz w:val="25"/>
          <w:szCs w:val="25"/>
        </w:rPr>
        <w:t xml:space="preserve">Pendientes de unificación</w:t>
      </w:r>
    </w:p>
    <w:p>
      <w:pPr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 presentación de la defensa usa un azul claro (#2E86C1) que difiere levemente del Azul medio de la aplicación (#2980B9). Conviene unificarlo al valor de la aplicación en la próxima versión.</w:t>
      </w:r>
    </w:p>
    <w:p>
      <w:pPr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Además, el texto ámbar sobre ámbar claro (3,52 : 1) usado en los badges de observación no llega a 4,5 : 1. Se recomienda oscurecer el texto a un ámbar más profundo, por ejemplo #8A5A00.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980B9"/>
          <w:sz w:val="25"/>
          <w:szCs w:val="25"/>
        </w:rPr>
        <w:t xml:space="preserve">Archivos de marca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frontend/icon-512.png y frontend/icon-192.png: logo en PNG.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frontend/manifest.json: nombre, color de tema (#1A5276) y color de fondo de la aplicación instalada.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frontend/index.html: variables de color y estilos de componentes.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7"/>
        <w:szCs w:val="17"/>
      </w:rPr>
      <w:t xml:space="preserve">Página </w:t>
    </w:r>
    <w:r>
      <w:rPr>
        <w:rFonts w:ascii="Arial" w:cs="Arial" w:eastAsia="Arial" w:hAnsi="Arial"/>
        <w:color w:val="5D6D7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8449" w:sz="6" w:space="4"/>
      </w:pBdr>
      <w:jc w:val="right"/>
    </w:pPr>
    <w:r>
      <w:rPr>
        <w:rFonts w:ascii="Arial" w:cs="Arial" w:eastAsia="Arial" w:hAnsi="Arial"/>
        <w:color w:val="5D6D7E"/>
        <w:sz w:val="17"/>
        <w:szCs w:val="17"/>
      </w:rPr>
      <w:t xml:space="preserve">TILCOR · Manual de marca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980B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0c9f06a5277d6b44bda94bd9749168aea444a56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marca TILCOR</dc:title>
  <dc:creator>Carnielli, Matías · Bacari, Fernando</dc:creator>
  <cp:lastModifiedBy>Un-named</cp:lastModifiedBy>
  <cp:revision>1</cp:revision>
  <dcterms:created xsi:type="dcterms:W3CDTF">2026-10-22T12:12:40.289Z</dcterms:created>
  <dcterms:modified xsi:type="dcterms:W3CDTF">2026-10-22T12:12:40.289Z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