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A5276"/>
          <w:sz w:val="40"/>
          <w:szCs w:val="40"/>
        </w:rPr>
        <w:t xml:space="preserve">AVÍCOLA TILCOR S.A.S.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Avillia 1388, Colonia Tirolesa, Córdoba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A5276"/>
          <w:sz w:val="48"/>
          <w:szCs w:val="48"/>
        </w:rPr>
        <w:t xml:space="preserve">CONTRATO DE ALCANCE</w:t>
      </w:r>
    </w:p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i/>
          <w:iCs/>
          <w:sz w:val="28"/>
          <w:szCs w:val="28"/>
        </w:rPr>
        <w:t xml:space="preserve">Sistema de Gestión Avícola — TILCOR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PROVEEDOR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4680"/>
            <w:shd w:fill="FDFE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Carnielli, Matías
Bacari, Fernando
Analistas en Sistemas de Información — IES Córdoba</w:t>
            </w:r>
          </w:p>
        </w:tc>
        <w:tc>
          <w:tcPr>
            <w:tcW w:type="dxa" w:w="4680"/>
            <w:shd w:fill="FDFE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Avícola TILCOR S.A.S.
Representante: Propietario / Gerente
Avillia 1388, Colonia Tirolesa, Córdoba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77777"/>
          <w:sz w:val="20"/>
          <w:szCs w:val="20"/>
        </w:rPr>
        <w:t xml:space="preserve">Versión 1.0  —  Córdoba, octubre de 2026</w:t>
      </w:r>
    </w:p>
    <w:p>
      <w:r>
        <w:br w:type="pag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Índice</w:t>
      </w:r>
    </w:p>
    <w:p>
      <w:pPr>
        <w:spacing w:after="60" w:before="80"/>
      </w:pPr>
      <w:r>
        <w:rPr>
          <w:rFonts w:ascii="Calibri" w:cs="Calibri" w:eastAsia="Calibri" w:hAnsi="Calibri"/>
          <w:sz w:val="22"/>
          <w:szCs w:val="22"/>
        </w:rPr>
        <w:t xml:space="preserve">1.  Partes y contexto .....................................................  3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2.  Objetivo del proyecto y beneficios esperados ......................  3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3.  Alcance incluido .....................................................  4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4.  Alcance excluido ....................................................   5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5.  Supuestos y dependencias .............................................  5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6.  Entregables y criterios de aceptación ................................  6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7.  Cronograma de alto nivel .............................................  7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8.  Gestión de cambios ..................................................   7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9.  Restricciones .......................................................   8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10. Firmas ...............................................................  8</w:t>
      </w:r>
    </w:p>
    <w:p>
      <w:r>
        <w:br w:type="pag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1.  Partes y contexto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presente documento formaliza el alcance del proyecto de desarrollo de software denominado Sistema de Gestión Avícola TILCOR, acordado entre: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8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5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Datos</w:t>
            </w:r>
          </w:p>
        </w:tc>
      </w:tr>
      <w:tr>
        <w:tc>
          <w:tcPr>
            <w:tcW w:type="dxa" w:w="18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Proveedor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Carnielli, Matías — Bacari, Fernando
Analistas en Sistemas de Información, IES Córdoba
Correo: equipo.tilcor@ies.edu.ar</w:t>
            </w:r>
          </w:p>
        </w:tc>
      </w:tr>
      <w:tr>
        <w:tc>
          <w:tcPr>
            <w:tcW w:type="dxa" w:w="18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Avícola TILCOR S.A.S.
Responsable: Propietario / Gerente
Avillia 1388, Colonia Tirolesa, Córdoba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contrato describe qué se desarrollará, bajo qué condiciones y con qué criterios de aceptación. Cualquier funcionalidad o módulo no incluido en la Sección 3 queda automáticamente fuera del alcance de esta etapa.</w:t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2.  Objetivo del proyecto y beneficios esperados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Avícola TILCOR gestiona actualmente su producción con cuatro herramientas desconectadas: planillas de papel por galpón, el sistema de facturación Don Gestión, la aplicación móvil Gallinero (sensores IoT) y cuadernos de mortalidad. Esta fragmentación provoca ausencia de alertas automáticas, pérdida de información crítica y entre 6 y 8 horas semanales de consolidación manual de datos por parte del supervisor productivo.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objetivo del proyecto es sustituir ese proceso manual por un sistema web-móvil integrado que centralice la información productiva, dispare alertas automáticas ante desvíos y genere reportes de rentabilidad por lote sin intervención manual.</w:t>
      </w:r>
    </w:p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Beneficios comprometidos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4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39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de éxito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Alertas automáticas de viabilidad y mortalidad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Notificación en &lt; 2 segundos del desvío</w:t>
            </w:r>
          </w:p>
        </w:tc>
      </w:tr>
      <w:tr>
        <w:tc>
          <w:tcPr>
            <w:tcW w:type="dxa" w:w="5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Reducción de carga manual del supervisor</w:t>
            </w:r>
          </w:p>
        </w:tc>
        <w:tc>
          <w:tcPr>
            <w:tcW w:type="dxa" w:w="39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6–8 h/sem a &lt; 1 h/sem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KPIs productivos en tiempo real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Disponible desde cualquier dispositivo</w:t>
            </w:r>
          </w:p>
        </w:tc>
      </w:tr>
      <w:tr>
        <w:tc>
          <w:tcPr>
            <w:tcW w:type="dxa" w:w="5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Integración con facturación Don Gestión</w:t>
            </w:r>
          </w:p>
        </w:tc>
        <w:tc>
          <w:tcPr>
            <w:tcW w:type="dxa" w:w="39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doble carga de datos de clientes/ventas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móvil offline para operarios de galpón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Funcional sin conectividad Wi-Fi interna</w:t>
            </w:r>
          </w:p>
        </w:tc>
      </w:tr>
    </w:tbl>
    <w:p>
      <w:r>
        <w:br w:type="pag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3.  Alcance incluido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Los siguientes módulos y funcionalidades están comprometidos en esta etapa del proyecto: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3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Funcionalidades incluidas</w:t>
            </w:r>
          </w:p>
        </w:tc>
      </w:tr>
      <w:tr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M1 — Gestión de lotes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Alta, seguimiento y cierre de lotes por galpón. Registro de línea genética, cantidad inicial y fechas.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M2 — Registro de producción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Ingreso diario de huevos producidos, mortalidad y consumo de alimento por operario. Formulario móvil offline.</w:t>
            </w:r>
          </w:p>
        </w:tc>
      </w:tr>
      <w:tr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M3 — Alertas automáticas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Detección de desvíos de viabilidad contra la tabla genética del fabricante. Notificaciones push en &lt; 2 segundos al supervisor productivo.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M4 — Panel IoT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Visualización en tiempo real de temperatura, humedad y caudal de agua provenientes de la app Gallinero vía MQTT/WebSocket.</w:t>
            </w:r>
          </w:p>
        </w:tc>
      </w:tr>
      <w:tr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M5 — Dashboard KPIs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Indicadores de postura, viabilidad, mortalidad y consumo por galpón y por lote. Comparativa entre líneas genéticas Lohmann Brown-Classic y LSL-Classic.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M6 — Historial IoT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de series temporales de sensores con TimescaleDB. Rangos configurables por fecha y galpón.</w:t>
            </w:r>
          </w:p>
        </w:tc>
      </w:tr>
      <w:tr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M7 — Reportes semanales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Generación automática de informe semanal por lote en formato PDF/CSV, con Celery.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M8 — Integración Don Gestión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Lectura de clientes y facturas emitidas mediante iframe + API REST de lectura. TILCOR mantiene Don Gestión para facturación; el sistema sólo consume datos.</w:t>
            </w:r>
          </w:p>
        </w:tc>
      </w:tr>
      <w:tr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M9 — Acceso veterinario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Perfil de sólo lectura con acceso al historial sanitario y alertas de mortalidad. Sin modificación de registros.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M10 — Facturación AFIP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Emisión de comprobantes electrónicos AFIP-WSFE vía Zeep/SOAP para ventas de huevos que no pasen por Don Gestión.</w:t>
            </w:r>
          </w:p>
        </w:tc>
      </w:tr>
      <w:tr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M11 — Control de roles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Cuatro perfiles: Propietario, Supervisor, Operario y Veterinario. Autenticación con JWT + bcrypt.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M12 — PWA móvil offline</w:t>
            </w:r>
          </w:p>
        </w:tc>
        <w:tc>
          <w:tcPr>
            <w:tcW w:type="dxa" w:w="63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Progressive Web App instalable en Android/iOS. Service Worker para funcionamiento sin conectividad. Sincronización al recuperar señal.</w:t>
            </w:r>
          </w:p>
        </w:tc>
      </w:tr>
    </w:tbl>
    <w:p>
      <w:r>
        <w:br w:type="pag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4.  Alcance excluido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Los siguientes elementos quedan expresamente fuera del alcance de esta etapa y no serán desarrollados ni entregados en los plazos acordados: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Reemplazo o migración del sistema Don Gestión. El sistema TILCOR se integra con Don Gestión, no lo sustituye.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Aplicación nativa para iOS o Android (la solución es una PWA instalable, no una app de tienda).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Módulo de compras o gestión de proveedores de alimento o medicamentos.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Gestión de recursos humanos (liquidación de sueldos, asistencia de personal).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Integración con otros sistemas de facturación distintos a Don Gestión y AFIP-WSFE.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Módulo de cría y recría (el sistema cubre producción de gallinas en postura, no etapas previas).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Soporte a más de 4 galpones adicionales en la primera versión (escalabilidad planificada para v2).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Inteligencia artificial o machine learning predictivo sobre series temporales de sensores.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Exportación de datos a sistemas de terceros distintos a los mencionados en el alcance incluido.</w:t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5.  Supuestos y dependencias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equipo asume las siguientes condiciones como válidas. Si alguna resulta incorrecta, el alcance deberá revisarse formalmente: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8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Supuesto / Dependencia</w:t>
            </w:r>
          </w:p>
        </w:tc>
        <w:tc>
          <w:tcPr>
            <w:tcW w:type="dxa" w:w="30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de confirmar</w:t>
            </w:r>
          </w:p>
        </w:tc>
      </w:tr>
      <w:tr>
        <w:tc>
          <w:tcPr>
            <w:tcW w:type="dxa" w:w="8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S1</w:t>
            </w:r>
          </w:p>
        </w:tc>
        <w:tc>
          <w:tcPr>
            <w:tcW w:type="dxa" w:w="55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app Gallinero expone datos de sensores vía MQTT (protocolo confirmado por el proveedor).</w:t>
            </w:r>
          </w:p>
        </w:tc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S2</w:t>
            </w:r>
          </w:p>
        </w:tc>
        <w:tc>
          <w:tcPr>
            <w:tcW w:type="dxa" w:w="55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 Gestión provee una API REST de lectura o acepta integración iframe sin restricciones de licencia.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8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S3</w:t>
            </w:r>
          </w:p>
        </w:tc>
        <w:tc>
          <w:tcPr>
            <w:tcW w:type="dxa" w:w="55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cliente provee un VPS Linux (Ubuntu 22.04+) con Docker instalado o posibilidad de instalarlo.</w:t>
            </w:r>
          </w:p>
        </w:tc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— semana 2</w:t>
            </w:r>
          </w:p>
        </w:tc>
      </w:tr>
      <w:tr>
        <w:tc>
          <w:tcPr>
            <w:tcW w:type="dxa" w:w="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S4</w:t>
            </w:r>
          </w:p>
        </w:tc>
        <w:tc>
          <w:tcPr>
            <w:tcW w:type="dxa" w:w="55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propietario cuenta con CUIT activo y certificado digital vigente para operar con AFIP-WSFE.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— semana 3</w:t>
            </w:r>
          </w:p>
        </w:tc>
      </w:tr>
      <w:tr>
        <w:tc>
          <w:tcPr>
            <w:tcW w:type="dxa" w:w="8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S5</w:t>
            </w:r>
          </w:p>
        </w:tc>
        <w:tc>
          <w:tcPr>
            <w:tcW w:type="dxa" w:w="55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operarios cuentan con un smartphone Android o iOS con Chrome/Safari actualizado.</w:t>
            </w:r>
          </w:p>
        </w:tc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— semana 1</w:t>
            </w:r>
          </w:p>
        </w:tc>
      </w:tr>
      <w:tr>
        <w:tc>
          <w:tcPr>
            <w:tcW w:type="dxa" w:w="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S6</w:t>
            </w:r>
          </w:p>
        </w:tc>
        <w:tc>
          <w:tcPr>
            <w:tcW w:type="dxa" w:w="55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equipo de desarrollo cuenta con disponibilidad de 20 h/semana por integrante durante las 26 semanas.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Equipo</w:t>
            </w:r>
          </w:p>
        </w:tc>
      </w:tr>
      <w:tr>
        <w:tc>
          <w:tcPr>
            <w:tcW w:type="dxa" w:w="8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S7</w:t>
            </w:r>
          </w:p>
        </w:tc>
        <w:tc>
          <w:tcPr>
            <w:tcW w:type="dxa" w:w="55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cliente puede participar de una reunión de revisión de fase cada 4–6 semanas para validar los incrementos.</w:t>
            </w:r>
          </w:p>
        </w:tc>
        <w:tc>
          <w:tcPr>
            <w:tcW w:type="dxa" w:w="3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</w:tbl>
    <w:p>
      <w:r>
        <w:br w:type="pag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6.  Entregables y criterios de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2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41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 de aceptación</w:t>
            </w:r>
          </w:p>
        </w:tc>
        <w:tc>
          <w:tcPr>
            <w:tcW w:type="dxa" w:w="20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Prototipo navegable (PWA)</w:t>
            </w:r>
          </w:p>
        </w:tc>
        <w:tc>
          <w:tcPr>
            <w:tcW w:type="dxa" w:w="4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Pantallas principales navegables, estados vacío/carga/error, datos de ejemplo verosímiles, adaptado a móvil.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tcW w:type="dxa" w:w="32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con autenticación</w:t>
            </w:r>
          </w:p>
        </w:tc>
        <w:tc>
          <w:tcPr>
            <w:tcW w:type="dxa" w:w="41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REST funcional con JWT. Los 4 perfiles pueden iniciar sesión y acceden sólo a sus módulos autorizados.</w:t>
            </w:r>
          </w:p>
        </w:tc>
        <w:tc>
          <w:tcPr>
            <w:tcW w:type="dxa" w:w="2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3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M1–M5 operativos</w:t>
            </w:r>
          </w:p>
        </w:tc>
        <w:tc>
          <w:tcPr>
            <w:tcW w:type="dxa" w:w="4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producción, alertas automáticas y dashboard KPIs funcionando de extremo a extremo con datos reales.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3</w:t>
            </w:r>
          </w:p>
        </w:tc>
      </w:tr>
      <w:tr>
        <w:tc>
          <w:tcPr>
            <w:tcW w:type="dxa" w:w="32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IoT + historial (M4, M6)</w:t>
            </w:r>
          </w:p>
        </w:tc>
        <w:tc>
          <w:tcPr>
            <w:tcW w:type="dxa" w:w="41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Sensor data visible en &lt; 5 s tras la lectura MQTT. Consulta de historial con rango de fechas configurable.</w:t>
            </w:r>
          </w:p>
        </w:tc>
        <w:tc>
          <w:tcPr>
            <w:tcW w:type="dxa" w:w="2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4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Integración AFIP + Don Gestión (M8, M10)</w:t>
            </w:r>
          </w:p>
        </w:tc>
        <w:tc>
          <w:tcPr>
            <w:tcW w:type="dxa" w:w="4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Emisión de al menos un comprobante de prueba en homologación AFIP. Clientes de Don Gestión visibles en el sistema.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4</w:t>
            </w:r>
          </w:p>
        </w:tc>
      </w:tr>
      <w:tr>
        <w:tc>
          <w:tcPr>
            <w:tcW w:type="dxa" w:w="32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desplegado en VPS</w:t>
            </w:r>
          </w:p>
        </w:tc>
        <w:tc>
          <w:tcPr>
            <w:tcW w:type="dxa" w:w="41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Accesible desde URL pública por HTTPS. Tiempo de respuesta &lt; 2 s para operaciones habituales.</w:t>
            </w:r>
          </w:p>
        </w:tc>
        <w:tc>
          <w:tcPr>
            <w:tcW w:type="dxa" w:w="20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de usuario + documentación</w:t>
            </w:r>
          </w:p>
        </w:tc>
        <w:tc>
          <w:tcPr>
            <w:tcW w:type="dxa" w:w="4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por perfil de usuario entregado en PDF. Repositorio con README y docker-compose funcional.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5</w:t>
            </w:r>
          </w:p>
        </w:tc>
      </w:tr>
    </w:tbl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7.  Cronograma de alto nivel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4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Semanas</w:t>
            </w:r>
          </w:p>
        </w:tc>
        <w:tc>
          <w:tcPr>
            <w:tcW w:type="dxa" w:w="51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 principal</w:t>
            </w:r>
          </w:p>
        </w:tc>
        <w:tc>
          <w:tcPr>
            <w:tcW w:type="dxa" w:w="16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Hito de cierre</w:t>
            </w:r>
          </w:p>
        </w:tc>
      </w:tr>
      <w:tr>
        <w:tc>
          <w:tcPr>
            <w:tcW w:type="dxa" w:w="1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1</w:t>
            </w:r>
          </w:p>
        </w:tc>
        <w:tc>
          <w:tcPr>
            <w:tcW w:type="dxa" w:w="12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1–4</w:t>
            </w:r>
          </w:p>
        </w:tc>
        <w:tc>
          <w:tcPr>
            <w:tcW w:type="dxa" w:w="51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Análisis, prototipo de baja fidelidad, arquitectura base, configuración del entorno.</w:t>
            </w:r>
          </w:p>
        </w:tc>
        <w:tc>
          <w:tcPr>
            <w:tcW w:type="dxa" w:w="16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Contrato firmado + entorno listo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5–8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Diseño UX/UI, prototipo navegable, M1 Gestión de lotes, M2 Registro de producción.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 navegable al cliente</w:t>
            </w:r>
          </w:p>
        </w:tc>
      </w:tr>
      <w:tr>
        <w:tc>
          <w:tcPr>
            <w:tcW w:type="dxa" w:w="1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3</w:t>
            </w:r>
          </w:p>
        </w:tc>
        <w:tc>
          <w:tcPr>
            <w:tcW w:type="dxa" w:w="12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9–13</w:t>
            </w:r>
          </w:p>
        </w:tc>
        <w:tc>
          <w:tcPr>
            <w:tcW w:type="dxa" w:w="51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M3 Alertas, M5 Dashboard KPIs, M11 Roles y autenticación, backend completo.</w:t>
            </w:r>
          </w:p>
        </w:tc>
        <w:tc>
          <w:tcPr>
            <w:tcW w:type="dxa" w:w="16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Flujo completo de extremo a extremo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4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14–20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M4 Panel IoT, M6 Historial IoT, M7 Reportes, M8 Don Gestión, M9 Veterinario, M10 AFIP.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Integraciones externas validadas</w:t>
            </w:r>
          </w:p>
        </w:tc>
      </w:tr>
      <w:tr>
        <w:tc>
          <w:tcPr>
            <w:tcW w:type="dxa" w:w="1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 5</w:t>
            </w:r>
          </w:p>
        </w:tc>
        <w:tc>
          <w:tcPr>
            <w:tcW w:type="dxa" w:w="12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21–26</w:t>
            </w:r>
          </w:p>
        </w:tc>
        <w:tc>
          <w:tcPr>
            <w:tcW w:type="dxa" w:w="51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M12 PWA offline, despliegue en VPS, pruebas de aceptación, manual de usuario, documentación final.</w:t>
            </w:r>
          </w:p>
        </w:tc>
        <w:tc>
          <w:tcPr>
            <w:tcW w:type="dxa" w:w="16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en producción</w:t>
            </w:r>
          </w:p>
        </w:tc>
      </w:tr>
    </w:tbl>
    <w:p>
      <w:r>
        <w:br w:type="pag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8.  Gestión de cambios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Todo pedido de modificación al alcance comprometido en este contrato debe seguir el siguiente procedimiento: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El cliente o el equipo detecta la necesidad de un cambio y lo notifica por escrito (correo o mensaje en el tablero de gestión).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El equipo analiza el impacto en plazo, costo y riesgo en un plazo máximo de 3 días hábiles y emite una nota de cambio con la estimación correspondiente.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El cliente aprueba o rechaza la nota de cambio. Sin aprobación escrita, el cambio no se implementa.</w:t>
      </w:r>
    </w:p>
    <w:p>
      <w:pPr>
        <w:pStyle w:val="ListParagraph"/>
        <w:numPr>
          <w:ilvl w:val="0"/>
          <w:numId w:val="1"/>
        </w:numPr>
        <w:spacing w:after="60" w:before="60"/>
        <w:ind w:left="720" w:hanging="360"/>
      </w:pPr>
      <w:r>
        <w:rPr>
          <w:rFonts w:ascii="Calibri" w:cs="Calibri" w:eastAsia="Calibri" w:hAnsi="Calibri"/>
          <w:sz w:val="22"/>
          <w:szCs w:val="22"/>
        </w:rPr>
        <w:t xml:space="preserve">Los cambios aprobados se incorporan al contrato como adenda numerada y se reflejan en el tablero de gestión.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cambio de alcance no aprobado formalmente que se detecta ya implementado se considera trabajo adicional no comprometido y puede implicar ajuste de plazos.</w:t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9.  Restricciones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Dimensión</w:t>
            </w:r>
          </w:p>
        </w:tc>
        <w:tc>
          <w:tcPr>
            <w:tcW w:type="dxa" w:w="696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c>
          <w:tcPr>
            <w:tcW w:type="dxa" w:w="2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</w:t>
            </w:r>
          </w:p>
        </w:tc>
        <w:tc>
          <w:tcPr>
            <w:tcW w:type="dxa" w:w="69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proyecto debe completarse en 26 semanas calendario desde la firma de este contrato.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Presupuesto</w:t>
            </w:r>
          </w:p>
        </w:tc>
        <w:tc>
          <w:tcPr>
            <w:tcW w:type="dxa" w:w="69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presupuesto se encuentra detallado en el documento de Estrategia de Venta adjunto. No se contemplan costos de licencias de software privativo.</w:t>
            </w:r>
          </w:p>
        </w:tc>
      </w:tr>
      <w:tr>
        <w:tc>
          <w:tcPr>
            <w:tcW w:type="dxa" w:w="2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Tecnología</w:t>
            </w:r>
          </w:p>
        </w:tc>
        <w:tc>
          <w:tcPr>
            <w:tcW w:type="dxa" w:w="69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Stack: React.js (PWA), Python/Django (DRF), PostgreSQL + TimescaleDB, MQTT (Mosquitto), Docker + Nginx. No se admite cambio de stack sin nueva evaluación formal.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Normativa</w:t>
            </w:r>
          </w:p>
        </w:tc>
        <w:tc>
          <w:tcPr>
            <w:tcW w:type="dxa" w:w="69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debe cumplir con la normativa AFIP-WSFE para emisión de comprobantes electrónicos vigente en Argentina.</w:t>
            </w:r>
          </w:p>
        </w:tc>
      </w:tr>
      <w:tr>
        <w:tc>
          <w:tcPr>
            <w:tcW w:type="dxa" w:w="240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Conectividad</w:t>
            </w:r>
          </w:p>
        </w:tc>
        <w:tc>
          <w:tcPr>
            <w:tcW w:type="dxa" w:w="6960"/>
            <w:shd w:fill="F2F3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both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formularios de operario deben funcionar sin conexión a internet dentro del galpón y sincronizarse al recuperar señal.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1A5276" w:sz="6" w:space="1"/>
        </w:pBdr>
        <w:spacing w:after="150" w:before="400"/>
      </w:pPr>
      <w:r>
        <w:rPr>
          <w:rFonts w:ascii="Calibri" w:cs="Calibri" w:eastAsia="Calibri" w:hAnsi="Calibri"/>
          <w:b/>
          <w:bCs/>
          <w:color w:val="1A5276"/>
          <w:sz w:val="28"/>
          <w:szCs w:val="28"/>
        </w:rPr>
        <w:t xml:space="preserve">10. Firmas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Las partes declaran haber leído, comprendido y aceptado los términos del presente contrato.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Proveedor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468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80" w:before="80"/>
            </w:pPr>
            <w:r>
              <w:t xml:space="preserve"/>
            </w:r>
          </w:p>
          <w:p>
            <w:pPr>
              <w:spacing w:after="80" w:before="80"/>
            </w:pPr>
            <w:r>
              <w:t xml:space="preserve"/>
            </w:r>
          </w:p>
          <w:p>
            <w:pPr>
              <w:spacing w:after="80" w:before="8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___________________________________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Carnielli, Matías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Bacari, Fernando</w:t>
            </w:r>
          </w:p>
          <w:p>
            <w:pPr>
              <w:spacing w:after="80" w:before="80"/>
            </w:pPr>
            <w:r>
              <w:t xml:space="preserve"/>
            </w:r>
          </w:p>
        </w:tc>
        <w:tc>
          <w:tcPr>
            <w:tcW w:type="dxa" w:w="468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80" w:before="80"/>
            </w:pPr>
            <w:r>
              <w:t xml:space="preserve"/>
            </w:r>
          </w:p>
          <w:p>
            <w:pPr>
              <w:spacing w:after="80" w:before="80"/>
            </w:pPr>
            <w:r>
              <w:t xml:space="preserve"/>
            </w:r>
          </w:p>
          <w:p>
            <w:pPr>
              <w:spacing w:after="80" w:before="8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___________________________________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Propietario / Gerente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Avícola TILCOR S.A.S.</w:t>
            </w:r>
          </w:p>
          <w:p>
            <w:pPr>
              <w:spacing w:after="80" w:before="80"/>
            </w:pPr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Fecha: ______________________   Lugar: Córdoba, Argentina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2026-10-08T12:35:40.939Z</dcterms:created>
  <dcterms:modified xsi:type="dcterms:W3CDTF">2026-10-08T12:35:40.946Z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