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
      </w:pPr>
      <w:r>
        <w:t xml:space="preserve"/>
      </w:r>
    </w:p>
    <w:p>
      <w:pPr>
        <w:spacing w:after="60" w:before="60"/>
      </w:pPr>
      <w:r>
        <w:t xml:space="preserve"/>
      </w:r>
    </w:p>
    <w:p>
      <w:pPr>
        <w:spacing w:after="60" w:before="60"/>
      </w:pPr>
      <w:r>
        <w:t xml:space="preserve"/>
      </w:r>
    </w:p>
    <w:p>
      <w:pPr>
        <w:jc w:val="center"/>
      </w:pPr>
      <w:r>
        <w:rPr>
          <w:rFonts w:ascii="Calibri" w:cs="Calibri" w:eastAsia="Calibri" w:hAnsi="Calibri"/>
          <w:b/>
          <w:bCs/>
          <w:color w:val="1A5276"/>
          <w:sz w:val="40"/>
          <w:szCs w:val="40"/>
        </w:rPr>
        <w:t xml:space="preserve">SISTEMA DE GESTIÓN AVÍCOLA</w:t>
      </w:r>
    </w:p>
    <w:p>
      <w:pPr>
        <w:spacing w:after="200"/>
        <w:jc w:val="center"/>
      </w:pPr>
      <w:r>
        <w:rPr>
          <w:rFonts w:ascii="Calibri" w:cs="Calibri" w:eastAsia="Calibri" w:hAnsi="Calibri"/>
          <w:b/>
          <w:bCs/>
          <w:color w:val="1A5276"/>
          <w:sz w:val="40"/>
          <w:szCs w:val="40"/>
        </w:rPr>
        <w:t xml:space="preserve">TILCOR S.A.S.</w:t>
      </w:r>
    </w:p>
    <w:p>
      <w:pPr>
        <w:jc w:val="center"/>
      </w:pPr>
      <w:r>
        <w:rPr>
          <w:rFonts w:ascii="Calibri" w:cs="Calibri" w:eastAsia="Calibri" w:hAnsi="Calibri"/>
          <w:b/>
          <w:bCs/>
          <w:color w:val="2C3E50"/>
          <w:sz w:val="48"/>
          <w:szCs w:val="48"/>
        </w:rPr>
        <w:t xml:space="preserve">ESTRATEGIA DE VENTA</w:t>
      </w:r>
    </w:p>
    <w:p>
      <w:pPr>
        <w:spacing w:after="400" w:before="200"/>
        <w:jc w:val="center"/>
      </w:pPr>
      <w:r>
        <w:rPr>
          <w:rFonts w:ascii="Calibri" w:cs="Calibri" w:eastAsia="Calibri" w:hAnsi="Calibri"/>
          <w:i/>
          <w:iCs/>
          <w:color w:val="555555"/>
          <w:sz w:val="24"/>
          <w:szCs w:val="24"/>
        </w:rPr>
        <w:t xml:space="preserve">Propuesta comercial — octubre 2026</w:t>
      </w:r>
    </w:p>
    <w:p>
      <w:pPr>
        <w:jc w:val="center"/>
      </w:pPr>
      <w:r>
        <w:rPr>
          <w:rFonts w:ascii="Calibri" w:cs="Calibri" w:eastAsia="Calibri" w:hAnsi="Calibri"/>
          <w:b/>
          <w:bCs/>
          <w:sz w:val="22"/>
          <w:szCs w:val="22"/>
        </w:rPr>
        <w:t xml:space="preserve">Carnielli, Matías — Bacari, Fernando</w:t>
      </w:r>
    </w:p>
    <w:p>
      <w:pPr>
        <w:jc w:val="center"/>
      </w:pPr>
      <w:r>
        <w:rPr>
          <w:rFonts w:ascii="Calibri" w:cs="Calibri" w:eastAsia="Calibri" w:hAnsi="Calibri"/>
          <w:color w:val="555555"/>
          <w:sz w:val="22"/>
          <w:szCs w:val="22"/>
        </w:rPr>
        <w:t xml:space="preserve">Analistas en Sistemas de Información — IES Córdoba</w:t>
      </w:r>
    </w:p>
    <w:p>
      <w:r>
        <w:br w:type="page"/>
      </w:r>
    </w:p>
    <w:p>
      <w:pPr>
        <w:pBdr>
          <w:bottom w:val="single" w:color="1A5276" w:sz="6" w:space="1"/>
        </w:pBdr>
        <w:spacing w:after="150" w:before="400"/>
      </w:pPr>
      <w:r>
        <w:rPr>
          <w:rFonts w:ascii="Calibri" w:cs="Calibri" w:eastAsia="Calibri" w:hAnsi="Calibri"/>
          <w:b/>
          <w:bCs/>
          <w:color w:val="1A5276"/>
          <w:sz w:val="28"/>
          <w:szCs w:val="28"/>
        </w:rPr>
        <w:t xml:space="preserve">1.  Propuesta de valor</w:t>
      </w:r>
    </w:p>
    <w:p>
      <w:pPr>
        <w:spacing w:after="60" w:before="60"/>
      </w:pPr>
      <w:r>
        <w:t xml:space="preserve"/>
      </w:r>
    </w:p>
    <w:p>
      <w:pPr>
        <w:pBdr>
          <w:left w:val="single" w:color="1A5276" w:sz="12" w:space="4"/>
        </w:pBdr>
        <w:spacing w:after="200" w:before="200"/>
        <w:ind w:left="400"/>
        <w:jc w:val="center"/>
      </w:pPr>
      <w:r>
        <w:rPr>
          <w:rFonts w:ascii="Calibri" w:cs="Calibri" w:eastAsia="Calibri" w:hAnsi="Calibri"/>
          <w:b/>
          <w:bCs/>
          <w:i/>
          <w:iCs/>
          <w:color w:val="1A5276"/>
          <w:sz w:val="26"/>
          <w:szCs w:val="26"/>
        </w:rPr>
        <w:t xml:space="preserve">"Que TILCOR sepa en tiempo real si un lote está rindiendo o perdiendo dinero, sin necesidad de consolidar planillas a mano."</w:t>
      </w:r>
    </w:p>
    <w:p>
      <w:pPr>
        <w:spacing w:after="60" w:before="60"/>
      </w:pPr>
      <w:r>
        <w:t xml:space="preserve"/>
      </w:r>
    </w:p>
    <w:p>
      <w:pPr>
        <w:spacing w:after="80" w:before="80"/>
        <w:jc w:val="both"/>
      </w:pPr>
      <w:r>
        <w:rPr>
          <w:rFonts w:ascii="Calibri" w:cs="Calibri" w:eastAsia="Calibri" w:hAnsi="Calibri"/>
          <w:sz w:val="22"/>
          <w:szCs w:val="22"/>
        </w:rPr>
        <w:t xml:space="preserve">El sistema propuesto reemplaza cuatro herramientas desconectadas por una única plataforma web-móvil que centraliza la producción, dispara alertas automáticas ante desvíos críticos y genera reportes de rentabilidad sin intervención manual. TILCOR pasa de reaccionar tarde a problemas ya ocurridos a prevenirlos en tiempo real.</w:t>
      </w:r>
    </w:p>
    <w:p>
      <w:pPr>
        <w:pBdr>
          <w:bottom w:val="single" w:color="1A5276" w:sz="6" w:space="1"/>
        </w:pBdr>
        <w:spacing w:after="150" w:before="400"/>
      </w:pPr>
      <w:r>
        <w:rPr>
          <w:rFonts w:ascii="Calibri" w:cs="Calibri" w:eastAsia="Calibri" w:hAnsi="Calibri"/>
          <w:b/>
          <w:bCs/>
          <w:color w:val="1A5276"/>
          <w:sz w:val="28"/>
          <w:szCs w:val="28"/>
        </w:rPr>
        <w:t xml:space="preserve">2.  Costo de no resolver el problema</w:t>
      </w:r>
    </w:p>
    <w:p>
      <w:pPr>
        <w:spacing w:after="80" w:before="80"/>
        <w:jc w:val="both"/>
      </w:pPr>
      <w:r>
        <w:rPr>
          <w:rFonts w:ascii="Calibri" w:cs="Calibri" w:eastAsia="Calibri" w:hAnsi="Calibri"/>
          <w:sz w:val="22"/>
          <w:szCs w:val="22"/>
        </w:rPr>
        <w:t xml:space="preserve">Los siguientes datos provienen de la situación actual de TILCOR documentada durante el relevamiento:</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5400"/>
            <w:shd w:fill="1A5276" w:val="clear"/>
            <w:tcMar>
              <w:top w:type="dxa" w:w="80"/>
              <w:left w:type="dxa" w:w="100"/>
              <w:bottom w:type="dxa" w:w="80"/>
              <w:right w:type="dxa" w:w="100"/>
            </w:tcMar>
            <w:vAlign w:val="center"/>
          </w:tcPr>
          <w:p>
            <w:pPr>
              <w:jc w:val="center"/>
            </w:pPr>
            <w:r>
              <w:rPr>
                <w:rFonts w:ascii="Calibri" w:cs="Calibri" w:eastAsia="Calibri" w:hAnsi="Calibri"/>
                <w:b/>
                <w:bCs/>
                <w:color w:val="FFFFFF"/>
                <w:sz w:val="20"/>
                <w:szCs w:val="20"/>
              </w:rPr>
              <w:t xml:space="preserve">Problema actual</w:t>
            </w:r>
          </w:p>
        </w:tc>
        <w:tc>
          <w:tcPr>
            <w:tcW w:type="dxa" w:w="3960"/>
            <w:shd w:fill="1A5276" w:val="clear"/>
            <w:tcMar>
              <w:top w:type="dxa" w:w="80"/>
              <w:left w:type="dxa" w:w="100"/>
              <w:bottom w:type="dxa" w:w="80"/>
              <w:right w:type="dxa" w:w="100"/>
            </w:tcMar>
            <w:vAlign w:val="center"/>
          </w:tcPr>
          <w:p>
            <w:pPr>
              <w:jc w:val="center"/>
            </w:pPr>
            <w:r>
              <w:rPr>
                <w:rFonts w:ascii="Calibri" w:cs="Calibri" w:eastAsia="Calibri" w:hAnsi="Calibri"/>
                <w:b/>
                <w:bCs/>
                <w:color w:val="FFFFFF"/>
                <w:sz w:val="20"/>
                <w:szCs w:val="20"/>
              </w:rPr>
              <w:t xml:space="preserve">Impacto cuantificado</w:t>
            </w:r>
          </w:p>
        </w:tc>
      </w:tr>
      <w:tr>
        <w:tc>
          <w:tcPr>
            <w:tcW w:type="dxa" w:w="5400"/>
            <w:shd w:fill="FADBD8"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Viabilidad LSL-Classic al 67,3 % (referencia genética: 93,6 %)</w:t>
            </w:r>
          </w:p>
        </w:tc>
        <w:tc>
          <w:tcPr>
            <w:tcW w:type="dxa" w:w="3960"/>
            <w:shd w:fill="FADBD8"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Pérdida acumulada en lote completo sin alerta temprana</w:t>
            </w:r>
          </w:p>
        </w:tc>
      </w:tr>
      <w:tr>
        <w:tc>
          <w:tcPr>
            <w:tcW w:type="dxa" w:w="5400"/>
            <w:shd w:fill="F2F3F4"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6–8 horas semanales de consolidación manual del supervisor</w:t>
            </w:r>
          </w:p>
        </w:tc>
        <w:tc>
          <w:tcPr>
            <w:tcW w:type="dxa" w:w="3960"/>
            <w:shd w:fill="F2F3F4"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 300 h/año de trabajo no productivo</w:t>
            </w:r>
          </w:p>
        </w:tc>
      </w:tr>
      <w:tr>
        <w:tc>
          <w:tcPr>
            <w:tcW w:type="dxa" w:w="5400"/>
            <w:shd w:fill="FADBD8"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Mortalidad no detectada durante días por falta de alertas</w:t>
            </w:r>
          </w:p>
        </w:tc>
        <w:tc>
          <w:tcPr>
            <w:tcW w:type="dxa" w:w="3960"/>
            <w:shd w:fill="FADBD8"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Reposición de animales + pérdida de producción del lote</w:t>
            </w:r>
          </w:p>
        </w:tc>
      </w:tr>
      <w:tr>
        <w:tc>
          <w:tcPr>
            <w:tcW w:type="dxa" w:w="5400"/>
            <w:shd w:fill="F2F3F4"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Datos en papel: imposible auditar ni tomar decisiones retrospectivas</w:t>
            </w:r>
          </w:p>
        </w:tc>
        <w:tc>
          <w:tcPr>
            <w:tcW w:type="dxa" w:w="3960"/>
            <w:shd w:fill="F2F3F4"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Sin trazabilidad para SENASA ni para el veterinario externo</w:t>
            </w:r>
          </w:p>
        </w:tc>
      </w:tr>
      <w:tr>
        <w:tc>
          <w:tcPr>
            <w:tcW w:type="dxa" w:w="54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Doble carga de datos entre Gallinero, papel y Don Gestión</w:t>
            </w:r>
          </w:p>
        </w:tc>
        <w:tc>
          <w:tcPr>
            <w:tcW w:type="dxa" w:w="3960"/>
            <w:shd w:fill="FFFFFF"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Errores de transcripción, discrepancias entre herramientas</w:t>
            </w:r>
          </w:p>
        </w:tc>
      </w:tr>
    </w:tbl>
    <w:p>
      <w:pPr>
        <w:spacing w:after="60" w:before="60"/>
      </w:pPr>
      <w:r>
        <w:t xml:space="preserve"/>
      </w:r>
    </w:p>
    <w:p>
      <w:pPr>
        <w:spacing w:after="80" w:before="80"/>
        <w:jc w:val="both"/>
      </w:pPr>
      <w:r>
        <w:rPr>
          <w:rFonts w:ascii="Calibri" w:cs="Calibri" w:eastAsia="Calibri" w:hAnsi="Calibri"/>
          <w:sz w:val="22"/>
          <w:szCs w:val="22"/>
        </w:rPr>
        <w:t xml:space="preserve">El costo de continuar sin resolver supera ampliamente el costo del proyecto: un solo lote LSL-Classic con viabilidad por debajo del umbral durante semanas implica pérdidas de producción y reposición de aves que, a valores de mercado, representan varias veces la inversión requerida.</w:t>
      </w:r>
    </w:p>
    <w:p>
      <w:pPr>
        <w:pBdr>
          <w:bottom w:val="single" w:color="1A5276" w:sz="6" w:space="1"/>
        </w:pBdr>
        <w:spacing w:after="150" w:before="400"/>
      </w:pPr>
      <w:r>
        <w:rPr>
          <w:rFonts w:ascii="Calibri" w:cs="Calibri" w:eastAsia="Calibri" w:hAnsi="Calibri"/>
          <w:b/>
          <w:bCs/>
          <w:color w:val="1A5276"/>
          <w:sz w:val="28"/>
          <w:szCs w:val="28"/>
        </w:rPr>
        <w:t xml:space="preserve">3.  Diferenciación</w:t>
      </w:r>
    </w:p>
    <w:p>
      <w:pPr>
        <w:spacing w:after="100" w:before="300"/>
      </w:pPr>
      <w:r>
        <w:rPr>
          <w:rFonts w:ascii="Calibri" w:cs="Calibri" w:eastAsia="Calibri" w:hAnsi="Calibri"/>
          <w:b/>
          <w:bCs/>
          <w:color w:val="1A5276"/>
          <w:sz w:val="24"/>
          <w:szCs w:val="24"/>
        </w:rPr>
        <w:t xml:space="preserve">Frente a una planilla de cálculo (Excel/Google Sheets)</w:t>
      </w:r>
    </w:p>
    <w:p>
      <w:pPr>
        <w:pStyle w:val="ListParagraph"/>
        <w:numPr>
          <w:ilvl w:val="0"/>
          <w:numId w:val="1"/>
        </w:numPr>
        <w:spacing w:after="60" w:before="60"/>
        <w:ind w:left="720" w:hanging="360"/>
      </w:pPr>
      <w:r>
        <w:rPr>
          <w:rFonts w:ascii="Calibri" w:cs="Calibri" w:eastAsia="Calibri" w:hAnsi="Calibri"/>
          <w:sz w:val="22"/>
          <w:szCs w:val="22"/>
        </w:rPr>
        <w:t xml:space="preserve">No genera alertas automáticas: el supervisor debe revisar activamente.</w:t>
      </w:r>
    </w:p>
    <w:p>
      <w:pPr>
        <w:pStyle w:val="ListParagraph"/>
        <w:numPr>
          <w:ilvl w:val="0"/>
          <w:numId w:val="1"/>
        </w:numPr>
        <w:spacing w:after="60" w:before="60"/>
        <w:ind w:left="720" w:hanging="360"/>
      </w:pPr>
      <w:r>
        <w:rPr>
          <w:rFonts w:ascii="Calibri" w:cs="Calibri" w:eastAsia="Calibri" w:hAnsi="Calibri"/>
          <w:sz w:val="22"/>
          <w:szCs w:val="22"/>
        </w:rPr>
        <w:t xml:space="preserve">No integra datos de sensores IoT ni de Don Gestión en tiempo real.</w:t>
      </w:r>
    </w:p>
    <w:p>
      <w:pPr>
        <w:pStyle w:val="ListParagraph"/>
        <w:numPr>
          <w:ilvl w:val="0"/>
          <w:numId w:val="1"/>
        </w:numPr>
        <w:spacing w:after="60" w:before="60"/>
        <w:ind w:left="720" w:hanging="360"/>
      </w:pPr>
      <w:r>
        <w:rPr>
          <w:rFonts w:ascii="Calibri" w:cs="Calibri" w:eastAsia="Calibri" w:hAnsi="Calibri"/>
          <w:sz w:val="22"/>
          <w:szCs w:val="22"/>
        </w:rPr>
        <w:t xml:space="preserve">No funciona offline en el galpón. No tiene control de acceso por rol.</w:t>
      </w:r>
    </w:p>
    <w:p>
      <w:pPr>
        <w:spacing w:after="100" w:before="300"/>
      </w:pPr>
      <w:r>
        <w:rPr>
          <w:rFonts w:ascii="Calibri" w:cs="Calibri" w:eastAsia="Calibri" w:hAnsi="Calibri"/>
          <w:b/>
          <w:bCs/>
          <w:color w:val="1A5276"/>
          <w:sz w:val="24"/>
          <w:szCs w:val="24"/>
        </w:rPr>
        <w:t xml:space="preserve">Frente a un ERP genérico de gestión agropecuaria</w:t>
      </w:r>
    </w:p>
    <w:p>
      <w:pPr>
        <w:pStyle w:val="ListParagraph"/>
        <w:numPr>
          <w:ilvl w:val="0"/>
          <w:numId w:val="1"/>
        </w:numPr>
        <w:spacing w:after="60" w:before="60"/>
        <w:ind w:left="720" w:hanging="360"/>
      </w:pPr>
      <w:r>
        <w:rPr>
          <w:rFonts w:ascii="Calibri" w:cs="Calibri" w:eastAsia="Calibri" w:hAnsi="Calibri"/>
          <w:sz w:val="22"/>
          <w:szCs w:val="22"/>
        </w:rPr>
        <w:t xml:space="preserve">Los ERP genéricos no contemplan la lógica específica de líneas genéticas Lohmann ni las tablas de viabilidad del fabricante.</w:t>
      </w:r>
    </w:p>
    <w:p>
      <w:pPr>
        <w:pStyle w:val="ListParagraph"/>
        <w:numPr>
          <w:ilvl w:val="0"/>
          <w:numId w:val="1"/>
        </w:numPr>
        <w:spacing w:after="60" w:before="60"/>
        <w:ind w:left="720" w:hanging="360"/>
      </w:pPr>
      <w:r>
        <w:rPr>
          <w:rFonts w:ascii="Calibri" w:cs="Calibri" w:eastAsia="Calibri" w:hAnsi="Calibri"/>
          <w:sz w:val="22"/>
          <w:szCs w:val="22"/>
        </w:rPr>
        <w:t xml:space="preserve">Requieren parametrización extensa y costosa, sin garantía de integración con la app Gallinero y MQTT.</w:t>
      </w:r>
    </w:p>
    <w:p>
      <w:pPr>
        <w:pStyle w:val="ListParagraph"/>
        <w:numPr>
          <w:ilvl w:val="0"/>
          <w:numId w:val="1"/>
        </w:numPr>
        <w:spacing w:after="60" w:before="60"/>
        <w:ind w:left="720" w:hanging="360"/>
      </w:pPr>
      <w:r>
        <w:rPr>
          <w:rFonts w:ascii="Calibri" w:cs="Calibri" w:eastAsia="Calibri" w:hAnsi="Calibri"/>
          <w:sz w:val="22"/>
          <w:szCs w:val="22"/>
        </w:rPr>
        <w:t xml:space="preserve">El costo de licencia supera ampliamente el presupuesto de TILCOR para una empresa familiar de escala mediana.</w:t>
      </w:r>
    </w:p>
    <w:p>
      <w:pPr>
        <w:spacing w:after="100" w:before="300"/>
      </w:pPr>
      <w:r>
        <w:rPr>
          <w:rFonts w:ascii="Calibri" w:cs="Calibri" w:eastAsia="Calibri" w:hAnsi="Calibri"/>
          <w:b/>
          <w:bCs/>
          <w:color w:val="1A5276"/>
          <w:sz w:val="24"/>
          <w:szCs w:val="24"/>
        </w:rPr>
        <w:t xml:space="preserve">Nuestra propuesta</w:t>
      </w:r>
    </w:p>
    <w:p>
      <w:pPr>
        <w:pStyle w:val="ListParagraph"/>
        <w:numPr>
          <w:ilvl w:val="0"/>
          <w:numId w:val="1"/>
        </w:numPr>
        <w:spacing w:after="60" w:before="60"/>
        <w:ind w:left="720" w:hanging="360"/>
      </w:pPr>
      <w:r>
        <w:rPr>
          <w:rFonts w:ascii="Calibri" w:cs="Calibri" w:eastAsia="Calibri" w:hAnsi="Calibri"/>
          <w:sz w:val="22"/>
          <w:szCs w:val="22"/>
        </w:rPr>
        <w:t xml:space="preserve">Desarrollada sobre el caso real de TILCOR: conocemos el negocio, los galpones, las líneas genéticas y las integraciones existentes.</w:t>
      </w:r>
    </w:p>
    <w:p>
      <w:pPr>
        <w:pStyle w:val="ListParagraph"/>
        <w:numPr>
          <w:ilvl w:val="0"/>
          <w:numId w:val="1"/>
        </w:numPr>
        <w:spacing w:after="60" w:before="60"/>
        <w:ind w:left="720" w:hanging="360"/>
      </w:pPr>
      <w:r>
        <w:rPr>
          <w:rFonts w:ascii="Calibri" w:cs="Calibri" w:eastAsia="Calibri" w:hAnsi="Calibri"/>
          <w:sz w:val="22"/>
          <w:szCs w:val="22"/>
        </w:rPr>
        <w:t xml:space="preserve">Stack open source (sin licencias): React.js + Django + PostgreSQL + TimescaleDB + MQTT. Costo operativo limitado al VPS.</w:t>
      </w:r>
    </w:p>
    <w:p>
      <w:pPr>
        <w:pStyle w:val="ListParagraph"/>
        <w:numPr>
          <w:ilvl w:val="0"/>
          <w:numId w:val="1"/>
        </w:numPr>
        <w:spacing w:after="60" w:before="60"/>
        <w:ind w:left="720" w:hanging="360"/>
      </w:pPr>
      <w:r>
        <w:rPr>
          <w:rFonts w:ascii="Calibri" w:cs="Calibri" w:eastAsia="Calibri" w:hAnsi="Calibri"/>
          <w:sz w:val="22"/>
          <w:szCs w:val="22"/>
        </w:rPr>
        <w:t xml:space="preserve">Entrega incremental: el cliente ve y valida resultados reales cada 4–6 semanas, no al final del proyecto.</w:t>
      </w:r>
    </w:p>
    <w:p>
      <w:pPr>
        <w:pStyle w:val="ListParagraph"/>
        <w:numPr>
          <w:ilvl w:val="0"/>
          <w:numId w:val="1"/>
        </w:numPr>
        <w:spacing w:after="60" w:before="60"/>
        <w:ind w:left="720" w:hanging="360"/>
      </w:pPr>
      <w:r>
        <w:rPr>
          <w:rFonts w:ascii="Calibri" w:cs="Calibri" w:eastAsia="Calibri" w:hAnsi="Calibri"/>
          <w:sz w:val="22"/>
          <w:szCs w:val="22"/>
        </w:rPr>
        <w:t xml:space="preserve">PWA instalable: funciona en el celular del operario sin necesidad de descargar nada de una tienda.</w:t>
      </w:r>
    </w:p>
    <w:p>
      <w:r>
        <w:br w:type="page"/>
      </w:r>
    </w:p>
    <w:p>
      <w:pPr>
        <w:pBdr>
          <w:bottom w:val="single" w:color="1A5276" w:sz="6" w:space="1"/>
        </w:pBdr>
        <w:spacing w:after="150" w:before="400"/>
      </w:pPr>
      <w:r>
        <w:rPr>
          <w:rFonts w:ascii="Calibri" w:cs="Calibri" w:eastAsia="Calibri" w:hAnsi="Calibri"/>
          <w:b/>
          <w:bCs/>
          <w:color w:val="1A5276"/>
          <w:sz w:val="28"/>
          <w:szCs w:val="28"/>
        </w:rPr>
        <w:t xml:space="preserve">4.  Modelo de trabajo y de precio</w:t>
      </w:r>
    </w:p>
    <w:p>
      <w:pPr>
        <w:spacing w:after="80" w:before="80"/>
        <w:jc w:val="both"/>
      </w:pPr>
      <w:r>
        <w:rPr>
          <w:rFonts w:ascii="Calibri" w:cs="Calibri" w:eastAsia="Calibri" w:hAnsi="Calibri"/>
          <w:sz w:val="22"/>
          <w:szCs w:val="22"/>
        </w:rPr>
        <w:t xml:space="preserve">El proyecto se cotiza por fases cerradas (precio fijo por fase), con revisión de alcance al inicio de cada una. Este modelo protege al cliente de sorpresas en el total y al equipo de alcance indefinido.</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1400"/>
            <w:shd w:fill="1A5276" w:val="clear"/>
            <w:tcMar>
              <w:top w:type="dxa" w:w="80"/>
              <w:left w:type="dxa" w:w="100"/>
              <w:bottom w:type="dxa" w:w="80"/>
              <w:right w:type="dxa" w:w="100"/>
            </w:tcMar>
            <w:vAlign w:val="center"/>
          </w:tcPr>
          <w:p>
            <w:pPr>
              <w:jc w:val="center"/>
            </w:pPr>
            <w:r>
              <w:rPr>
                <w:rFonts w:ascii="Calibri" w:cs="Calibri" w:eastAsia="Calibri" w:hAnsi="Calibri"/>
                <w:b/>
                <w:bCs/>
                <w:color w:val="FFFFFF"/>
                <w:sz w:val="20"/>
                <w:szCs w:val="20"/>
              </w:rPr>
              <w:t xml:space="preserve">Fase</w:t>
            </w:r>
          </w:p>
        </w:tc>
        <w:tc>
          <w:tcPr>
            <w:tcW w:type="dxa" w:w="4160"/>
            <w:shd w:fill="1A5276" w:val="clear"/>
            <w:tcMar>
              <w:top w:type="dxa" w:w="80"/>
              <w:left w:type="dxa" w:w="100"/>
              <w:bottom w:type="dxa" w:w="80"/>
              <w:right w:type="dxa" w:w="100"/>
            </w:tcMar>
            <w:vAlign w:val="center"/>
          </w:tcPr>
          <w:p>
            <w:pPr>
              <w:jc w:val="center"/>
            </w:pPr>
            <w:r>
              <w:rPr>
                <w:rFonts w:ascii="Calibri" w:cs="Calibri" w:eastAsia="Calibri" w:hAnsi="Calibri"/>
                <w:b/>
                <w:bCs/>
                <w:color w:val="FFFFFF"/>
                <w:sz w:val="20"/>
                <w:szCs w:val="20"/>
              </w:rPr>
              <w:t xml:space="preserve">Contenido</w:t>
            </w:r>
          </w:p>
        </w:tc>
        <w:tc>
          <w:tcPr>
            <w:tcW w:type="dxa" w:w="1400"/>
            <w:shd w:fill="1A5276" w:val="clear"/>
            <w:tcMar>
              <w:top w:type="dxa" w:w="80"/>
              <w:left w:type="dxa" w:w="100"/>
              <w:bottom w:type="dxa" w:w="80"/>
              <w:right w:type="dxa" w:w="100"/>
            </w:tcMar>
            <w:vAlign w:val="center"/>
          </w:tcPr>
          <w:p>
            <w:pPr>
              <w:jc w:val="center"/>
            </w:pPr>
            <w:r>
              <w:rPr>
                <w:rFonts w:ascii="Calibri" w:cs="Calibri" w:eastAsia="Calibri" w:hAnsi="Calibri"/>
                <w:b/>
                <w:bCs/>
                <w:color w:val="FFFFFF"/>
                <w:sz w:val="20"/>
                <w:szCs w:val="20"/>
              </w:rPr>
              <w:t xml:space="preserve">Duración</w:t>
            </w:r>
          </w:p>
        </w:tc>
        <w:tc>
          <w:tcPr>
            <w:tcW w:type="dxa" w:w="2400"/>
            <w:shd w:fill="1A5276" w:val="clear"/>
            <w:tcMar>
              <w:top w:type="dxa" w:w="80"/>
              <w:left w:type="dxa" w:w="100"/>
              <w:bottom w:type="dxa" w:w="80"/>
              <w:right w:type="dxa" w:w="100"/>
            </w:tcMar>
            <w:vAlign w:val="center"/>
          </w:tcPr>
          <w:p>
            <w:pPr>
              <w:jc w:val="center"/>
            </w:pPr>
            <w:r>
              <w:rPr>
                <w:rFonts w:ascii="Calibri" w:cs="Calibri" w:eastAsia="Calibri" w:hAnsi="Calibri"/>
                <w:b/>
                <w:bCs/>
                <w:color w:val="FFFFFF"/>
                <w:sz w:val="20"/>
                <w:szCs w:val="20"/>
              </w:rPr>
              <w:t xml:space="preserve">Precio estimado</w:t>
            </w:r>
          </w:p>
        </w:tc>
      </w:tr>
      <w:tr>
        <w:tc>
          <w:tcPr>
            <w:tcW w:type="dxa" w:w="1400"/>
            <w:shd w:fill="F2F3F4"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Fase 1</w:t>
            </w:r>
          </w:p>
        </w:tc>
        <w:tc>
          <w:tcPr>
            <w:tcW w:type="dxa" w:w="4160"/>
            <w:shd w:fill="F2F3F4"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Análisis, arquitectura, entorno base</w:t>
            </w:r>
          </w:p>
        </w:tc>
        <w:tc>
          <w:tcPr>
            <w:tcW w:type="dxa" w:w="1400"/>
            <w:shd w:fill="F2F3F4"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4 semanas</w:t>
            </w:r>
          </w:p>
        </w:tc>
        <w:tc>
          <w:tcPr>
            <w:tcW w:type="dxa" w:w="2400"/>
            <w:shd w:fill="F2F3F4"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$ 180.000 ARS</w:t>
            </w:r>
          </w:p>
        </w:tc>
      </w:tr>
      <w:tr>
        <w:tc>
          <w:tcPr>
            <w:tcW w:type="dxa" w:w="14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Fase 2</w:t>
            </w:r>
          </w:p>
        </w:tc>
        <w:tc>
          <w:tcPr>
            <w:tcW w:type="dxa" w:w="4160"/>
            <w:shd w:fill="FFFFFF"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Diseño UX/UI, prototipo, M1-M2</w:t>
            </w:r>
          </w:p>
        </w:tc>
        <w:tc>
          <w:tcPr>
            <w:tcW w:type="dxa" w:w="14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4 semanas</w:t>
            </w:r>
          </w:p>
        </w:tc>
        <w:tc>
          <w:tcPr>
            <w:tcW w:type="dxa" w:w="24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$ 220.000 ARS</w:t>
            </w:r>
          </w:p>
        </w:tc>
      </w:tr>
      <w:tr>
        <w:tc>
          <w:tcPr>
            <w:tcW w:type="dxa" w:w="1400"/>
            <w:shd w:fill="F2F3F4"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Fase 3</w:t>
            </w:r>
          </w:p>
        </w:tc>
        <w:tc>
          <w:tcPr>
            <w:tcW w:type="dxa" w:w="4160"/>
            <w:shd w:fill="F2F3F4"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M3 Alertas, M5 Dashboard, M11 Roles</w:t>
            </w:r>
          </w:p>
        </w:tc>
        <w:tc>
          <w:tcPr>
            <w:tcW w:type="dxa" w:w="1400"/>
            <w:shd w:fill="F2F3F4"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5 semanas</w:t>
            </w:r>
          </w:p>
        </w:tc>
        <w:tc>
          <w:tcPr>
            <w:tcW w:type="dxa" w:w="2400"/>
            <w:shd w:fill="F2F3F4"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$ 280.000 ARS</w:t>
            </w:r>
          </w:p>
        </w:tc>
      </w:tr>
      <w:tr>
        <w:tc>
          <w:tcPr>
            <w:tcW w:type="dxa" w:w="14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Fase 4</w:t>
            </w:r>
          </w:p>
        </w:tc>
        <w:tc>
          <w:tcPr>
            <w:tcW w:type="dxa" w:w="4160"/>
            <w:shd w:fill="FFFFFF"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M4/M6 IoT, M7 Reportes, M8 Don Gestión, M10 AFIP</w:t>
            </w:r>
          </w:p>
        </w:tc>
        <w:tc>
          <w:tcPr>
            <w:tcW w:type="dxa" w:w="14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7 semanas</w:t>
            </w:r>
          </w:p>
        </w:tc>
        <w:tc>
          <w:tcPr>
            <w:tcW w:type="dxa" w:w="24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$ 350.000 ARS</w:t>
            </w:r>
          </w:p>
        </w:tc>
      </w:tr>
      <w:tr>
        <w:tc>
          <w:tcPr>
            <w:tcW w:type="dxa" w:w="1400"/>
            <w:shd w:fill="F2F3F4"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Fase 5</w:t>
            </w:r>
          </w:p>
        </w:tc>
        <w:tc>
          <w:tcPr>
            <w:tcW w:type="dxa" w:w="4160"/>
            <w:shd w:fill="F2F3F4"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M9/M12 PWA offline, despliegue, documentación</w:t>
            </w:r>
          </w:p>
        </w:tc>
        <w:tc>
          <w:tcPr>
            <w:tcW w:type="dxa" w:w="1400"/>
            <w:shd w:fill="F2F3F4"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6 semanas</w:t>
            </w:r>
          </w:p>
        </w:tc>
        <w:tc>
          <w:tcPr>
            <w:tcW w:type="dxa" w:w="2400"/>
            <w:shd w:fill="F2F3F4"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$ 220.000 ARS</w:t>
            </w:r>
          </w:p>
        </w:tc>
      </w:tr>
      <w:tr>
        <w:tc>
          <w:tcPr>
            <w:tcW w:type="dxa" w:w="1400"/>
            <w:shd w:fill="1A5276" w:val="clear"/>
            <w:tcMar>
              <w:top w:type="dxa" w:w="80"/>
              <w:left w:type="dxa" w:w="100"/>
              <w:bottom w:type="dxa" w:w="80"/>
              <w:right w:type="dxa" w:w="100"/>
            </w:tcMar>
            <w:vAlign w:val="center"/>
          </w:tcPr>
          <w:p>
            <w:pPr>
              <w:jc w:val="left"/>
            </w:pPr>
            <w:r>
              <w:rPr>
                <w:rFonts w:ascii="Calibri" w:cs="Calibri" w:eastAsia="Calibri" w:hAnsi="Calibri"/>
                <w:b/>
                <w:bCs/>
                <w:sz w:val="20"/>
                <w:szCs w:val="20"/>
              </w:rPr>
              <w:t xml:space="preserve">TOTAL</w:t>
            </w:r>
          </w:p>
        </w:tc>
        <w:tc>
          <w:tcPr>
            <w:tcW w:type="dxa" w:w="4160"/>
            <w:shd w:fill="1A5276" w:val="clear"/>
            <w:tcMar>
              <w:top w:type="dxa" w:w="80"/>
              <w:left w:type="dxa" w:w="100"/>
              <w:bottom w:type="dxa" w:w="80"/>
              <w:right w:type="dxa" w:w="100"/>
            </w:tcMar>
            <w:vAlign w:val="center"/>
          </w:tcPr>
          <w:p>
            <w:pPr>
              <w:jc w:val="left"/>
            </w:pPr>
            <w:r>
              <w:rPr>
                <w:rFonts w:ascii="Calibri" w:cs="Calibri" w:eastAsia="Calibri" w:hAnsi="Calibri"/>
                <w:b/>
                <w:bCs/>
                <w:sz w:val="20"/>
                <w:szCs w:val="20"/>
              </w:rPr>
              <w:t xml:space="preserve">26 semanas — sistema completo en producción</w:t>
            </w:r>
          </w:p>
        </w:tc>
        <w:tc>
          <w:tcPr>
            <w:tcW w:type="dxa" w:w="1400"/>
            <w:shd w:fill="1A5276" w:val="clear"/>
            <w:tcMar>
              <w:top w:type="dxa" w:w="80"/>
              <w:left w:type="dxa" w:w="100"/>
              <w:bottom w:type="dxa" w:w="80"/>
              <w:right w:type="dxa" w:w="100"/>
            </w:tcMar>
            <w:vAlign w:val="center"/>
          </w:tcPr>
          <w:p>
            <w:pPr>
              <w:jc w:val="left"/>
            </w:pPr>
            <w:r>
              <w:rPr>
                <w:rFonts w:ascii="Calibri" w:cs="Calibri" w:eastAsia="Calibri" w:hAnsi="Calibri"/>
                <w:b/>
                <w:bCs/>
                <w:sz w:val="20"/>
                <w:szCs w:val="20"/>
              </w:rPr>
              <w:t xml:space="preserve">26 sem.</w:t>
            </w:r>
          </w:p>
        </w:tc>
        <w:tc>
          <w:tcPr>
            <w:tcW w:type="dxa" w:w="2400"/>
            <w:shd w:fill="1A5276" w:val="clear"/>
            <w:tcMar>
              <w:top w:type="dxa" w:w="80"/>
              <w:left w:type="dxa" w:w="100"/>
              <w:bottom w:type="dxa" w:w="80"/>
              <w:right w:type="dxa" w:w="100"/>
            </w:tcMar>
            <w:vAlign w:val="center"/>
          </w:tcPr>
          <w:p>
            <w:pPr>
              <w:jc w:val="left"/>
            </w:pPr>
            <w:r>
              <w:rPr>
                <w:rFonts w:ascii="Calibri" w:cs="Calibri" w:eastAsia="Calibri" w:hAnsi="Calibri"/>
                <w:b/>
                <w:bCs/>
                <w:sz w:val="20"/>
                <w:szCs w:val="20"/>
              </w:rPr>
              <w:t xml:space="preserve">$ 1.250.000 ARS</w:t>
            </w:r>
          </w:p>
        </w:tc>
      </w:tr>
    </w:tbl>
    <w:p>
      <w:pPr>
        <w:spacing w:after="60" w:before="60"/>
      </w:pPr>
      <w:r>
        <w:t xml:space="preserve"/>
      </w:r>
    </w:p>
    <w:p>
      <w:pPr>
        <w:spacing w:after="80" w:before="80"/>
        <w:jc w:val="both"/>
      </w:pPr>
      <w:r>
        <w:rPr>
          <w:rFonts w:ascii="Calibri" w:cs="Calibri" w:eastAsia="Calibri" w:hAnsi="Calibri"/>
          <w:sz w:val="22"/>
          <w:szCs w:val="22"/>
        </w:rPr>
        <w:t xml:space="preserve">Condiciones de pago: 30 % al inicio de cada fase, 70 % a la validación del hito de cierre. No se inicia la siguiente fase sin aprobación del entregable anterior.</w:t>
      </w:r>
    </w:p>
    <w:p>
      <w:pPr>
        <w:spacing w:after="80" w:before="80"/>
        <w:jc w:val="both"/>
      </w:pPr>
      <w:r>
        <w:rPr>
          <w:rFonts w:ascii="Calibri" w:cs="Calibri" w:eastAsia="Calibri" w:hAnsi="Calibri"/>
          <w:sz w:val="22"/>
          <w:szCs w:val="22"/>
        </w:rPr>
        <w:t xml:space="preserve">Infraestructura: el cliente asume el costo del VPS (estimado entre $ 15.000–25.000 ARS/mes según proveedor). No se incluyen licencias de software privativo.</w:t>
      </w:r>
    </w:p>
    <w:p>
      <w:pPr>
        <w:spacing w:after="80" w:before="80"/>
        <w:jc w:val="both"/>
      </w:pPr>
      <w:r>
        <w:rPr>
          <w:rFonts w:ascii="Calibri" w:cs="Calibri" w:eastAsia="Calibri" w:hAnsi="Calibri"/>
          <w:sz w:val="22"/>
          <w:szCs w:val="22"/>
        </w:rPr>
        <w:t xml:space="preserve">Mantenimiento: incluye 3 meses de soporte post-entrega sin costo adicional. A partir del mes 4, mantenimiento por hora acordada.</w:t>
      </w:r>
    </w:p>
    <w:p>
      <w:pPr>
        <w:pBdr>
          <w:bottom w:val="single" w:color="1A5276" w:sz="6" w:space="1"/>
        </w:pBdr>
        <w:spacing w:after="150" w:before="400"/>
      </w:pPr>
      <w:r>
        <w:rPr>
          <w:rFonts w:ascii="Calibri" w:cs="Calibri" w:eastAsia="Calibri" w:hAnsi="Calibri"/>
          <w:b/>
          <w:bCs/>
          <w:color w:val="1A5276"/>
          <w:sz w:val="28"/>
          <w:szCs w:val="28"/>
        </w:rPr>
        <w:t xml:space="preserve">5.  Anticipación de objeciones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680"/>
            <w:shd w:fill="1A5276" w:val="clear"/>
            <w:tcMar>
              <w:top w:type="dxa" w:w="80"/>
              <w:left w:type="dxa" w:w="100"/>
              <w:bottom w:type="dxa" w:w="80"/>
              <w:right w:type="dxa" w:w="100"/>
            </w:tcMar>
            <w:vAlign w:val="center"/>
          </w:tcPr>
          <w:p>
            <w:pPr>
              <w:jc w:val="center"/>
            </w:pPr>
            <w:r>
              <w:rPr>
                <w:rFonts w:ascii="Calibri" w:cs="Calibri" w:eastAsia="Calibri" w:hAnsi="Calibri"/>
                <w:b/>
                <w:bCs/>
                <w:color w:val="FFFFFF"/>
                <w:sz w:val="20"/>
                <w:szCs w:val="20"/>
              </w:rPr>
              <w:t xml:space="preserve">Objeción probable del cliente</w:t>
            </w:r>
          </w:p>
        </w:tc>
        <w:tc>
          <w:tcPr>
            <w:tcW w:type="dxa" w:w="4680"/>
            <w:shd w:fill="1A5276" w:val="clear"/>
            <w:tcMar>
              <w:top w:type="dxa" w:w="80"/>
              <w:left w:type="dxa" w:w="100"/>
              <w:bottom w:type="dxa" w:w="80"/>
              <w:right w:type="dxa" w:w="100"/>
            </w:tcMar>
            <w:vAlign w:val="center"/>
          </w:tcPr>
          <w:p>
            <w:pPr>
              <w:jc w:val="center"/>
            </w:pPr>
            <w:r>
              <w:rPr>
                <w:rFonts w:ascii="Calibri" w:cs="Calibri" w:eastAsia="Calibri" w:hAnsi="Calibri"/>
                <w:b/>
                <w:bCs/>
                <w:color w:val="FFFFFF"/>
                <w:sz w:val="20"/>
                <w:szCs w:val="20"/>
              </w:rPr>
              <w:t xml:space="preserve">Respuesta preparada</w:t>
            </w:r>
          </w:p>
        </w:tc>
      </w:tr>
      <w:tr>
        <w:tc>
          <w:tcPr>
            <w:tcW w:type="dxa" w:w="4680"/>
            <w:shd w:fill="FADBD8"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"El precio es alto para una empresa familiar."</w:t>
            </w:r>
          </w:p>
        </w:tc>
        <w:tc>
          <w:tcPr>
            <w:tcW w:type="dxa" w:w="4680"/>
            <w:shd w:fill="FFFFFF"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El costo de no resolver es más alto: un lote LSL-Classic por debajo del umbral durante semanas implica pérdidas de producción y reposición de aves que superan el total del proyecto. Además, el pago por fases permite distribuir la inversión a lo largo de 26 semanas y detener si el valor no se percibe.</w:t>
            </w:r>
          </w:p>
        </w:tc>
      </w:tr>
      <w:tr>
        <w:tc>
          <w:tcPr>
            <w:tcW w:type="dxa" w:w="4680"/>
            <w:shd w:fill="F2F3F4"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"¿Y si el sistema no funciona con nuestra app Gallinero?"</w:t>
            </w:r>
          </w:p>
        </w:tc>
        <w:tc>
          <w:tcPr>
            <w:tcW w:type="dxa" w:w="4680"/>
            <w:shd w:fill="F2F3F4"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El protocolo MQTT que usa Gallinero es estándar abierto. En la Fase 1 realizamos una prueba de integración antes de comprometer el desarrollo completo. Si la integración no es viable, se ajusta el alcance antes de incurrir en costo de desarrollo.</w:t>
            </w:r>
          </w:p>
        </w:tc>
      </w:tr>
      <w:tr>
        <w:tc>
          <w:tcPr>
            <w:tcW w:type="dxa" w:w="4680"/>
            <w:shd w:fill="FADBD8"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"Yo no entiendo de tecnología. ¿Cómo sé que esto va a funcionar?"</w:t>
            </w:r>
          </w:p>
        </w:tc>
        <w:tc>
          <w:tcPr>
            <w:tcW w:type="dxa" w:w="4680"/>
            <w:shd w:fill="FFFFFF"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Cada fase termina con una demo funcional que usted prueba antes de aprobar el pago. No compramos promesas: usted ve el sistema funcionando en su galpón antes de cada desembolso. Además, la Fase 2 entrega un prototipo navegable en su celular.</w:t>
            </w:r>
          </w:p>
        </w:tc>
      </w:tr>
      <w:tr>
        <w:tc>
          <w:tcPr>
            <w:tcW w:type="dxa" w:w="4680"/>
            <w:shd w:fill="F2F3F4"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"¿Qué pasa si el equipo no termina en 26 semanas?"</w:t>
            </w:r>
          </w:p>
        </w:tc>
        <w:tc>
          <w:tcPr>
            <w:tcW w:type="dxa" w:w="4680"/>
            <w:shd w:fill="F2F3F4"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El contrato de alcance establece qué se entrega en cada fase. Si una fase se extiende, el cliente no paga la siguiente hasta recibir el entregable acordado. El plan de riesgos incluye contingencias específicas para este escenario.</w:t>
            </w:r>
          </w:p>
        </w:tc>
      </w:tr>
      <w:tr>
        <w:tc>
          <w:tcPr>
            <w:tcW w:type="dxa" w:w="4680"/>
            <w:shd w:fill="FADBD8"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"¿No puedo usar simplemente un Excel mejorado?"</w:t>
            </w:r>
          </w:p>
        </w:tc>
        <w:tc>
          <w:tcPr>
            <w:tcW w:type="dxa" w:w="4680"/>
            <w:shd w:fill="FFFFFF"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Un Excel no genera alertas automáticas a las 2 am cuando la viabilidad de un lote cae. No integra sensores IoT. No funciona offline en el galpón. El problema de TILCOR es de alertas en tiempo real, no de almacenamiento de datos: eso Excel no lo resuelve.</w:t>
            </w:r>
          </w:p>
        </w:tc>
      </w:tr>
    </w:tbl>
    <w:p>
      <w:r>
        <w:br w:type="page"/>
      </w:r>
    </w:p>
    <w:p>
      <w:pPr>
        <w:pBdr>
          <w:bottom w:val="single" w:color="1A5276" w:sz="6" w:space="1"/>
        </w:pBdr>
        <w:spacing w:after="150" w:before="400"/>
      </w:pPr>
      <w:r>
        <w:rPr>
          <w:rFonts w:ascii="Calibri" w:cs="Calibri" w:eastAsia="Calibri" w:hAnsi="Calibri"/>
          <w:b/>
          <w:bCs/>
          <w:color w:val="1A5276"/>
          <w:sz w:val="28"/>
          <w:szCs w:val="28"/>
        </w:rPr>
        <w:t xml:space="preserve">6.  Próximo paso concreto</w:t>
      </w:r>
    </w:p>
    <w:p>
      <w:pPr>
        <w:spacing w:after="60" w:before="60"/>
      </w:pPr>
      <w:r>
        <w:t xml:space="preserve"/>
      </w:r>
    </w:p>
    <w:p>
      <w:pPr>
        <w:spacing w:after="200" w:before="200"/>
        <w:jc w:val="center"/>
      </w:pPr>
      <w:r>
        <w:rPr>
          <w:rFonts w:ascii="Calibri" w:cs="Calibri" w:eastAsia="Calibri" w:hAnsi="Calibri"/>
          <w:b/>
          <w:bCs/>
          <w:color w:val="1A5276"/>
          <w:sz w:val="26"/>
          <w:szCs w:val="26"/>
        </w:rPr>
        <w:t xml:space="preserve">Propuesta al cliente</w:t>
      </w:r>
    </w:p>
    <w:p>
      <w:pPr>
        <w:spacing w:after="80" w:before="80"/>
        <w:jc w:val="both"/>
      </w:pPr>
      <w:r>
        <w:rPr>
          <w:rFonts w:ascii="Calibri" w:cs="Calibri" w:eastAsia="Calibri" w:hAnsi="Calibri"/>
          <w:sz w:val="22"/>
          <w:szCs w:val="22"/>
        </w:rPr>
        <w:t xml:space="preserve">Al finalizar esta reunión, le proponemos concretar dos acciones en los próximos 7 días: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600"/>
            <w:shd w:fill="1A5276" w:val="clear"/>
            <w:tcMar>
              <w:top w:type="dxa" w:w="80"/>
              <w:left w:type="dxa" w:w="100"/>
              <w:bottom w:type="dxa" w:w="80"/>
              <w:right w:type="dxa" w:w="100"/>
            </w:tcMar>
            <w:vAlign w:val="center"/>
          </w:tcPr>
          <w:p>
            <w:pPr>
              <w:jc w:val="center"/>
            </w:pPr>
            <w:r>
              <w:rPr>
                <w:rFonts w:ascii="Calibri" w:cs="Calibri" w:eastAsia="Calibri" w:hAnsi="Calibri"/>
                <w:b/>
                <w:bCs/>
                <w:color w:val="FFFFFF"/>
                <w:sz w:val="20"/>
                <w:szCs w:val="20"/>
              </w:rPr>
              <w:t xml:space="preserve">Acción</w:t>
            </w:r>
          </w:p>
        </w:tc>
        <w:tc>
          <w:tcPr>
            <w:tcW w:type="dxa" w:w="6160"/>
            <w:shd w:fill="1A5276" w:val="clear"/>
            <w:tcMar>
              <w:top w:type="dxa" w:w="80"/>
              <w:left w:type="dxa" w:w="100"/>
              <w:bottom w:type="dxa" w:w="80"/>
              <w:right w:type="dxa" w:w="100"/>
            </w:tcMar>
            <w:vAlign w:val="center"/>
          </w:tcPr>
          <w:p>
            <w:pPr>
              <w:jc w:val="center"/>
            </w:pPr>
            <w:r>
              <w:rPr>
                <w:rFonts w:ascii="Calibri" w:cs="Calibri" w:eastAsia="Calibri" w:hAnsi="Calibri"/>
                <w:b/>
                <w:bCs/>
                <w:color w:val="FFFFFF"/>
                <w:sz w:val="20"/>
                <w:szCs w:val="20"/>
              </w:rPr>
              <w:t xml:space="preserve">Descripción</w:t>
            </w:r>
          </w:p>
        </w:tc>
        <w:tc>
          <w:tcPr>
            <w:tcW w:type="dxa" w:w="2600"/>
            <w:shd w:fill="1A5276" w:val="clear"/>
            <w:tcMar>
              <w:top w:type="dxa" w:w="80"/>
              <w:left w:type="dxa" w:w="100"/>
              <w:bottom w:type="dxa" w:w="80"/>
              <w:right w:type="dxa" w:w="100"/>
            </w:tcMar>
            <w:vAlign w:val="center"/>
          </w:tcPr>
          <w:p>
            <w:pPr>
              <w:jc w:val="center"/>
            </w:pPr>
            <w:r>
              <w:rPr>
                <w:rFonts w:ascii="Calibri" w:cs="Calibri" w:eastAsia="Calibri" w:hAnsi="Calibri"/>
                <w:b/>
                <w:bCs/>
                <w:color w:val="FFFFFF"/>
                <w:sz w:val="20"/>
                <w:szCs w:val="20"/>
              </w:rPr>
              <w:t xml:space="preserve">Responsable</w:t>
            </w:r>
          </w:p>
        </w:tc>
      </w:tr>
      <w:tr>
        <w:tc>
          <w:tcPr>
            <w:tcW w:type="dxa" w:w="600"/>
            <w:shd w:fill="D5F5E3" w:val="clear"/>
            <w:tcMar>
              <w:top w:type="dxa" w:w="80"/>
              <w:left w:type="dxa" w:w="100"/>
              <w:bottom w:type="dxa" w:w="80"/>
              <w:right w:type="dxa" w:w="100"/>
            </w:tcMar>
            <w:vAlign w:val="center"/>
          </w:tcPr>
          <w:p>
            <w:pPr>
              <w:jc w:val="center"/>
            </w:pPr>
            <w:r>
              <w:rPr>
                <w:rFonts w:ascii="Calibri" w:cs="Calibri" w:eastAsia="Calibri" w:hAnsi="Calibri"/>
                <w:b/>
                <w:bCs/>
                <w:sz w:val="20"/>
                <w:szCs w:val="20"/>
              </w:rPr>
              <w:t xml:space="preserve">1</w:t>
            </w:r>
          </w:p>
        </w:tc>
        <w:tc>
          <w:tcPr>
            <w:tcW w:type="dxa" w:w="6160"/>
            <w:shd w:fill="D5F5E3"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Firma del Contrato de Alcance adjunto, que define qué se desarrolla y bajo qué condiciones.</w:t>
            </w:r>
          </w:p>
        </w:tc>
        <w:tc>
          <w:tcPr>
            <w:tcW w:type="dxa" w:w="2600"/>
            <w:shd w:fill="D5F5E3"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Cliente + Equipo</w:t>
            </w:r>
          </w:p>
        </w:tc>
      </w:tr>
      <w:tr>
        <w:tc>
          <w:tcPr>
            <w:tcW w:type="dxa" w:w="600"/>
            <w:shd w:fill="F2F3F4" w:val="clear"/>
            <w:tcMar>
              <w:top w:type="dxa" w:w="80"/>
              <w:left w:type="dxa" w:w="100"/>
              <w:bottom w:type="dxa" w:w="80"/>
              <w:right w:type="dxa" w:w="100"/>
            </w:tcMar>
            <w:vAlign w:val="center"/>
          </w:tcPr>
          <w:p>
            <w:pPr>
              <w:jc w:val="center"/>
            </w:pPr>
            <w:r>
              <w:rPr>
                <w:rFonts w:ascii="Calibri" w:cs="Calibri" w:eastAsia="Calibri" w:hAnsi="Calibri"/>
                <w:b/>
                <w:bCs/>
                <w:sz w:val="20"/>
                <w:szCs w:val="20"/>
              </w:rPr>
              <w:t xml:space="preserve">2</w:t>
            </w:r>
          </w:p>
        </w:tc>
        <w:tc>
          <w:tcPr>
            <w:tcW w:type="dxa" w:w="6160"/>
            <w:shd w:fill="F2F3F4"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Verificación de la integración MQTT con la app Gallinero: una reunión técnica de 1 hora en el galpón para confirmar que los datos de sensores son accesibles.</w:t>
            </w:r>
          </w:p>
        </w:tc>
        <w:tc>
          <w:tcPr>
            <w:tcW w:type="dxa" w:w="2600"/>
            <w:shd w:fill="F2F3F4" w:val="clear"/>
            <w:tcMar>
              <w:top w:type="dxa" w:w="80"/>
              <w:left w:type="dxa" w:w="100"/>
              <w:bottom w:type="dxa" w:w="80"/>
              <w:right w:type="dxa" w:w="100"/>
            </w:tcMar>
            <w:vAlign w:val="center"/>
          </w:tcPr>
          <w:p>
            <w:pPr>
              <w:jc w:val="left"/>
            </w:pPr>
            <w:r>
              <w:rPr>
                <w:rFonts w:ascii="Calibri" w:cs="Calibri" w:eastAsia="Calibri" w:hAnsi="Calibri"/>
                <w:b w:val="false"/>
                <w:bCs w:val="false"/>
                <w:sz w:val="20"/>
                <w:szCs w:val="20"/>
              </w:rPr>
              <w:t xml:space="preserve">Equipo + Cliente — semana 1</w:t>
            </w:r>
          </w:p>
        </w:tc>
      </w:tr>
    </w:tbl>
    <w:p>
      <w:pPr>
        <w:spacing w:after="60" w:before="60"/>
      </w:pPr>
      <w:r>
        <w:t xml:space="preserve"/>
      </w:r>
    </w:p>
    <w:p>
      <w:pPr>
        <w:spacing w:after="60" w:before="60"/>
      </w:pPr>
      <w:r>
        <w:t xml:space="preserve"/>
      </w:r>
    </w:p>
    <w:p>
      <w:pPr>
        <w:spacing w:after="80" w:before="80"/>
        <w:jc w:val="both"/>
      </w:pPr>
      <w:r>
        <w:rPr>
          <w:rFonts w:ascii="Calibri" w:cs="Calibri" w:eastAsia="Calibri" w:hAnsi="Calibri"/>
          <w:sz w:val="22"/>
          <w:szCs w:val="22"/>
        </w:rPr>
        <w:t xml:space="preserve">Con esas dos acciones, podemos iniciar la Fase 1 dentro de los 5 días hábiles posteriores a la firma.</w:t>
      </w:r>
    </w:p>
    <w:p>
      <w:pPr>
        <w:spacing w:after="60" w:before="60"/>
      </w:pPr>
      <w:r>
        <w:t xml:space="preserve"/>
      </w:r>
    </w:p>
    <w:p>
      <w:pPr>
        <w:spacing w:after="60" w:before="60"/>
      </w:pPr>
      <w:r>
        <w:t xml:space="preserve"/>
      </w:r>
    </w:p>
    <w:p>
      <w:pPr>
        <w:jc w:val="center"/>
      </w:pPr>
      <w:r>
        <w:rPr>
          <w:rFonts w:ascii="Calibri" w:cs="Calibri" w:eastAsia="Calibri" w:hAnsi="Calibri"/>
          <w:b/>
          <w:bCs/>
          <w:sz w:val="22"/>
          <w:szCs w:val="22"/>
        </w:rPr>
        <w:t xml:space="preserve">Carnielli, Matías — Bacari, Fernando</w:t>
      </w:r>
    </w:p>
    <w:p>
      <w:pPr>
        <w:jc w:val="center"/>
      </w:pPr>
      <w:r>
        <w:rPr>
          <w:rFonts w:ascii="Calibri" w:cs="Calibri" w:eastAsia="Calibri" w:hAnsi="Calibri"/>
          <w:color w:val="555555"/>
          <w:sz w:val="22"/>
          <w:szCs w:val="22"/>
        </w:rPr>
        <w:t xml:space="preserve">equipo.tilcor@ies.edu.ar</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2026-10-08T12:35:41.158Z</dcterms:created>
  <dcterms:modified xsi:type="dcterms:W3CDTF">2026-10-08T12:35:41.158Z</dcterms:modified>
</cp:coreProperties>
</file>

<file path=docProps/custom.xml><?xml version="1.0" encoding="utf-8"?>
<Properties xmlns="http://schemas.openxmlformats.org/officeDocument/2006/custom-properties" xmlns:vt="http://schemas.openxmlformats.org/officeDocument/2006/docPropsVTypes"/>
</file>