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drawing>
          <wp:inline distT="0" distB="0" distL="0" distR="0">
            <wp:extent cx="514350" cy="514350"/>
            <wp:effectExtent t="0" r="0" b="0" l="0"/>
            <wp:docPr id="1" name="logo" descr="Logo TILCOR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Arial" w:cs="Arial" w:eastAsia="Arial" w:hAnsi="Arial"/>
          <w:b/>
          <w:bCs/>
          <w:color w:val="1A5276"/>
          <w:sz w:val="34"/>
          <w:szCs w:val="34"/>
        </w:rPr>
        <w:t xml:space="preserve">CONTRATO DE ALCANCE Y PRESUPUESTO</w:t>
      </w:r>
    </w:p>
    <w:p>
      <w:pPr>
        <w:spacing w:after="160"/>
      </w:pPr>
      <w:r>
        <w:rPr>
          <w:rFonts w:ascii="Arial" w:cs="Arial" w:eastAsia="Arial" w:hAnsi="Arial"/>
          <w:color w:val="1E8449"/>
          <w:sz w:val="26"/>
          <w:szCs w:val="26"/>
        </w:rPr>
        <w:t xml:space="preserve">Sistema de Gestión Avícola TILCOR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D6EAF8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Proveedor</w:t>
            </w:r>
          </w:p>
        </w:tc>
        <w:tc>
          <w:tcPr>
            <w:tcW w:type="dxa" w:w="7938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Carnielli, Matías · Bacari, Fernando — Analistas en Sistemas de Información, IES Córdoba</w:t>
            </w:r>
          </w:p>
        </w:tc>
      </w:tr>
      <w:tr>
        <w:tc>
          <w:tcPr>
            <w:tcW w:type="dxa" w:w="17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D6EAF8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Cliente</w:t>
            </w:r>
          </w:p>
        </w:tc>
        <w:tc>
          <w:tcPr>
            <w:tcW w:type="dxa" w:w="7938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Avícola TILCOR S.A.S. — Propietario / Gerente. Avillia 1388, Colonia Tirolesa, Córdoba</w:t>
            </w:r>
          </w:p>
        </w:tc>
      </w:tr>
      <w:tr>
        <w:tc>
          <w:tcPr>
            <w:tcW w:type="dxa" w:w="17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D6EAF8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Fecha</w:t>
            </w:r>
          </w:p>
        </w:tc>
        <w:tc>
          <w:tcPr>
            <w:tcW w:type="dxa" w:w="7938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Córdoba, 22 de octubre de 2026 · Versión 1.0</w:t>
            </w:r>
          </w:p>
        </w:tc>
      </w:tr>
    </w:tbl>
    <w:p>
      <w:pPr>
        <w:keepNext/>
        <w:shd w:fill="D6EAF8" w:color="auto" w:val="clear"/>
        <w:spacing w:after="140" w:before="280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 DESCRIPCIÓN DEL PROYECTO</w:t>
      </w:r>
    </w:p>
    <w:p>
      <w:pPr>
        <w:spacing w:after="120" w:line="29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El presente documento formaliza el alcance y el presupuesto del desarrollo de un sistema web-móvil de gestión avícola para Avícola TILCOR S.A.S. Hoy la empresa gestiona su producción con cuatro herramientas desconectadas: planillas de papel por galpón, el sistema de facturación Don Gestión, la aplicación Gallinero (sensores IoT) y cuadernos de mortalidad. Esto provoca falta de alertas automáticas y entre 6 y 8 horas semanales de consolidación manual de datos.</w:t>
      </w:r>
    </w:p>
    <w:p>
      <w:pPr>
        <w:spacing w:after="120" w:line="29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El proyecto reemplaza ese proceso por un sistema integrado: centraliza la información productiva, avisa de inmediato ante desvíos y genera reportes por lote sin carga manual. Es una solución personalizada, responsive y con funcionamiento sin conexión dentro del galpón.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A5276"/>
          <w:sz w:val="21"/>
          <w:szCs w:val="21"/>
        </w:rPr>
        <w:t xml:space="preserve">Beneficios y cómo se medirán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b/>
          <w:bCs/>
          <w:color w:val="1A202C"/>
          <w:sz w:val="21"/>
          <w:szCs w:val="21"/>
        </w:rPr>
        <w:t xml:space="preserve">Alertas automáticas:</w:t>
      </w:r>
      <w:r>
        <w:rPr>
          <w:rFonts w:ascii="Arial" w:cs="Arial" w:eastAsia="Arial" w:hAnsi="Arial"/>
          <w:color w:val="1A202C"/>
          <w:sz w:val="21"/>
          <w:szCs w:val="21"/>
        </w:rPr>
        <w:t xml:space="preserve"> aviso en menos de 2 segundos ante un desvío de viabilidad o mortalidad.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b/>
          <w:bCs/>
          <w:color w:val="1A202C"/>
          <w:sz w:val="21"/>
          <w:szCs w:val="21"/>
        </w:rPr>
        <w:t xml:space="preserve">Carga manual del supervisor:</w:t>
      </w:r>
      <w:r>
        <w:rPr>
          <w:rFonts w:ascii="Arial" w:cs="Arial" w:eastAsia="Arial" w:hAnsi="Arial"/>
          <w:color w:val="1A202C"/>
          <w:sz w:val="21"/>
          <w:szCs w:val="21"/>
        </w:rPr>
        <w:t xml:space="preserve"> de 6–8 horas semanales a menos de 1 hora.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b/>
          <w:bCs/>
          <w:color w:val="1A202C"/>
          <w:sz w:val="21"/>
          <w:szCs w:val="21"/>
        </w:rPr>
        <w:t xml:space="preserve">Integración con Don Gestión:</w:t>
      </w:r>
      <w:r>
        <w:rPr>
          <w:rFonts w:ascii="Arial" w:cs="Arial" w:eastAsia="Arial" w:hAnsi="Arial"/>
          <w:color w:val="1A202C"/>
          <w:sz w:val="21"/>
          <w:szCs w:val="21"/>
        </w:rPr>
        <w:t xml:space="preserve"> sin doble carga de clientes y ventas.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b/>
          <w:bCs/>
          <w:color w:val="1A202C"/>
          <w:sz w:val="21"/>
          <w:szCs w:val="21"/>
        </w:rPr>
        <w:t xml:space="preserve">Acceso móvil offline:</w:t>
      </w:r>
      <w:r>
        <w:rPr>
          <w:rFonts w:ascii="Arial" w:cs="Arial" w:eastAsia="Arial" w:hAnsi="Arial"/>
          <w:color w:val="1A202C"/>
          <w:sz w:val="21"/>
          <w:szCs w:val="21"/>
        </w:rPr>
        <w:t xml:space="preserve"> los formularios del operario funcionan sin Wi-Fi interna.</w:t>
      </w:r>
    </w:p>
    <w:p>
      <w:pPr>
        <w:keepNext/>
        <w:shd w:fill="D6EAF8" w:color="auto" w:val="clear"/>
        <w:spacing w:after="140" w:before="280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 METODOLOGÍA DE TRABAJO</w:t>
      </w:r>
    </w:p>
    <w:p>
      <w:pPr>
        <w:spacing w:after="120" w:line="29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El desarrollo se realiza con metodologías ágiles, en fases cerradas con un hito de cierre cada una.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Reunión de revisión con el cliente al cierre de cada fase (cada 4 a 6 semanas) para validar el incremento.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Herramientas: GitHub (código fuente y tablero de gestión con issues e hitos), Vercel (entorno de pruebas con demo navegable) y Docker (entorno de despliegue).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Tecnología definida: React.js (PWA), Python con Django REST, PostgreSQL con TimescaleDB, MQTT (Mosquitto), Docker y Nginx.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Comunicación directa por correo, mensajería y reuniones virtuales.</w:t>
      </w:r>
    </w:p>
    <w:p>
      <w:pPr>
        <w:keepNext/>
        <w:shd w:fill="D6EAF8" w:color="auto" w:val="clear"/>
        <w:spacing w:after="140" w:before="280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 DEFINICIÓN DE LOS MÓDULOS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A5276"/>
          <w:sz w:val="21"/>
          <w:szCs w:val="21"/>
        </w:rPr>
        <w:t xml:space="preserve">M1 — GESTIÓN DE LOTES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Alta, seguimiento y cierre de lotes por galpón.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Registro de línea genética (Lohmann Brown-Classic o LSL-Classic), cantidad inicial y fechas.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A5276"/>
          <w:sz w:val="21"/>
          <w:szCs w:val="21"/>
        </w:rPr>
        <w:t xml:space="preserve">M2 — REGISTRO DE PRODUCCIÓN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Carga diaria de huevos, mortalidad y consumo de alimento por operario.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Formulario móvil que funciona sin conexión.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A5276"/>
          <w:sz w:val="21"/>
          <w:szCs w:val="21"/>
        </w:rPr>
        <w:t xml:space="preserve">M3 — ALERTAS AUTOMÁTICAS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Detección de desvíos de viabilidad y mortalidad contra la tabla del fabricante.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Notificación al supervisor en menos de 2 segundos.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A5276"/>
          <w:sz w:val="21"/>
          <w:szCs w:val="21"/>
        </w:rPr>
        <w:t xml:space="preserve">M4 — PANEL IoT Y M6 — HISTORIAL IoT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Temperatura, humedad y caudal de agua en tiempo real desde la app Gallinero (MQTT).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Consulta histórica por rango de fechas y galpón.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A5276"/>
          <w:sz w:val="21"/>
          <w:szCs w:val="21"/>
        </w:rPr>
        <w:t xml:space="preserve">M5 — DASHBOARD DE KPIs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Postura, viabilidad, mortalidad y consumo por galpón y por lote.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Comparativa entre las dos líneas genéticas.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A5276"/>
          <w:sz w:val="21"/>
          <w:szCs w:val="21"/>
        </w:rPr>
        <w:t xml:space="preserve">M7 — REPORTES SEMANALES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Informe automático por lote en PDF y CSV.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A5276"/>
          <w:sz w:val="21"/>
          <w:szCs w:val="21"/>
        </w:rPr>
        <w:t xml:space="preserve">M8 — INTEGRACIÓN CON DON GESTIÓN Y M10 — FACTURACIÓN AFIP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Lectura de clientes y facturas de Don Gestión, que sigue siendo el sistema de facturación.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Comprobantes electrónicos AFIP-WSFE para ventas que no pasen por Don Gestión.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A5276"/>
          <w:sz w:val="21"/>
          <w:szCs w:val="21"/>
        </w:rPr>
        <w:t xml:space="preserve">M9 — ACCESO VETERINARIO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Perfil de solo lectura con historial sanitario y alertas de mortalidad.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A5276"/>
          <w:sz w:val="21"/>
          <w:szCs w:val="21"/>
        </w:rPr>
        <w:t xml:space="preserve">M11 — ROLES Y ACCESO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Cuatro perfiles: Propietario, Supervisor, Operario y Veterinario.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Autenticación segura con JWT.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A5276"/>
          <w:sz w:val="21"/>
          <w:szCs w:val="21"/>
        </w:rPr>
        <w:t xml:space="preserve">M12 — PWA MÓVIL OFFLINE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Aplicación instalable en Android e iOS, sin pasar por una tienda.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Sincronización automática al recuperar señal.</w:t>
      </w:r>
    </w:p>
    <w:p>
      <w:pPr>
        <w:keepNext/>
        <w:shd w:fill="D6EAF8" w:color="auto" w:val="clear"/>
        <w:spacing w:after="140" w:before="280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 ALCANCE EXCLUIDO</w:t>
      </w:r>
    </w:p>
    <w:p>
      <w:pPr>
        <w:keepNext/>
        <w:spacing w:after="120" w:line="29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Lo siguiente queda fuera de esta etapa y solo se desarrolla si se acuerda por escrito: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Reemplazo o migración de Don Gestión: TILCOR se integra con él, no lo sustituye.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Aplicaciones nativas para tiendas Android o iOS: la solución es una PWA instalable.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Módulos de compras, proveedores y recursos humanos.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Cría y recría: el sistema cubre gallinas en postura.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Más de 4 galpones adicionales en la primera versión.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Inteligencia artificial o predicción sobre los datos de sensores.</w:t>
      </w:r>
    </w:p>
    <w:p>
      <w:pPr>
        <w:keepNext/>
        <w:shd w:fill="D6EAF8" w:color="auto" w:val="clear"/>
        <w:spacing w:after="140" w:before="280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 TIEMPO DEL PROYECTO</w:t>
      </w:r>
    </w:p>
    <w:p>
      <w:pPr>
        <w:spacing w:after="120" w:line="29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La duración estimada es de 26 semanas calendario (6 meses) desde la firma de este contrato, distribuidas así: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b/>
          <w:bCs/>
          <w:color w:val="1A202C"/>
          <w:sz w:val="21"/>
          <w:szCs w:val="21"/>
        </w:rPr>
        <w:t xml:space="preserve">Fase 1 — </w:t>
      </w:r>
      <w:r>
        <w:rPr>
          <w:rFonts w:ascii="Arial" w:cs="Arial" w:eastAsia="Arial" w:hAnsi="Arial"/>
          <w:color w:val="1A202C"/>
          <w:sz w:val="21"/>
          <w:szCs w:val="21"/>
        </w:rPr>
        <w:t xml:space="preserve">Semanas 1 a 4: relevamiento, prototipo de baja fidelidad, arquitectura y entorno.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b/>
          <w:bCs/>
          <w:color w:val="1A202C"/>
          <w:sz w:val="21"/>
          <w:szCs w:val="21"/>
        </w:rPr>
        <w:t xml:space="preserve">Fase 2 — </w:t>
      </w:r>
      <w:r>
        <w:rPr>
          <w:rFonts w:ascii="Arial" w:cs="Arial" w:eastAsia="Arial" w:hAnsi="Arial"/>
          <w:color w:val="1A202C"/>
          <w:sz w:val="21"/>
          <w:szCs w:val="21"/>
        </w:rPr>
        <w:t xml:space="preserve">Semanas 5 a 8: diseño UX/UI, prototipo navegable, gestión de lotes y registro de producción.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b/>
          <w:bCs/>
          <w:color w:val="1A202C"/>
          <w:sz w:val="21"/>
          <w:szCs w:val="21"/>
        </w:rPr>
        <w:t xml:space="preserve">Fase 3 — </w:t>
      </w:r>
      <w:r>
        <w:rPr>
          <w:rFonts w:ascii="Arial" w:cs="Arial" w:eastAsia="Arial" w:hAnsi="Arial"/>
          <w:color w:val="1A202C"/>
          <w:sz w:val="21"/>
          <w:szCs w:val="21"/>
        </w:rPr>
        <w:t xml:space="preserve">Semanas 9 a 13: alertas, dashboard, roles y backend completo.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b/>
          <w:bCs/>
          <w:color w:val="1A202C"/>
          <w:sz w:val="21"/>
          <w:szCs w:val="21"/>
        </w:rPr>
        <w:t xml:space="preserve">Fase 4 — </w:t>
      </w:r>
      <w:r>
        <w:rPr>
          <w:rFonts w:ascii="Arial" w:cs="Arial" w:eastAsia="Arial" w:hAnsi="Arial"/>
          <w:color w:val="1A202C"/>
          <w:sz w:val="21"/>
          <w:szCs w:val="21"/>
        </w:rPr>
        <w:t xml:space="preserve">Semanas 14 a 20: IoT, reportes, Don Gestión y AFIP.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b/>
          <w:bCs/>
          <w:color w:val="1A202C"/>
          <w:sz w:val="21"/>
          <w:szCs w:val="21"/>
        </w:rPr>
        <w:t xml:space="preserve">Fase 5 — </w:t>
      </w:r>
      <w:r>
        <w:rPr>
          <w:rFonts w:ascii="Arial" w:cs="Arial" w:eastAsia="Arial" w:hAnsi="Arial"/>
          <w:color w:val="1A202C"/>
          <w:sz w:val="21"/>
          <w:szCs w:val="21"/>
        </w:rPr>
        <w:t xml:space="preserve">Semanas 21 a 26: acceso veterinario, PWA offline, despliegue, pruebas y documentación.</w:t>
      </w:r>
    </w:p>
    <w:p>
      <w:pPr>
        <w:keepNext/>
        <w:shd w:fill="D6EAF8" w:color="auto" w:val="clear"/>
        <w:spacing w:after="140" w:before="280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 COSTO TOTAL Y FORMA DE PAGO</w:t>
      </w:r>
    </w:p>
    <w:p>
      <w:pPr>
        <w:keepNext/>
        <w:spacing w:after="100"/>
      </w:pPr>
      <w:r>
        <w:rPr>
          <w:rFonts w:ascii="Arial" w:cs="Arial" w:eastAsia="Arial" w:hAnsi="Arial"/>
          <w:b/>
          <w:bCs/>
          <w:color w:val="1A202C"/>
          <w:sz w:val="21"/>
          <w:szCs w:val="21"/>
        </w:rPr>
        <w:t xml:space="preserve">Valor total del proyecto: </w:t>
      </w:r>
      <w:r>
        <w:rPr>
          <w:rFonts w:ascii="Arial" w:cs="Arial" w:eastAsia="Arial" w:hAnsi="Arial"/>
          <w:b/>
          <w:bCs/>
          <w:color w:val="1A5276"/>
          <w:sz w:val="21"/>
          <w:szCs w:val="21"/>
        </w:rPr>
        <w:t xml:space="preserve">ARS 1.250.000 (precio fijo, proyecto cerrado).</w:t>
      </w:r>
    </w:p>
    <w:p>
      <w:pPr>
        <w:keepNext/>
        <w:spacing w:after="120" w:line="29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Modalidad de pago: por fases. Se abona el 30 % al inicio de cada fase y el 70 % restante al validar el hito de cierre. No se inicia una fase sin la aprobación por escrito del entregable anterior. Se mantiene la lógica de proyecto cerrado: si hay una demora que no se deba a cambios o pedidos nuevos del cliente, la responsabilidad es del equipo desarrollador.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800"/>
        <w:gridCol w:w="4788"/>
        <w:gridCol w:w="1900"/>
      </w:tblGrid>
      <w:tr>
        <w:trPr>
          <w:tblHeader/>
        </w:trPr>
        <w:tc>
          <w:tcPr>
            <w:tcW w:type="dxa" w:w="115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1A5276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18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1A5276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Semanas</w:t>
            </w:r>
          </w:p>
        </w:tc>
        <w:tc>
          <w:tcPr>
            <w:tcW w:type="dxa" w:w="4788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1A5276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Entregables principales</w:t>
            </w:r>
          </w:p>
        </w:tc>
        <w:tc>
          <w:tcPr>
            <w:tcW w:type="dxa" w:w="19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1A5276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Monto (ARS)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Fase 1</w:t>
            </w:r>
          </w:p>
        </w:tc>
        <w:tc>
          <w:tcPr>
            <w:tcW w:type="dxa" w:w="18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Semanas 1 a 4</w:t>
            </w:r>
          </w:p>
        </w:tc>
        <w:tc>
          <w:tcPr>
            <w:tcW w:type="dxa" w:w="4788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Relevamiento y análisis de requerimientos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Prototipo de baja fidelidad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Arquitectura base y configuración del entorno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5D6D7E"/>
                <w:sz w:val="18"/>
                <w:szCs w:val="18"/>
              </w:rPr>
              <w:t xml:space="preserve">Hito: Contrato firmado y entorno de desarrollo listo.</w:t>
            </w:r>
          </w:p>
        </w:tc>
        <w:tc>
          <w:tcPr>
            <w:tcW w:type="dxa" w:w="19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ARS 180.000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Fase 2</w:t>
            </w:r>
          </w:p>
        </w:tc>
        <w:tc>
          <w:tcPr>
            <w:tcW w:type="dxa" w:w="18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Semanas 5 a 8</w:t>
            </w:r>
          </w:p>
        </w:tc>
        <w:tc>
          <w:tcPr>
            <w:tcW w:type="dxa" w:w="4788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Diseño UX/UI y prototipo navegable (PWA)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M1 Gestión de lotes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M2 Registro de producción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5D6D7E"/>
                <w:sz w:val="18"/>
                <w:szCs w:val="18"/>
              </w:rPr>
              <w:t xml:space="preserve">Hito: Demo navegable al cliente.</w:t>
            </w:r>
          </w:p>
        </w:tc>
        <w:tc>
          <w:tcPr>
            <w:tcW w:type="dxa" w:w="19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ARS 220.000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Fase 3</w:t>
            </w:r>
          </w:p>
        </w:tc>
        <w:tc>
          <w:tcPr>
            <w:tcW w:type="dxa" w:w="18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Semanas 9 a 13</w:t>
            </w:r>
          </w:p>
        </w:tc>
        <w:tc>
          <w:tcPr>
            <w:tcW w:type="dxa" w:w="4788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M3 Alertas automáticas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M5 Dashboard de KPIs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M11 Roles y autenticación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Backend completo con API REST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5D6D7E"/>
                <w:sz w:val="18"/>
                <w:szCs w:val="18"/>
              </w:rPr>
              <w:t xml:space="preserve">Hito: Flujo completo de extremo a extremo.</w:t>
            </w:r>
          </w:p>
        </w:tc>
        <w:tc>
          <w:tcPr>
            <w:tcW w:type="dxa" w:w="19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ARS 280.000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Fase 4</w:t>
            </w:r>
          </w:p>
        </w:tc>
        <w:tc>
          <w:tcPr>
            <w:tcW w:type="dxa" w:w="18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Semanas 14 a 20</w:t>
            </w:r>
          </w:p>
        </w:tc>
        <w:tc>
          <w:tcPr>
            <w:tcW w:type="dxa" w:w="4788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M4 Panel IoT y M6 Historial IoT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M7 Reportes semanales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M8 Integración con Don Gestión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M10 Facturación AFIP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5D6D7E"/>
                <w:sz w:val="18"/>
                <w:szCs w:val="18"/>
              </w:rPr>
              <w:t xml:space="preserve">Hito: Integraciones externas validadas.</w:t>
            </w:r>
          </w:p>
        </w:tc>
        <w:tc>
          <w:tcPr>
            <w:tcW w:type="dxa" w:w="19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ARS 350.000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Fase 5</w:t>
            </w:r>
          </w:p>
        </w:tc>
        <w:tc>
          <w:tcPr>
            <w:tcW w:type="dxa" w:w="18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Semanas 21 a 26</w:t>
            </w:r>
          </w:p>
        </w:tc>
        <w:tc>
          <w:tcPr>
            <w:tcW w:type="dxa" w:w="4788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M9 Acceso veterinario y M12 PWA offline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Despliegue en VPS y pruebas de aceptación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Manual de usuario y documentación final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5D6D7E"/>
                <w:sz w:val="18"/>
                <w:szCs w:val="18"/>
              </w:rPr>
              <w:t xml:space="preserve">Hito: Sistema en producción.</w:t>
            </w:r>
          </w:p>
        </w:tc>
        <w:tc>
          <w:tcPr>
            <w:tcW w:type="dxa" w:w="19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ARS 220.000</w:t>
            </w:r>
          </w:p>
        </w:tc>
      </w:tr>
      <w:tr>
        <w:tc>
          <w:tcPr>
            <w:tcW w:type="dxa" w:w="115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D6EAF8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Total</w:t>
            </w:r>
          </w:p>
        </w:tc>
        <w:tc>
          <w:tcPr>
            <w:tcW w:type="dxa" w:w="18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D6EAF8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26 semanas</w:t>
            </w:r>
          </w:p>
        </w:tc>
        <w:tc>
          <w:tcPr>
            <w:tcW w:type="dxa" w:w="4788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D6EAF8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Sistema completo en producción</w:t>
            </w:r>
          </w:p>
        </w:tc>
        <w:tc>
          <w:tcPr>
            <w:tcW w:type="dxa" w:w="19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D6EAF8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ARS 1.250.000</w:t>
            </w:r>
          </w:p>
        </w:tc>
      </w:tr>
    </w:tbl>
    <w:p>
      <w:pPr>
        <w:keepNext/>
        <w:spacing w:after="100" w:before="200"/>
      </w:pPr>
      <w:r>
        <w:rPr>
          <w:rFonts w:ascii="Arial" w:cs="Arial" w:eastAsia="Arial" w:hAnsi="Arial"/>
          <w:b/>
          <w:bCs/>
          <w:color w:val="1A5276"/>
          <w:sz w:val="21"/>
          <w:szCs w:val="21"/>
        </w:rPr>
        <w:t xml:space="preserve">Detalle de pagos por fase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300"/>
        <w:gridCol w:w="2944"/>
        <w:gridCol w:w="3144"/>
      </w:tblGrid>
      <w:tr>
        <w:trPr>
          <w:tblHeader/>
        </w:trPr>
        <w:tc>
          <w:tcPr>
            <w:tcW w:type="dxa" w:w="125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1A5276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23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1A5276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30 % al inicio</w:t>
            </w:r>
          </w:p>
        </w:tc>
        <w:tc>
          <w:tcPr>
            <w:tcW w:type="dxa" w:w="2944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1A5276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70 % al hito de cierre</w:t>
            </w:r>
          </w:p>
        </w:tc>
        <w:tc>
          <w:tcPr>
            <w:tcW w:type="dxa" w:w="3144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1A5276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de la fase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Fase 1</w:t>
            </w:r>
          </w:p>
        </w:tc>
        <w:tc>
          <w:tcPr>
            <w:tcW w:type="dxa" w:w="23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ARS 54.000</w:t>
            </w:r>
          </w:p>
        </w:tc>
        <w:tc>
          <w:tcPr>
            <w:tcW w:type="dxa" w:w="2944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ARS 126.000</w:t>
            </w:r>
          </w:p>
        </w:tc>
        <w:tc>
          <w:tcPr>
            <w:tcW w:type="dxa" w:w="3144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ARS 180.000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Fase 2</w:t>
            </w:r>
          </w:p>
        </w:tc>
        <w:tc>
          <w:tcPr>
            <w:tcW w:type="dxa" w:w="23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ARS 66.000</w:t>
            </w:r>
          </w:p>
        </w:tc>
        <w:tc>
          <w:tcPr>
            <w:tcW w:type="dxa" w:w="2944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ARS 154.000</w:t>
            </w:r>
          </w:p>
        </w:tc>
        <w:tc>
          <w:tcPr>
            <w:tcW w:type="dxa" w:w="3144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ARS 220.000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Fase 3</w:t>
            </w:r>
          </w:p>
        </w:tc>
        <w:tc>
          <w:tcPr>
            <w:tcW w:type="dxa" w:w="23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ARS 84.000</w:t>
            </w:r>
          </w:p>
        </w:tc>
        <w:tc>
          <w:tcPr>
            <w:tcW w:type="dxa" w:w="2944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ARS 196.000</w:t>
            </w:r>
          </w:p>
        </w:tc>
        <w:tc>
          <w:tcPr>
            <w:tcW w:type="dxa" w:w="3144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ARS 280.000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Fase 4</w:t>
            </w:r>
          </w:p>
        </w:tc>
        <w:tc>
          <w:tcPr>
            <w:tcW w:type="dxa" w:w="23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ARS 105.000</w:t>
            </w:r>
          </w:p>
        </w:tc>
        <w:tc>
          <w:tcPr>
            <w:tcW w:type="dxa" w:w="2944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ARS 245.000</w:t>
            </w:r>
          </w:p>
        </w:tc>
        <w:tc>
          <w:tcPr>
            <w:tcW w:type="dxa" w:w="3144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ARS 350.000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Fase 5</w:t>
            </w:r>
          </w:p>
        </w:tc>
        <w:tc>
          <w:tcPr>
            <w:tcW w:type="dxa" w:w="23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ARS 66.000</w:t>
            </w:r>
          </w:p>
        </w:tc>
        <w:tc>
          <w:tcPr>
            <w:tcW w:type="dxa" w:w="2944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ARS 154.000</w:t>
            </w:r>
          </w:p>
        </w:tc>
        <w:tc>
          <w:tcPr>
            <w:tcW w:type="dxa" w:w="3144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ARS 220.000</w:t>
            </w:r>
          </w:p>
        </w:tc>
      </w:tr>
      <w:tr>
        <w:tc>
          <w:tcPr>
            <w:tcW w:type="dxa" w:w="125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D6EAF8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Total</w:t>
            </w:r>
          </w:p>
        </w:tc>
        <w:tc>
          <w:tcPr>
            <w:tcW w:type="dxa" w:w="23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D6EAF8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ARS 375.000</w:t>
            </w:r>
          </w:p>
        </w:tc>
        <w:tc>
          <w:tcPr>
            <w:tcW w:type="dxa" w:w="2944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D6EAF8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ARS 875.000</w:t>
            </w:r>
          </w:p>
        </w:tc>
        <w:tc>
          <w:tcPr>
            <w:tcW w:type="dxa" w:w="3144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D6EAF8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ARS 1.250.000</w:t>
            </w:r>
          </w:p>
        </w:tc>
      </w:tr>
    </w:tbl>
    <w:p>
      <w:pPr>
        <w:keepNext/>
        <w:shd w:fill="D6EAF8" w:color="auto" w:val="clear"/>
        <w:spacing w:after="140" w:before="280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 ACLARACIONES IMPORTANTES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Infraestructura: el cliente asume el costo del servidor VPS (estimado entre ARS 15.000 y 25.000 por mes según proveedor). No se incluyen licencias de software privativo.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Mantenimiento: se incluyen 3 meses de soporte posteriores a la entrega sin costo adicional. Desde el mes 4, el mantenimiento se acuerda por hora.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Condiciones del cliente: provee el acceso a los datos de Gallinero (MQTT) y Don Gestión, un VPS Linux con Docker, el CUIT y certificado digital vigentes para AFIP, y smartphones con Chrome o Safari actualizado para los operarios.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Cambios de alcance: todo pedido de cambio se notifica por escrito. El equipo responde en un máximo de 3 días hábiles con el impacto en plazo y costo, y el cambio solo se implementa con aprobación escrita del cliente. Un cambio significativo puede requerir reestimar costos y tiempos.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Aceptación: se firma la aceptación de cada fase antes de iniciar la siguiente.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Normativa: la facturación electrónica cumple con las normas vigentes de AFIP-WSFE.</w:t>
      </w:r>
    </w:p>
    <w:p>
      <w:pPr>
        <w:keepNext/>
        <w:shd w:fill="D6EAF8" w:color="auto" w:val="clear"/>
        <w:spacing w:after="140" w:before="280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 CONTACTO Y FIRMAS</w:t>
      </w:r>
    </w:p>
    <w:p>
      <w:pPr>
        <w:keepNext/>
        <w:spacing w:after="120" w:line="29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Carnielli, Matías · Bacari, Fernando — Analistas en Sistemas de Información, IES Córdoba.</w:t>
      </w:r>
    </w:p>
    <w:p>
      <w:pPr>
        <w:keepNext/>
        <w:spacing w:after="120" w:line="29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Las partes declaran haber leído, comprendido y aceptado los términos de este contrato.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0"/>
              <w:left w:type="dxa" w:w="100"/>
              <w:right w:type="dxa" w:w="300"/>
            </w:tcMar>
          </w:tcPr>
          <w:p>
            <w:pPr>
              <w:pBdr>
                <w:top w:val="single" w:color="1A202C" w:sz="6" w:space="4"/>
              </w:pBdr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Proveedor</w:t>
            </w:r>
          </w:p>
          <w:p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Carnielli, Matías</w:t>
            </w:r>
          </w:p>
          <w:p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Bacari, Fernando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0"/>
              <w:left w:type="dxa" w:w="300"/>
              <w:right w:type="dxa" w:w="100"/>
            </w:tcMar>
          </w:tcPr>
          <w:p>
            <w:pPr>
              <w:pBdr>
                <w:top w:val="single" w:color="1A202C" w:sz="6" w:space="4"/>
              </w:pBdr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Cliente</w:t>
            </w:r>
          </w:p>
          <w:p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Propietario / Gerente</w:t>
            </w:r>
          </w:p>
          <w:p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Avícola TILCOR S.A.S.</w:t>
            </w:r>
          </w:p>
        </w:tc>
      </w:tr>
    </w:tbl>
    <w:p>
      <w:pPr>
        <w:spacing w:before="240"/>
      </w:pPr>
      <w:r>
        <w:rPr>
          <w:rFonts w:ascii="Arial" w:cs="Arial" w:eastAsia="Arial" w:hAnsi="Arial"/>
          <w:color w:val="5D6D7E"/>
          <w:sz w:val="19"/>
          <w:szCs w:val="19"/>
        </w:rPr>
        <w:t xml:space="preserve">Fecha: ____ / ____ / ________        Lugar: Córdoba, Argentina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000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D6D7E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D6D7E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b/>
        <w:bCs/>
        <w:color w:val="1A5276"/>
        <w:sz w:val="16"/>
        <w:szCs w:val="16"/>
      </w:rPr>
      <w:t xml:space="preserve">CONTRATO DE ALCANCE Y PRESUPUESTO — SISTEMA TILCOR · Córdoba, 22 de octubre de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0c9f06a5277d6b44bda94bd9749168aea444a5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Alcance y Presupuesto — TILCOR</dc:title>
  <dc:creator>Carnielli, Matías · Bacari, Fernando</dc:creator>
  <cp:lastModifiedBy>Un-named</cp:lastModifiedBy>
  <cp:revision>1</cp:revision>
  <dcterms:created xsi:type="dcterms:W3CDTF">2026-10-22T12:24:37.430Z</dcterms:created>
  <dcterms:modified xsi:type="dcterms:W3CDTF">2026-10-22T12:24:37.430Z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