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360" w:lineRule="auto"/>
        <w:jc w:val="both"/>
      </w:pPr>
      <w:r>
        <w:rPr>
          <w:bCs/>
          <w:rFonts w:ascii="Arial" w:hAnsi="Arial"/>
          <w:b/>
          <w:sz w:val="22"/>
        </w:rPr>
        <w:t xml:space="preserve">ESPECIFICACIÓN DE REQUISITOS DEL SOFTWARE (ERS)</w:t>
      </w:r>
    </w:p>
    <w:p>
      <w:pPr>
        <w:pStyle w:val="BodyText"/>
        <w:spacing w:line="360" w:lineRule="auto"/>
        <w:jc w:val="both"/>
      </w:pPr>
      <w:r>
        <w:rPr>
          <w:bCs/>
          <w:rFonts w:ascii="Arial" w:hAnsi="Arial"/>
          <w:b/>
          <w:sz w:val="22"/>
        </w:rPr>
        <w:t xml:space="preserve">Tutor con IA Generativa — Asignatura Aplicaciones Móviles</w:t>
      </w:r>
    </w:p>
    <w:p>
      <w:pPr>
        <w:pStyle w:val="BodyText"/>
        <w:spacing w:line="360" w:lineRule="auto"/>
        <w:jc w:val="both"/>
      </w:pPr>
      <w:r>
        <w:rPr>
          <w:bCs/>
          <w:rFonts w:ascii="Arial" w:hAnsi="Arial"/>
          <w:b/>
          <w:sz w:val="22"/>
        </w:rPr>
        <w:t xml:space="preserve">IESTP</w:t>
      </w:r>
      <w:r>
        <w:rPr>
          <w:bCs/>
          <w:rFonts w:ascii="Arial" w:hAnsi="Arial"/>
          <w:b/>
          <w:sz w:val="22"/>
        </w:rPr>
        <w:t xml:space="preserve"> </w:t>
      </w:r>
      <w:r>
        <w:rPr>
          <w:bCs/>
          <w:rFonts w:ascii="Arial" w:hAnsi="Arial"/>
          <w:b/>
          <w:sz w:val="22"/>
        </w:rPr>
        <w:t xml:space="preserve">“</w:t>
      </w:r>
      <w:r>
        <w:rPr>
          <w:bCs/>
          <w:rFonts w:ascii="Arial" w:hAnsi="Arial"/>
          <w:b/>
          <w:sz w:val="22"/>
        </w:rPr>
        <w:t xml:space="preserve">República Federal de Alemania</w:t>
      </w:r>
      <w:r>
        <w:rPr>
          <w:bCs/>
          <w:rFonts w:ascii="Arial" w:hAnsi="Arial"/>
          <w:b/>
          <w:sz w:val="22"/>
        </w:rPr>
        <w:t xml:space="preserve">”</w:t>
      </w:r>
      <w:r>
        <w:rPr>
          <w:bCs/>
          <w:rFonts w:ascii="Arial" w:hAnsi="Arial"/>
          <w:b/>
          <w:sz w:val="22"/>
        </w:rPr>
        <w:t xml:space="preserve">, Chiclayo</w:t>
      </w:r>
    </w:p>
    <w:p>
      <w:pPr>
        <w:pStyle w:val="BodyText"/>
        <w:spacing w:line="360" w:lineRule="auto"/>
        <w:jc w:val="both"/>
      </w:pPr>
      <w:r>
        <w:rPr>
          <w:bCs/>
          <w:rFonts w:ascii="Arial" w:hAnsi="Arial"/>
          <w:b/>
          <w:sz w:val="22"/>
        </w:rPr>
        <w:t xml:space="preserve">Versión:</w:t>
      </w:r>
      <w:r>
        <w:rPr>
          <w:rFonts w:ascii="Arial" w:hAnsi="Arial"/>
          <w:sz w:val="22"/>
        </w:rPr>
        <w:t xml:space="preserve"> </w:t>
      </w:r>
      <w:r>
        <w:rPr>
          <w:rFonts w:ascii="Arial" w:hAnsi="Arial"/>
          <w:sz w:val="22"/>
        </w:rPr>
        <w:t xml:space="preserve">1.0</w:t>
      </w:r>
      <w:r>
        <w:rPr>
          <w:rFonts w:ascii="Arial" w:hAnsi="Arial"/>
          <w:sz w:val="22"/>
        </w:rPr>
        <w:t xml:space="preserve"> </w:t>
      </w:r>
      <w:r>
        <w:rPr>
          <w:bCs/>
          <w:rFonts w:ascii="Arial" w:hAnsi="Arial"/>
          <w:b/>
          <w:sz w:val="22"/>
        </w:rPr>
        <w:t xml:space="preserve">Fecha:</w:t>
      </w:r>
      <w:r>
        <w:rPr>
          <w:rFonts w:ascii="Arial" w:hAnsi="Arial"/>
          <w:sz w:val="22"/>
        </w:rPr>
        <w:t xml:space="preserve"> </w:t>
      </w:r>
      <w:r>
        <w:rPr>
          <w:rFonts w:ascii="Arial" w:hAnsi="Arial"/>
          <w:sz w:val="22"/>
        </w:rPr>
        <w:t xml:space="preserve">Abril 2026</w:t>
      </w:r>
      <w:r>
        <w:rPr>
          <w:rFonts w:ascii="Arial" w:hAnsi="Arial"/>
          <w:sz w:val="22"/>
        </w:rPr>
        <w:t xml:space="preserve"> </w:t>
      </w:r>
      <w:r>
        <w:rPr>
          <w:bCs/>
          <w:rFonts w:ascii="Arial" w:hAnsi="Arial"/>
          <w:b/>
          <w:sz w:val="22"/>
        </w:rPr>
        <w:t xml:space="preserve">Autor:</w:t>
      </w:r>
      <w:r>
        <w:rPr>
          <w:rFonts w:ascii="Arial" w:hAnsi="Arial"/>
          <w:sz w:val="22"/>
        </w:rPr>
        <w:t xml:space="preserve"> </w:t>
      </w:r>
      <w:r>
        <w:rPr>
          <w:rFonts w:ascii="Arial" w:hAnsi="Arial"/>
          <w:sz w:val="22"/>
        </w:rPr>
        <w:t xml:space="preserve">Zavaleta Marcelo, Roger Alessandro</w:t>
      </w:r>
      <w:r>
        <w:rPr>
          <w:rFonts w:ascii="Arial" w:hAnsi="Arial"/>
          <w:sz w:val="22"/>
        </w:rPr>
        <w:t xml:space="preserve"> </w:t>
      </w:r>
      <w:r>
        <w:rPr>
          <w:bCs/>
          <w:rFonts w:ascii="Arial" w:hAnsi="Arial"/>
          <w:b/>
          <w:sz w:val="22"/>
        </w:rPr>
        <w:t xml:space="preserve">Universidad:</w:t>
      </w:r>
      <w:r>
        <w:rPr>
          <w:rFonts w:ascii="Arial" w:hAnsi="Arial"/>
          <w:sz w:val="22"/>
        </w:rPr>
        <w:t xml:space="preserve"> </w:t>
      </w:r>
      <w:r>
        <w:rPr>
          <w:rFonts w:ascii="Arial" w:hAnsi="Arial"/>
          <w:sz w:val="22"/>
        </w:rPr>
        <w:t xml:space="preserve">USAT — Escuela de Ingeniería de Sistemas y Computación</w:t>
      </w:r>
    </w:p>
    <w:p>
      <w:pPr>
        <w:pStyle w:val="BodyText"/>
        <w:spacing w:line="360" w:lineRule="auto"/>
        <w:jc w:val="both"/>
      </w:pPr>
      <w:r>
        <w:rPr>
          <w:bCs/>
          <w:rFonts w:ascii="Arial" w:hAnsi="Arial"/>
          <w:b/>
          <w:sz w:val="22"/>
        </w:rPr>
        <w:t xml:space="preserve">1. INTRODUCCIÓN</w:t>
      </w:r>
    </w:p>
    <w:p>
      <w:pPr>
        <w:pStyle w:val="BodyText"/>
        <w:spacing w:line="360" w:lineRule="auto"/>
        <w:jc w:val="both"/>
      </w:pPr>
      <w:r>
        <w:rPr>
          <w:bCs/>
          <w:rFonts w:ascii="Arial" w:hAnsi="Arial"/>
          <w:b/>
          <w:sz w:val="22"/>
        </w:rPr>
        <w:t xml:space="preserve">1.1 Propósito</w:t>
      </w:r>
    </w:p>
    <w:p>
      <w:pPr>
        <w:pStyle w:val="BodyText"/>
        <w:spacing w:line="360" w:lineRule="auto"/>
        <w:jc w:val="both"/>
      </w:pPr>
      <w:r>
        <w:rPr>
          <w:rFonts w:ascii="Arial" w:hAnsi="Arial"/>
          <w:sz w:val="22"/>
        </w:rPr>
        <w:t xml:space="preserve">Este documento especifica los requisitos funcionales y no funcionales del sistema</w:t>
      </w:r>
      <w:r>
        <w:rPr>
          <w:rFonts w:ascii="Arial" w:hAnsi="Arial"/>
          <w:sz w:val="22"/>
        </w:rPr>
        <w:t xml:space="preserve"> </w:t>
      </w:r>
      <w:r>
        <w:rPr>
          <w:rFonts w:ascii="Arial" w:hAnsi="Arial"/>
          <w:sz w:val="22"/>
        </w:rPr>
        <w:t xml:space="preserve">“</w:t>
      </w:r>
      <w:r>
        <w:rPr>
          <w:rFonts w:ascii="Arial" w:hAnsi="Arial"/>
          <w:sz w:val="22"/>
        </w:rPr>
        <w:t xml:space="preserve">Tutor con IA Generativa</w:t>
      </w:r>
      <w:r>
        <w:rPr>
          <w:rFonts w:ascii="Arial" w:hAnsi="Arial"/>
          <w:sz w:val="22"/>
        </w:rPr>
        <w:t xml:space="preserve">”</w:t>
      </w:r>
      <w:r>
        <w:rPr>
          <w:rFonts w:ascii="Arial" w:hAnsi="Arial"/>
          <w:sz w:val="22"/>
        </w:rPr>
        <w:t xml:space="preserve"> </w:t>
      </w:r>
      <w:r>
        <w:rPr>
          <w:rFonts w:ascii="Arial" w:hAnsi="Arial"/>
          <w:sz w:val="22"/>
        </w:rPr>
        <w:t xml:space="preserve">para la asignatura de Aplicaciones Móviles del IESTP</w:t>
      </w:r>
      <w:r>
        <w:rPr>
          <w:rFonts w:ascii="Arial" w:hAnsi="Arial"/>
          <w:sz w:val="22"/>
        </w:rPr>
        <w:t xml:space="preserve"> </w:t>
      </w:r>
      <w:r>
        <w:rPr>
          <w:rFonts w:ascii="Arial" w:hAnsi="Arial"/>
          <w:sz w:val="22"/>
        </w:rPr>
        <w:t xml:space="preserve">“</w:t>
      </w:r>
      <w:r>
        <w:rPr>
          <w:rFonts w:ascii="Arial" w:hAnsi="Arial"/>
          <w:sz w:val="22"/>
        </w:rPr>
        <w:t xml:space="preserve">República Federal de Alemania</w:t>
      </w:r>
      <w:r>
        <w:rPr>
          <w:rFonts w:ascii="Arial" w:hAnsi="Arial"/>
          <w:sz w:val="22"/>
        </w:rPr>
        <w:t xml:space="preserve">”</w:t>
      </w:r>
      <w:r>
        <w:rPr>
          <w:rFonts w:ascii="Arial" w:hAnsi="Arial"/>
          <w:sz w:val="22"/>
        </w:rPr>
        <w:t xml:space="preserve"> </w:t>
      </w:r>
      <w:r>
        <w:rPr>
          <w:rFonts w:ascii="Arial" w:hAnsi="Arial"/>
          <w:sz w:val="22"/>
        </w:rPr>
        <w:t xml:space="preserve">(RFA), Chiclayo. Sirve como contrato técnico entre el desarrollador y los stakeholders del proyecto, y como base de verificación para la evaluación bajo la norma ISO/IEC 25010.</w:t>
      </w:r>
    </w:p>
    <w:p>
      <w:pPr>
        <w:pStyle w:val="BodyText"/>
        <w:spacing w:line="360" w:lineRule="auto"/>
        <w:jc w:val="both"/>
      </w:pPr>
      <w:r>
        <w:rPr>
          <w:bCs/>
          <w:rFonts w:ascii="Arial" w:hAnsi="Arial"/>
          <w:b/>
          <w:sz w:val="22"/>
        </w:rPr>
        <w:t xml:space="preserve">1.2 Alcance del Sistema</w:t>
      </w:r>
    </w:p>
    <w:p>
      <w:pPr>
        <w:pStyle w:val="BodyText"/>
        <w:spacing w:line="360" w:lineRule="auto"/>
        <w:jc w:val="both"/>
      </w:pPr>
      <w:r>
        <w:rPr>
          <w:rFonts w:ascii="Arial" w:hAnsi="Arial"/>
          <w:sz w:val="22"/>
        </w:rPr>
        <w:t xml:space="preserve">El sistema es una aplicación web (SPA) que integra un módulo de IA generativa basado en arquitectura RAG (Recuperación Aumentada por Generación) para proporcionar tutoría personalizada, contenido interactivo y seguimiento del progreso académico a los estudiantes del curso de Aplicaciones Móviles del IESTP RFA.</w:t>
      </w:r>
    </w:p>
    <w:p>
      <w:pPr>
        <w:pStyle w:val="BodyText"/>
        <w:spacing w:line="360" w:lineRule="auto"/>
        <w:jc w:val="both"/>
      </w:pPr>
      <w:r>
        <w:rPr>
          <w:bCs/>
          <w:rFonts w:ascii="Arial" w:hAnsi="Arial"/>
          <w:b/>
          <w:sz w:val="22"/>
        </w:rPr>
        <w:t xml:space="preserve">1.3 Definiciones y Acrónimos</w:t>
      </w:r>
    </w:p>
    <w:tbl>
      <w:tblPr>
        <w:tblW w:type="pct" w:w="5000"/>
        <w:tblLook w:firstRow="1" w:lastRow="0" w:firstColumn="0" w:lastColumn="0" w:noHBand="0" w:noVBand="0" w:val="0020"/>
        <w:jc w:val="star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60"/>
        <w:gridCol w:w="3960"/>
      </w:tblGrid>
      <w:tr>
        <w:trPr>
          <w:tblHeader w:val="true"/>
        </w:trPr>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Término</w:t>
            </w:r>
          </w:p>
        </w:tc>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Definición</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STI</w:t>
            </w:r>
          </w:p>
        </w:tc>
        <w:tc>
          <w:tcPr>
            <w:tcBorders>
              <w:top w:val="single" w:sz="6" w:space="0" w:color="808080"/>
              <w:left w:val="single" w:sz="6" w:space="0" w:color="808080"/>
              <w:bottom w:val="single" w:sz="6" w:space="0" w:color="808080"/>
              <w:right w:val="single" w:sz="6" w:space="0" w:color="808080"/>
            </w:tcBorders>
          </w:tcPr>
          <w:p>
            <w:pPr>
              <w:jc w:val="left"/>
            </w:pPr>
            <w:r>
              <w:t xml:space="preserve">Sistema de Tutoría Inteligente</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RAG</w:t>
            </w:r>
          </w:p>
        </w:tc>
        <w:tc>
          <w:tcPr>
            <w:tcBorders>
              <w:top w:val="single" w:sz="6" w:space="0" w:color="808080"/>
              <w:left w:val="single" w:sz="6" w:space="0" w:color="808080"/>
              <w:bottom w:val="single" w:sz="6" w:space="0" w:color="808080"/>
              <w:right w:val="single" w:sz="6" w:space="0" w:color="808080"/>
            </w:tcBorders>
          </w:tcPr>
          <w:p>
            <w:pPr>
              <w:jc w:val="left"/>
            </w:pPr>
            <w:r>
              <w:t xml:space="preserve">Retrieval-Augmented Generation (Generación Aumentada por Recuperación)</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LLM</w:t>
            </w:r>
          </w:p>
        </w:tc>
        <w:tc>
          <w:tcPr>
            <w:tcBorders>
              <w:top w:val="single" w:sz="6" w:space="0" w:color="808080"/>
              <w:left w:val="single" w:sz="6" w:space="0" w:color="808080"/>
              <w:bottom w:val="single" w:sz="6" w:space="0" w:color="808080"/>
              <w:right w:val="single" w:sz="6" w:space="0" w:color="808080"/>
            </w:tcBorders>
          </w:tcPr>
          <w:p>
            <w:pPr>
              <w:jc w:val="left"/>
            </w:pPr>
            <w:r>
              <w:t xml:space="preserve">Large Language Model (Modelo de Lenguaje Grande)</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JWT</w:t>
            </w:r>
          </w:p>
        </w:tc>
        <w:tc>
          <w:tcPr>
            <w:tcBorders>
              <w:top w:val="single" w:sz="6" w:space="0" w:color="808080"/>
              <w:left w:val="single" w:sz="6" w:space="0" w:color="808080"/>
              <w:bottom w:val="single" w:sz="6" w:space="0" w:color="808080"/>
              <w:right w:val="single" w:sz="6" w:space="0" w:color="808080"/>
            </w:tcBorders>
          </w:tcPr>
          <w:p>
            <w:pPr>
              <w:jc w:val="left"/>
            </w:pPr>
            <w:r>
              <w:t xml:space="preserve">JSON Web Token</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SPA</w:t>
            </w:r>
          </w:p>
        </w:tc>
        <w:tc>
          <w:tcPr>
            <w:tcBorders>
              <w:top w:val="single" w:sz="6" w:space="0" w:color="808080"/>
              <w:left w:val="single" w:sz="6" w:space="0" w:color="808080"/>
              <w:bottom w:val="single" w:sz="6" w:space="0" w:color="808080"/>
              <w:right w:val="single" w:sz="6" w:space="0" w:color="808080"/>
            </w:tcBorders>
          </w:tcPr>
          <w:p>
            <w:pPr>
              <w:jc w:val="left"/>
            </w:pPr>
            <w:r>
              <w:t xml:space="preserve">Single Page Application</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SUS</w:t>
            </w:r>
          </w:p>
        </w:tc>
        <w:tc>
          <w:tcPr>
            <w:tcBorders>
              <w:top w:val="single" w:sz="6" w:space="0" w:color="808080"/>
              <w:left w:val="single" w:sz="6" w:space="0" w:color="808080"/>
              <w:bottom w:val="single" w:sz="6" w:space="0" w:color="808080"/>
              <w:right w:val="single" w:sz="6" w:space="0" w:color="808080"/>
            </w:tcBorders>
          </w:tcPr>
          <w:p>
            <w:pPr>
              <w:jc w:val="left"/>
            </w:pPr>
            <w:r>
              <w:t xml:space="preserve">System Usability Scale</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pgvector</w:t>
            </w:r>
          </w:p>
        </w:tc>
        <w:tc>
          <w:tcPr>
            <w:tcBorders>
              <w:top w:val="single" w:sz="6" w:space="0" w:color="808080"/>
              <w:left w:val="single" w:sz="6" w:space="0" w:color="808080"/>
              <w:bottom w:val="single" w:sz="6" w:space="0" w:color="808080"/>
              <w:right w:val="single" w:sz="6" w:space="0" w:color="808080"/>
            </w:tcBorders>
          </w:tcPr>
          <w:p>
            <w:pPr>
              <w:jc w:val="left"/>
            </w:pPr>
            <w:r>
              <w:t xml:space="preserve">Extensión de PostgreSQL para búsqueda vectorial</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Chunk</w:t>
            </w:r>
          </w:p>
        </w:tc>
        <w:tc>
          <w:tcPr>
            <w:tcBorders>
              <w:top w:val="single" w:sz="6" w:space="0" w:color="808080"/>
              <w:left w:val="single" w:sz="6" w:space="0" w:color="808080"/>
              <w:bottom w:val="single" w:sz="6" w:space="0" w:color="808080"/>
              <w:right w:val="single" w:sz="6" w:space="0" w:color="808080"/>
            </w:tcBorders>
          </w:tcPr>
          <w:p>
            <w:pPr>
              <w:jc w:val="left"/>
            </w:pPr>
            <w:r>
              <w:t xml:space="preserve">Fragmento de texto resultante del proceso de segmentación de documentos</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Embedding</w:t>
            </w:r>
          </w:p>
        </w:tc>
        <w:tc>
          <w:tcPr>
            <w:tcBorders>
              <w:top w:val="single" w:sz="6" w:space="0" w:color="808080"/>
              <w:left w:val="single" w:sz="6" w:space="0" w:color="808080"/>
              <w:bottom w:val="single" w:sz="6" w:space="0" w:color="808080"/>
              <w:right w:val="single" w:sz="6" w:space="0" w:color="808080"/>
            </w:tcBorders>
          </w:tcPr>
          <w:p>
            <w:pPr>
              <w:jc w:val="left"/>
            </w:pPr>
            <w:r>
              <w:t xml:space="preserve">Representación vectorial numérica de un texto</w:t>
            </w:r>
          </w:p>
        </w:tc>
      </w:tr>
    </w:tbl>
    <w:p>
      <w:pPr>
        <w:pStyle w:val="BodyText"/>
        <w:spacing w:line="360" w:lineRule="auto"/>
        <w:jc w:val="both"/>
      </w:pPr>
      <w:r>
        <w:rPr>
          <w:bCs/>
          <w:rFonts w:ascii="Arial" w:hAnsi="Arial"/>
          <w:b/>
          <w:sz w:val="22"/>
        </w:rPr>
        <w:t xml:space="preserve">1.4 Stakeholders</w:t>
      </w:r>
    </w:p>
    <w:tbl>
      <w:tblPr>
        <w:tblW w:type="pct" w:w="5000"/>
        <w:tblLook w:firstRow="1" w:lastRow="0" w:firstColumn="0" w:lastColumn="0" w:noHBand="0" w:noVBand="0" w:val="0020"/>
        <w:jc w:val="star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60"/>
        <w:gridCol w:w="3960"/>
      </w:tblGrid>
      <w:tr>
        <w:trPr>
          <w:tblHeader w:val="true"/>
        </w:trPr>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Rol</w:t>
            </w:r>
          </w:p>
        </w:tc>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Descripción</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Estudiante (usuario primario)</w:t>
            </w:r>
          </w:p>
        </w:tc>
        <w:tc>
          <w:tcPr>
            <w:tcBorders>
              <w:top w:val="single" w:sz="6" w:space="0" w:color="808080"/>
              <w:left w:val="single" w:sz="6" w:space="0" w:color="808080"/>
              <w:bottom w:val="single" w:sz="6" w:space="0" w:color="808080"/>
              <w:right w:val="single" w:sz="6" w:space="0" w:color="808080"/>
            </w:tcBorders>
          </w:tcPr>
          <w:p>
            <w:pPr>
              <w:jc w:val="left"/>
            </w:pPr>
            <w:r>
              <w:t xml:space="preserve">Alumno del curso de Aplicaciones Móviles del IESTP RFA</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Docente coordinador</w:t>
            </w:r>
          </w:p>
        </w:tc>
        <w:tc>
          <w:tcPr>
            <w:tcBorders>
              <w:top w:val="single" w:sz="6" w:space="0" w:color="808080"/>
              <w:left w:val="single" w:sz="6" w:space="0" w:color="808080"/>
              <w:bottom w:val="single" w:sz="6" w:space="0" w:color="808080"/>
              <w:right w:val="single" w:sz="6" w:space="0" w:color="808080"/>
            </w:tcBorders>
          </w:tcPr>
          <w:p>
            <w:pPr>
              <w:jc w:val="left"/>
            </w:pPr>
            <w:r>
              <w:t xml:space="preserve">Ing. Xavier Benites Marín — supervisa contenido pedagógico</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Administrador del sistema</w:t>
            </w:r>
          </w:p>
        </w:tc>
        <w:tc>
          <w:tcPr>
            <w:tcBorders>
              <w:top w:val="single" w:sz="6" w:space="0" w:color="808080"/>
              <w:left w:val="single" w:sz="6" w:space="0" w:color="808080"/>
              <w:bottom w:val="single" w:sz="6" w:space="0" w:color="808080"/>
              <w:right w:val="single" w:sz="6" w:space="0" w:color="808080"/>
            </w:tcBorders>
          </w:tcPr>
          <w:p>
            <w:pPr>
              <w:jc w:val="left"/>
            </w:pPr>
            <w:r>
              <w:t xml:space="preserve">Desarrollador/investigador — gestiona documentos y usuarios</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Investigador</w:t>
            </w:r>
          </w:p>
        </w:tc>
        <w:tc>
          <w:tcPr>
            <w:tcBorders>
              <w:top w:val="single" w:sz="6" w:space="0" w:color="808080"/>
              <w:left w:val="single" w:sz="6" w:space="0" w:color="808080"/>
              <w:bottom w:val="single" w:sz="6" w:space="0" w:color="808080"/>
              <w:right w:val="single" w:sz="6" w:space="0" w:color="808080"/>
            </w:tcBorders>
          </w:tcPr>
          <w:p>
            <w:pPr>
              <w:jc w:val="left"/>
            </w:pPr>
            <w:r>
              <w:t xml:space="preserve">Roger Zavaleta — evalúa el sistema con ISO/IEC 25010 y SUS</w:t>
            </w:r>
          </w:p>
        </w:tc>
      </w:tr>
    </w:tbl>
    <w:p>
      <w:pPr>
        <w:pStyle w:val="BodyText"/>
        <w:spacing w:line="360" w:lineRule="auto"/>
        <w:jc w:val="both"/>
      </w:pPr>
      <w:r>
        <w:rPr>
          <w:bCs/>
          <w:rFonts w:ascii="Arial" w:hAnsi="Arial"/>
          <w:b/>
          <w:sz w:val="22"/>
        </w:rPr>
        <w:t xml:space="preserve">2. REQUISITOS FUNCIONALES</w:t>
      </w:r>
    </w:p>
    <w:p>
      <w:pPr>
        <w:pStyle w:val="BodyText"/>
        <w:spacing w:line="360" w:lineRule="auto"/>
        <w:jc w:val="both"/>
      </w:pPr>
      <w:r>
        <w:rPr>
          <w:rFonts w:ascii="Arial" w:hAnsi="Arial"/>
          <w:sz w:val="22"/>
        </w:rPr>
        <w:t xml:space="preserve">Los requisitos funcionales se organizan por módulo del sistema. Cada requisito incluye: identificador, nombre, descripción, prioridad (Alta/Media/Baja) e información de trazabilidad con los cinco objetivos específicos (OE) definidos en la matriz V.2.1 de la tesis.</w:t>
      </w:r>
    </w:p>
    <w:p>
      <w:pPr>
        <w:pStyle w:val="BodyText"/>
        <w:spacing w:line="360" w:lineRule="auto"/>
        <w:jc w:val="both"/>
      </w:pPr>
      <w:r>
        <w:rPr>
          <w:bCs/>
          <w:rFonts w:ascii="Arial" w:hAnsi="Arial"/>
          <w:b/>
          <w:sz w:val="22"/>
        </w:rPr>
        <w:t xml:space="preserve">MÓDULO 1: AUTENTICACIÓN Y GESTIÓN DE USUARIOS</w:t>
      </w:r>
    </w:p>
    <w:p>
      <w:pPr>
        <w:pStyle w:val="BodyText"/>
        <w:spacing w:line="360" w:lineRule="auto"/>
        <w:jc w:val="both"/>
      </w:pPr>
      <w:r>
        <w:rPr>
          <w:bCs/>
          <w:rFonts w:ascii="Arial" w:hAnsi="Arial"/>
          <w:b/>
          <w:sz w:val="22"/>
        </w:rPr>
        <w:t xml:space="preserve">RF-01 — Registro de usuarios</w:t>
      </w:r>
    </w:p>
    <w:p>
      <w:pPr>
        <w:numPr>
          <w:ilvl w:val="0"/>
          <w:numId w:val="1001"/>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permitir el registro de nuevos usuarios proporcionando correo electrónico institucional (dominio</w:t>
      </w:r>
      <w:r>
        <w:rPr>
          <w:rFonts w:ascii="Arial" w:hAnsi="Arial"/>
          <w:sz w:val="22"/>
        </w:rPr>
        <w:t xml:space="preserve"> </w:t>
      </w:r>
      <w:r>
        <w:rPr>
          <w:rFonts w:ascii="Arial" w:hAnsi="Arial"/>
          <w:sz w:val="22"/>
        </w:rPr>
        <w:t xml:space="preserve">@iestprfa.edu.pe</w:t>
      </w:r>
      <w:r>
        <w:rPr>
          <w:rFonts w:ascii="Arial" w:hAnsi="Arial"/>
          <w:sz w:val="22"/>
        </w:rPr>
        <w:t xml:space="preserve"> </w:t>
      </w:r>
      <w:r>
        <w:rPr>
          <w:rFonts w:ascii="Arial" w:hAnsi="Arial"/>
          <w:sz w:val="22"/>
        </w:rPr>
        <w:t xml:space="preserve">o similar), nombre completo y contraseña. El sistema debe validar el formato del correo y la fortaleza de la contraseña (mínimo 8 caracteres).</w:t>
      </w:r>
    </w:p>
    <w:p>
      <w:pPr>
        <w:numPr>
          <w:ilvl w:val="0"/>
          <w:numId w:val="1001"/>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01"/>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 OE-5 (validación adecuación funcional ISO/IEC 25010 + SUS)</w:t>
      </w:r>
    </w:p>
    <w:p>
      <w:pPr>
        <w:pStyle w:val="FirstParagraph"/>
        <w:spacing w:line="360" w:lineRule="auto"/>
        <w:jc w:val="both"/>
      </w:pPr>
      <w:r>
        <w:rPr>
          <w:bCs/>
          <w:rFonts w:ascii="Arial" w:hAnsi="Arial"/>
          <w:b/>
          <w:sz w:val="22"/>
        </w:rPr>
        <w:t xml:space="preserve">RF-02 — Inicio de sesión</w:t>
      </w:r>
    </w:p>
    <w:p>
      <w:pPr>
        <w:numPr>
          <w:ilvl w:val="0"/>
          <w:numId w:val="1002"/>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autenticar a los usuarios mediante correo electrónico y contraseña. Al autenticarse correctamente, debe generar un token JWT de acceso (duración: 60 minutos) y un token de refresco (duración: 7 días). El sistema debe ofrecer la opción</w:t>
      </w:r>
      <w:r>
        <w:rPr>
          <w:rFonts w:ascii="Arial" w:hAnsi="Arial"/>
          <w:sz w:val="22"/>
        </w:rPr>
        <w:t xml:space="preserve"> </w:t>
      </w:r>
      <w:r>
        <w:rPr>
          <w:rFonts w:ascii="Arial" w:hAnsi="Arial"/>
          <w:sz w:val="22"/>
        </w:rPr>
        <w:t xml:space="preserve">“</w:t>
      </w:r>
      <w:r>
        <w:rPr>
          <w:rFonts w:ascii="Arial" w:hAnsi="Arial"/>
          <w:sz w:val="22"/>
        </w:rPr>
        <w:t xml:space="preserve">Recordar usuario</w:t>
      </w:r>
      <w:r>
        <w:rPr>
          <w:rFonts w:ascii="Arial" w:hAnsi="Arial"/>
          <w:sz w:val="22"/>
        </w:rPr>
        <w:t xml:space="preserve">”</w:t>
      </w:r>
      <w:r>
        <w:rPr>
          <w:rFonts w:ascii="Arial" w:hAnsi="Arial"/>
          <w:sz w:val="22"/>
        </w:rPr>
        <w:t xml:space="preserve">.</w:t>
      </w:r>
    </w:p>
    <w:p>
      <w:pPr>
        <w:numPr>
          <w:ilvl w:val="0"/>
          <w:numId w:val="1002"/>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02"/>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 OE-5 (validación adecuación funcional ISO/IEC 25010 + SUS)</w:t>
      </w:r>
    </w:p>
    <w:p>
      <w:pPr>
        <w:pStyle w:val="FirstParagraph"/>
        <w:spacing w:line="360" w:lineRule="auto"/>
        <w:jc w:val="both"/>
      </w:pPr>
      <w:r>
        <w:rPr>
          <w:bCs/>
          <w:rFonts w:ascii="Arial" w:hAnsi="Arial"/>
          <w:b/>
          <w:sz w:val="22"/>
        </w:rPr>
        <w:t xml:space="preserve">RF-03 — Cierre de sesión</w:t>
      </w:r>
    </w:p>
    <w:p>
      <w:pPr>
        <w:numPr>
          <w:ilvl w:val="0"/>
          <w:numId w:val="1003"/>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permitir al usuario cerrar su sesión de forma segura, invalidando el token JWT activo y limpiando los datos de sesión almacenados localmente.</w:t>
      </w:r>
    </w:p>
    <w:p>
      <w:pPr>
        <w:numPr>
          <w:ilvl w:val="0"/>
          <w:numId w:val="1003"/>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03"/>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OE-5 (validación adecuación funcional ISO/IEC 25010 + SUS)</w:t>
      </w:r>
    </w:p>
    <w:p>
      <w:pPr>
        <w:pStyle w:val="FirstParagraph"/>
        <w:spacing w:line="360" w:lineRule="auto"/>
        <w:jc w:val="both"/>
      </w:pPr>
      <w:r>
        <w:rPr>
          <w:bCs/>
          <w:rFonts w:ascii="Arial" w:hAnsi="Arial"/>
          <w:b/>
          <w:sz w:val="22"/>
        </w:rPr>
        <w:t xml:space="preserve">RF-04 — Recuperación de contraseña</w:t>
      </w:r>
    </w:p>
    <w:p>
      <w:pPr>
        <w:numPr>
          <w:ilvl w:val="0"/>
          <w:numId w:val="1004"/>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permitir al usuario solicitar el restablecimiento de su contraseña mediante el ingreso de su correo electrónico registrado. El sistema enviará un enlace de recuperación válido por 1 hora.</w:t>
      </w:r>
    </w:p>
    <w:p>
      <w:pPr>
        <w:numPr>
          <w:ilvl w:val="0"/>
          <w:numId w:val="1004"/>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numPr>
          <w:ilvl w:val="0"/>
          <w:numId w:val="1004"/>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OE-5 (validación adecuación funcional ISO/IEC 25010 + SUS)</w:t>
      </w:r>
    </w:p>
    <w:p>
      <w:pPr>
        <w:pStyle w:val="FirstParagraph"/>
        <w:spacing w:line="360" w:lineRule="auto"/>
        <w:jc w:val="both"/>
      </w:pPr>
      <w:r>
        <w:rPr>
          <w:bCs/>
          <w:rFonts w:ascii="Arial" w:hAnsi="Arial"/>
          <w:b/>
          <w:sz w:val="22"/>
        </w:rPr>
        <w:t xml:space="preserve">RF-05 — Gestión de roles</w:t>
      </w:r>
    </w:p>
    <w:p>
      <w:pPr>
        <w:numPr>
          <w:ilvl w:val="0"/>
          <w:numId w:val="1005"/>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soportar dos roles de usuario: (a)</w:t>
      </w:r>
      <w:r>
        <w:rPr>
          <w:rFonts w:ascii="Arial" w:hAnsi="Arial"/>
          <w:sz w:val="22"/>
        </w:rPr>
        <w:t xml:space="preserve"> </w:t>
      </w:r>
      <w:r>
        <w:rPr>
          <w:bCs/>
          <w:rFonts w:ascii="Arial" w:hAnsi="Arial"/>
          <w:b/>
          <w:sz w:val="22"/>
        </w:rPr>
        <w:t xml:space="preserve">Estudiante</w:t>
      </w:r>
      <w:r>
        <w:rPr>
          <w:rFonts w:ascii="Arial" w:hAnsi="Arial"/>
          <w:sz w:val="22"/>
        </w:rPr>
        <w:t xml:space="preserve"> </w:t>
      </w:r>
      <w:r>
        <w:rPr>
          <w:rFonts w:ascii="Arial" w:hAnsi="Arial"/>
          <w:sz w:val="22"/>
        </w:rPr>
        <w:t xml:space="preserve">con acceso a contenido del curso, tutor IA y seguimiento de progreso; (b)</w:t>
      </w:r>
      <w:r>
        <w:rPr>
          <w:rFonts w:ascii="Arial" w:hAnsi="Arial"/>
          <w:sz w:val="22"/>
        </w:rPr>
        <w:t xml:space="preserve"> </w:t>
      </w:r>
      <w:r>
        <w:rPr>
          <w:bCs/>
          <w:rFonts w:ascii="Arial" w:hAnsi="Arial"/>
          <w:b/>
          <w:sz w:val="22"/>
        </w:rPr>
        <w:t xml:space="preserve">Administrador</w:t>
      </w:r>
      <w:r>
        <w:rPr>
          <w:rFonts w:ascii="Arial" w:hAnsi="Arial"/>
          <w:sz w:val="22"/>
        </w:rPr>
        <w:t xml:space="preserve"> </w:t>
      </w:r>
      <w:r>
        <w:rPr>
          <w:rFonts w:ascii="Arial" w:hAnsi="Arial"/>
          <w:sz w:val="22"/>
        </w:rPr>
        <w:t xml:space="preserve">con acceso adicional al panel de gestión de documentos y usuarios.</w:t>
      </w:r>
    </w:p>
    <w:p>
      <w:pPr>
        <w:numPr>
          <w:ilvl w:val="0"/>
          <w:numId w:val="1005"/>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05"/>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 OE-5 (validación adecuación funcional ISO/IEC 25010 + SUS)</w:t>
      </w:r>
    </w:p>
    <w:p>
      <w:pPr>
        <w:pStyle w:val="FirstParagraph"/>
        <w:spacing w:line="360" w:lineRule="auto"/>
        <w:jc w:val="both"/>
      </w:pPr>
      <w:r>
        <w:rPr>
          <w:bCs/>
          <w:rFonts w:ascii="Arial" w:hAnsi="Arial"/>
          <w:b/>
          <w:sz w:val="22"/>
        </w:rPr>
        <w:t xml:space="preserve">RF-06 — Perfil de usuario</w:t>
      </w:r>
    </w:p>
    <w:p>
      <w:pPr>
        <w:numPr>
          <w:ilvl w:val="0"/>
          <w:numId w:val="1006"/>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permitir al estudiante visualizar y editar su información de perfil: nombre, foto de perfil y contraseña. No se permite cambiar el correo electrónico una vez registrado.</w:t>
      </w:r>
    </w:p>
    <w:p>
      <w:pPr>
        <w:numPr>
          <w:ilvl w:val="0"/>
          <w:numId w:val="1006"/>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numPr>
          <w:ilvl w:val="0"/>
          <w:numId w:val="1006"/>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OE-5 (validación adecuación funcional ISO/IEC 25010 + SUS)</w:t>
      </w:r>
    </w:p>
    <w:p>
      <w:pPr>
        <w:pStyle w:val="FirstParagraph"/>
        <w:spacing w:line="360" w:lineRule="auto"/>
        <w:jc w:val="both"/>
      </w:pPr>
      <w:r>
        <w:rPr>
          <w:bCs/>
          <w:rFonts w:ascii="Arial" w:hAnsi="Arial"/>
          <w:b/>
          <w:sz w:val="22"/>
        </w:rPr>
        <w:t xml:space="preserve">MÓDULO 2: PANEL DE CONTROL (DASHBOARD)</w:t>
      </w:r>
    </w:p>
    <w:p>
      <w:pPr>
        <w:pStyle w:val="BodyText"/>
        <w:spacing w:line="360" w:lineRule="auto"/>
        <w:jc w:val="both"/>
      </w:pPr>
      <w:r>
        <w:rPr>
          <w:bCs/>
          <w:rFonts w:ascii="Arial" w:hAnsi="Arial"/>
          <w:b/>
          <w:sz w:val="22"/>
        </w:rPr>
        <w:t xml:space="preserve">RF-07 — Visualización del progreso general</w:t>
      </w:r>
    </w:p>
    <w:p>
      <w:pPr>
        <w:numPr>
          <w:ilvl w:val="0"/>
          <w:numId w:val="1007"/>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dashboard debe mostrar el porcentaje de avance general del estudiante en el curso, calculado como el promedio ponderado de los módulos completados respecto al total de temas disponibles.</w:t>
      </w:r>
    </w:p>
    <w:p>
      <w:pPr>
        <w:numPr>
          <w:ilvl w:val="0"/>
          <w:numId w:val="1007"/>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07"/>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 OE-5 (validación adecuación funcional ISO/IEC 25010 + SUS)</w:t>
      </w:r>
    </w:p>
    <w:p>
      <w:pPr>
        <w:pStyle w:val="FirstParagraph"/>
        <w:spacing w:line="360" w:lineRule="auto"/>
        <w:jc w:val="both"/>
      </w:pPr>
      <w:r>
        <w:rPr>
          <w:bCs/>
          <w:rFonts w:ascii="Arial" w:hAnsi="Arial"/>
          <w:b/>
          <w:sz w:val="22"/>
        </w:rPr>
        <w:t xml:space="preserve">RF-08 — Resumen de módulos recientes</w:t>
      </w:r>
    </w:p>
    <w:p>
      <w:pPr>
        <w:numPr>
          <w:ilvl w:val="0"/>
          <w:numId w:val="1008"/>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mostrar en el dashboard un máximo de 3 módulos o temas accedidos recientemente, con acceso rápido para continuar donde se dejó.</w:t>
      </w:r>
    </w:p>
    <w:p>
      <w:pPr>
        <w:numPr>
          <w:ilvl w:val="0"/>
          <w:numId w:val="1008"/>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08"/>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RF-09 — Recomendaciones del tutor IA</w:t>
      </w:r>
    </w:p>
    <w:p>
      <w:pPr>
        <w:numPr>
          <w:ilvl w:val="0"/>
          <w:numId w:val="1009"/>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dashboard debe mostrar hasta 3 recomendaciones del siguiente contenido a estudiar, generadas en función del progreso y el desempeño del estudiante en las autoevaluaciones.</w:t>
      </w:r>
    </w:p>
    <w:p>
      <w:pPr>
        <w:numPr>
          <w:ilvl w:val="0"/>
          <w:numId w:val="1009"/>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numPr>
          <w:ilvl w:val="0"/>
          <w:numId w:val="1009"/>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RF-10 — Notificaciones y avisos</w:t>
      </w:r>
    </w:p>
    <w:p>
      <w:pPr>
        <w:numPr>
          <w:ilvl w:val="0"/>
          <w:numId w:val="1010"/>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mostrar en el dashboard notificaciones relevantes: logros desbloqueados, recordatorios de módulos pendientes y mensajes del administrador/docente.</w:t>
      </w:r>
    </w:p>
    <w:p>
      <w:pPr>
        <w:numPr>
          <w:ilvl w:val="0"/>
          <w:numId w:val="1010"/>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Baja</w:t>
      </w:r>
    </w:p>
    <w:p>
      <w:pPr>
        <w:numPr>
          <w:ilvl w:val="0"/>
          <w:numId w:val="1010"/>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OE-5 (validación adecuación funcional ISO/IEC 25010 + SUS)</w:t>
      </w:r>
    </w:p>
    <w:p>
      <w:pPr>
        <w:pStyle w:val="FirstParagraph"/>
        <w:spacing w:line="360" w:lineRule="auto"/>
        <w:jc w:val="both"/>
      </w:pPr>
      <w:r>
        <w:rPr>
          <w:bCs/>
          <w:rFonts w:ascii="Arial" w:hAnsi="Arial"/>
          <w:b/>
          <w:sz w:val="22"/>
        </w:rPr>
        <w:t xml:space="preserve">MÓDULO 3: CATÁLOGO Y GESTIÓN DE MÓDULOS DEL CURSO</w:t>
      </w:r>
    </w:p>
    <w:p>
      <w:pPr>
        <w:pStyle w:val="BodyText"/>
        <w:spacing w:line="360" w:lineRule="auto"/>
        <w:jc w:val="both"/>
      </w:pPr>
      <w:r>
        <w:rPr>
          <w:bCs/>
          <w:rFonts w:ascii="Arial" w:hAnsi="Arial"/>
          <w:b/>
          <w:sz w:val="22"/>
        </w:rPr>
        <w:t xml:space="preserve">RF-11 — Listado de módulos del curso</w:t>
      </w:r>
    </w:p>
    <w:p>
      <w:pPr>
        <w:numPr>
          <w:ilvl w:val="0"/>
          <w:numId w:val="1011"/>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mostrar el catálogo completo de los 5 módulos temáticos del curso de Aplicaciones Móviles, ordenados secuencialmente según el sílabo del IESTP RFA. Para cada módulo debe mostrarse: título, descripción breve, número de temas, duración estimada y barra de progreso individual.</w:t>
      </w:r>
    </w:p>
    <w:p>
      <w:pPr>
        <w:numPr>
          <w:ilvl w:val="0"/>
          <w:numId w:val="1011"/>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11"/>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RF-12 — Detalle de módulo</w:t>
      </w:r>
    </w:p>
    <w:p>
      <w:pPr>
        <w:numPr>
          <w:ilvl w:val="0"/>
          <w:numId w:val="1012"/>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Al seleccionar un módulo, el sistema debe mostrar el listado de temas que lo componen con su estado: no iniciado, en progreso o completado.</w:t>
      </w:r>
    </w:p>
    <w:p>
      <w:pPr>
        <w:numPr>
          <w:ilvl w:val="0"/>
          <w:numId w:val="1012"/>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12"/>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RF-13 — Control de acceso secuencial a módulos</w:t>
      </w:r>
    </w:p>
    <w:p>
      <w:pPr>
        <w:numPr>
          <w:ilvl w:val="0"/>
          <w:numId w:val="1013"/>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controlar el desbloqueo de módulos de forma secuencial. El Módulo 1 está disponible desde el inicio. Los módulos siguientes se desbloquean cuando el estudiante completa al menos el 80% de los temas del módulo anterior.</w:t>
      </w:r>
    </w:p>
    <w:p>
      <w:pPr>
        <w:numPr>
          <w:ilvl w:val="0"/>
          <w:numId w:val="1013"/>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numPr>
          <w:ilvl w:val="0"/>
          <w:numId w:val="1013"/>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RF-14 — Estado de completitud de temas</w:t>
      </w:r>
    </w:p>
    <w:p>
      <w:pPr>
        <w:numPr>
          <w:ilvl w:val="0"/>
          <w:numId w:val="1014"/>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registrar y mostrar el estado de cada tema dentro de un módulo: no visitado, en progreso (visitado pero sin completar autoevaluación) y completado (autoevaluación aprobada con ≥ 60% de respuestas correctas).</w:t>
      </w:r>
    </w:p>
    <w:p>
      <w:pPr>
        <w:numPr>
          <w:ilvl w:val="0"/>
          <w:numId w:val="1014"/>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14"/>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 OE-5 (validación adecuación funcional ISO/IEC 25010 + SUS)</w:t>
      </w:r>
    </w:p>
    <w:p>
      <w:pPr>
        <w:pStyle w:val="FirstParagraph"/>
        <w:spacing w:line="360" w:lineRule="auto"/>
        <w:jc w:val="both"/>
      </w:pPr>
      <w:r>
        <w:rPr>
          <w:bCs/>
          <w:rFonts w:ascii="Arial" w:hAnsi="Arial"/>
          <w:b/>
          <w:sz w:val="22"/>
        </w:rPr>
        <w:t xml:space="preserve">MÓDULO 4: MÓDULO DE APRENDIZAJE INTERACTIVO</w:t>
      </w:r>
    </w:p>
    <w:p>
      <w:pPr>
        <w:pStyle w:val="BodyText"/>
        <w:spacing w:line="360" w:lineRule="auto"/>
        <w:jc w:val="both"/>
      </w:pPr>
      <w:r>
        <w:rPr>
          <w:bCs/>
          <w:rFonts w:ascii="Arial" w:hAnsi="Arial"/>
          <w:b/>
          <w:sz w:val="22"/>
        </w:rPr>
        <w:t xml:space="preserve">RF-15 — Visualización de contenido multimedia</w:t>
      </w:r>
    </w:p>
    <w:p>
      <w:pPr>
        <w:numPr>
          <w:ilvl w:val="0"/>
          <w:numId w:val="1015"/>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presentar el contenido de cada tema combinando: texto formateado (con soporte Markdown), bloques de código con resaltado de sintaxis (soporte para Kotlin, Java y XML), imágenes ilustrativas y videos incrustados (YouTube o similar). La navegación entre sub-temas debe ser secuencial (botones</w:t>
      </w:r>
      <w:r>
        <w:rPr>
          <w:rFonts w:ascii="Arial" w:hAnsi="Arial"/>
          <w:sz w:val="22"/>
        </w:rPr>
        <w:t xml:space="preserve"> </w:t>
      </w:r>
      <w:r>
        <w:rPr>
          <w:rFonts w:ascii="Arial" w:hAnsi="Arial"/>
          <w:sz w:val="22"/>
        </w:rPr>
        <w:t xml:space="preserve">“</w:t>
      </w:r>
      <w:r>
        <w:rPr>
          <w:rFonts w:ascii="Arial" w:hAnsi="Arial"/>
          <w:sz w:val="22"/>
        </w:rPr>
        <w:t xml:space="preserve">Tema Anterior</w:t>
      </w:r>
      <w:r>
        <w:rPr>
          <w:rFonts w:ascii="Arial" w:hAnsi="Arial"/>
          <w:sz w:val="22"/>
        </w:rPr>
        <w:t xml:space="preserve">”</w:t>
      </w:r>
      <w:r>
        <w:rPr>
          <w:rFonts w:ascii="Arial" w:hAnsi="Arial"/>
          <w:sz w:val="22"/>
        </w:rPr>
        <w:t xml:space="preserve"> </w:t>
      </w:r>
      <w:r>
        <w:rPr>
          <w:rFonts w:ascii="Arial" w:hAnsi="Arial"/>
          <w:sz w:val="22"/>
        </w:rPr>
        <w:t xml:space="preserve">/</w:t>
      </w:r>
      <w:r>
        <w:rPr>
          <w:rFonts w:ascii="Arial" w:hAnsi="Arial"/>
          <w:sz w:val="22"/>
        </w:rPr>
        <w:t xml:space="preserve"> </w:t>
      </w:r>
      <w:r>
        <w:rPr>
          <w:rFonts w:ascii="Arial" w:hAnsi="Arial"/>
          <w:sz w:val="22"/>
        </w:rPr>
        <w:t xml:space="preserve">“</w:t>
      </w:r>
      <w:r>
        <w:rPr>
          <w:rFonts w:ascii="Arial" w:hAnsi="Arial"/>
          <w:sz w:val="22"/>
        </w:rPr>
        <w:t xml:space="preserve">Siguiente Tema</w:t>
      </w:r>
      <w:r>
        <w:rPr>
          <w:rFonts w:ascii="Arial" w:hAnsi="Arial"/>
          <w:sz w:val="22"/>
        </w:rPr>
        <w:t xml:space="preserve">”</w:t>
      </w:r>
      <w:r>
        <w:rPr>
          <w:rFonts w:ascii="Arial" w:hAnsi="Arial"/>
          <w:sz w:val="22"/>
        </w:rPr>
        <w:t xml:space="preserve">) con indicador de posición (ej.:</w:t>
      </w:r>
      <w:r>
        <w:rPr>
          <w:rFonts w:ascii="Arial" w:hAnsi="Arial"/>
          <w:sz w:val="22"/>
        </w:rPr>
        <w:t xml:space="preserve"> </w:t>
      </w:r>
      <w:r>
        <w:rPr>
          <w:rFonts w:ascii="Arial" w:hAnsi="Arial"/>
          <w:sz w:val="22"/>
        </w:rPr>
        <w:t xml:space="preserve">“</w:t>
      </w:r>
      <w:r>
        <w:rPr>
          <w:rFonts w:ascii="Arial" w:hAnsi="Arial"/>
          <w:sz w:val="22"/>
        </w:rPr>
        <w:t xml:space="preserve">1 de 4</w:t>
      </w:r>
      <w:r>
        <w:rPr>
          <w:rFonts w:ascii="Arial" w:hAnsi="Arial"/>
          <w:sz w:val="22"/>
        </w:rPr>
        <w:t xml:space="preserve">”</w:t>
      </w:r>
      <w:r>
        <w:rPr>
          <w:rFonts w:ascii="Arial" w:hAnsi="Arial"/>
          <w:sz w:val="22"/>
        </w:rPr>
        <w:t xml:space="preserve">).</w:t>
      </w:r>
    </w:p>
    <w:p>
      <w:pPr>
        <w:numPr>
          <w:ilvl w:val="0"/>
          <w:numId w:val="1015"/>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15"/>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RF-16 — Registro del progreso de lectura</w:t>
      </w:r>
    </w:p>
    <w:p>
      <w:pPr>
        <w:numPr>
          <w:ilvl w:val="0"/>
          <w:numId w:val="1016"/>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registrar automáticamente cuando un estudiante visita un tema y cuándo lo marca como completado. El tiempo de permanencia en cada tema debe ser registrado para análisis posterior.</w:t>
      </w:r>
    </w:p>
    <w:p>
      <w:pPr>
        <w:numPr>
          <w:ilvl w:val="0"/>
          <w:numId w:val="1016"/>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16"/>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RF-17 — Marcado manual de tema completado</w:t>
      </w:r>
    </w:p>
    <w:p>
      <w:pPr>
        <w:numPr>
          <w:ilvl w:val="0"/>
          <w:numId w:val="1017"/>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estudiante debe poder marcar un tema como</w:t>
      </w:r>
      <w:r>
        <w:rPr>
          <w:rFonts w:ascii="Arial" w:hAnsi="Arial"/>
          <w:sz w:val="22"/>
        </w:rPr>
        <w:t xml:space="preserve"> </w:t>
      </w:r>
      <w:r>
        <w:rPr>
          <w:rFonts w:ascii="Arial" w:hAnsi="Arial"/>
          <w:sz w:val="22"/>
        </w:rPr>
        <w:t xml:space="preserve">“</w:t>
      </w:r>
      <w:r>
        <w:rPr>
          <w:rFonts w:ascii="Arial" w:hAnsi="Arial"/>
          <w:sz w:val="22"/>
        </w:rPr>
        <w:t xml:space="preserve">completado</w:t>
      </w:r>
      <w:r>
        <w:rPr>
          <w:rFonts w:ascii="Arial" w:hAnsi="Arial"/>
          <w:sz w:val="22"/>
        </w:rPr>
        <w:t xml:space="preserve">”</w:t>
      </w:r>
      <w:r>
        <w:rPr>
          <w:rFonts w:ascii="Arial" w:hAnsi="Arial"/>
          <w:sz w:val="22"/>
        </w:rPr>
        <w:t xml:space="preserve"> </w:t>
      </w:r>
      <w:r>
        <w:rPr>
          <w:rFonts w:ascii="Arial" w:hAnsi="Arial"/>
          <w:sz w:val="22"/>
        </w:rPr>
        <w:t xml:space="preserve">mediante un botón explícito, independientemente de si existe autoevaluación, para contenidos de lectura o vídeo.</w:t>
      </w:r>
    </w:p>
    <w:p>
      <w:pPr>
        <w:numPr>
          <w:ilvl w:val="0"/>
          <w:numId w:val="1017"/>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numPr>
          <w:ilvl w:val="0"/>
          <w:numId w:val="1017"/>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RF-18 — Sistema de autoevaluación por tema</w:t>
      </w:r>
    </w:p>
    <w:p>
      <w:pPr>
        <w:numPr>
          <w:ilvl w:val="0"/>
          <w:numId w:val="1018"/>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Al finalizar cada tema con autoevaluación, el sistema debe presentar un cuestionario de 3 a 10 preguntas de opción múltiple (4 opciones por pregunta). El sistema debe: (a) calificar automáticamente las respuestas al finalizar; (b) mostrar retroalimentación explicativa por cada respuesta (correcta e incorrecta); (c) registrar el intento, las respuestas seleccionadas y la puntuación obtenida; (d) permitir reintentos ilimitados mostrando preguntas en orden aleatorio.</w:t>
      </w:r>
    </w:p>
    <w:p>
      <w:pPr>
        <w:numPr>
          <w:ilvl w:val="0"/>
          <w:numId w:val="1018"/>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18"/>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 OE-5 (validación adecuación funcional ISO/IEC 25010 + SUS)</w:t>
      </w:r>
    </w:p>
    <w:p>
      <w:pPr>
        <w:pStyle w:val="FirstParagraph"/>
        <w:spacing w:line="360" w:lineRule="auto"/>
        <w:jc w:val="both"/>
      </w:pPr>
      <w:r>
        <w:rPr>
          <w:bCs/>
          <w:rFonts w:ascii="Arial" w:hAnsi="Arial"/>
          <w:b/>
          <w:sz w:val="22"/>
        </w:rPr>
        <w:t xml:space="preserve">MÓDULO 5: TUTOR IA GENERATIVA (CHAT RAG)</w:t>
      </w:r>
    </w:p>
    <w:p>
      <w:pPr>
        <w:pStyle w:val="BodyText"/>
        <w:spacing w:line="360" w:lineRule="auto"/>
        <w:jc w:val="both"/>
      </w:pPr>
      <w:r>
        <w:rPr>
          <w:bCs/>
          <w:rFonts w:ascii="Arial" w:hAnsi="Arial"/>
          <w:b/>
          <w:sz w:val="22"/>
        </w:rPr>
        <w:t xml:space="preserve">RF-19 — Interfaz de chat con el tutor IA</w:t>
      </w:r>
    </w:p>
    <w:p>
      <w:pPr>
        <w:numPr>
          <w:ilvl w:val="0"/>
          <w:numId w:val="1019"/>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proporcionar una interfaz de chat conversacional donde el estudiante pueda enviar preguntas en lenguaje natural y recibir respuestas del tutor IA. La interfaz debe mostrar el historial de la conversación actual con diferenciación visual entre mensajes del usuario y respuestas del tutor.</w:t>
      </w:r>
    </w:p>
    <w:p>
      <w:pPr>
        <w:numPr>
          <w:ilvl w:val="0"/>
          <w:numId w:val="1019"/>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19"/>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RF-20 — Respuestas basadas en el contenido del curso (RAG)</w:t>
      </w:r>
    </w:p>
    <w:p>
      <w:pPr>
        <w:numPr>
          <w:ilvl w:val="0"/>
          <w:numId w:val="1020"/>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tutor IA debe responder preguntas utilizando exclusivamente el contenido del corpus del curso (sílabo, material didáctico, guías de práctica) mediante arquitectura RAG. Las respuestas deben: (a) estar fundamentadas en fragmentos recuperados del corpus; (b) incluir referencia a la fuente del conocimiento utilizado; (c) rechazar preguntas completamente ajenas al dominio del curso con un mensaje educativo.</w:t>
      </w:r>
    </w:p>
    <w:p>
      <w:pPr>
        <w:numPr>
          <w:ilvl w:val="0"/>
          <w:numId w:val="1020"/>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20"/>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RF-21 — Contexto de conversación</w:t>
      </w:r>
    </w:p>
    <w:p>
      <w:pPr>
        <w:numPr>
          <w:ilvl w:val="0"/>
          <w:numId w:val="1021"/>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tutor IA debe mantener el contexto de los últimos 5 intercambios de la conversación activa para respuestas coherentes y progresivas.</w:t>
      </w:r>
    </w:p>
    <w:p>
      <w:pPr>
        <w:numPr>
          <w:ilvl w:val="0"/>
          <w:numId w:val="1021"/>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21"/>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RF-22 — Historial de conversaciones</w:t>
      </w:r>
    </w:p>
    <w:p>
      <w:pPr>
        <w:numPr>
          <w:ilvl w:val="0"/>
          <w:numId w:val="1022"/>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almacenar el historial de conversaciones del estudiante con el tutor IA. El estudiante debe poder acceder a conversaciones anteriores y continuar o iniciar una nueva sesión de chat.</w:t>
      </w:r>
    </w:p>
    <w:p>
      <w:pPr>
        <w:numPr>
          <w:ilvl w:val="0"/>
          <w:numId w:val="1022"/>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numPr>
          <w:ilvl w:val="0"/>
          <w:numId w:val="1022"/>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RF-23 — Indicador de</w:t>
      </w:r>
      <w:r>
        <w:rPr>
          <w:bCs/>
          <w:rFonts w:ascii="Arial" w:hAnsi="Arial"/>
          <w:b/>
          <w:sz w:val="22"/>
        </w:rPr>
        <w:t xml:space="preserve"> </w:t>
      </w:r>
      <w:r>
        <w:rPr>
          <w:bCs/>
          <w:rFonts w:ascii="Arial" w:hAnsi="Arial"/>
          <w:b/>
          <w:sz w:val="22"/>
        </w:rPr>
        <w:t xml:space="preserve">“</w:t>
      </w:r>
      <w:r>
        <w:rPr>
          <w:bCs/>
          <w:rFonts w:ascii="Arial" w:hAnsi="Arial"/>
          <w:b/>
          <w:sz w:val="22"/>
        </w:rPr>
        <w:t xml:space="preserve">escribiendo</w:t>
      </w:r>
      <w:r>
        <w:rPr>
          <w:bCs/>
          <w:rFonts w:ascii="Arial" w:hAnsi="Arial"/>
          <w:b/>
          <w:sz w:val="22"/>
        </w:rPr>
        <w:t xml:space="preserve">”</w:t>
      </w:r>
    </w:p>
    <w:p>
      <w:pPr>
        <w:numPr>
          <w:ilvl w:val="0"/>
          <w:numId w:val="1023"/>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Durante el procesamiento de la respuesta por el LLM, el sistema debe mostrar un indicador visual de que el tutor está generando la respuesta, para mejorar la percepción de respuesta del sistema.</w:t>
      </w:r>
    </w:p>
    <w:p>
      <w:pPr>
        <w:numPr>
          <w:ilvl w:val="0"/>
          <w:numId w:val="1023"/>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numPr>
          <w:ilvl w:val="0"/>
          <w:numId w:val="1023"/>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OE-5 (validación adecuación funcional ISO/IEC 25010 + SUS)</w:t>
      </w:r>
    </w:p>
    <w:p>
      <w:pPr>
        <w:pStyle w:val="FirstParagraph"/>
        <w:spacing w:line="360" w:lineRule="auto"/>
        <w:jc w:val="both"/>
      </w:pPr>
      <w:r>
        <w:rPr>
          <w:bCs/>
          <w:rFonts w:ascii="Arial" w:hAnsi="Arial"/>
          <w:b/>
          <w:sz w:val="22"/>
        </w:rPr>
        <w:t xml:space="preserve">RF-24 — Rate limiting</w:t>
      </w:r>
      <w:r>
        <w:rPr>
          <w:rFonts w:ascii="Arial" w:hAnsi="Arial"/>
          <w:sz w:val="22"/>
        </w:rPr>
        <w:t xml:space="preserve">** de consultas al tutor IA**</w:t>
      </w:r>
    </w:p>
    <w:p>
      <w:pPr>
        <w:numPr>
          <w:ilvl w:val="0"/>
          <w:numId w:val="1024"/>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limitar el número de consultas al tutor IA a un máximo de 20 mensajes por estudiante por hora, para controlar el costo operativo y evitar abuso del servicio.</w:t>
      </w:r>
    </w:p>
    <w:p>
      <w:pPr>
        <w:numPr>
          <w:ilvl w:val="0"/>
          <w:numId w:val="1024"/>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numPr>
          <w:ilvl w:val="0"/>
          <w:numId w:val="1024"/>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 OE-5 (validación adecuación funcional ISO/IEC 25010 + SUS)</w:t>
      </w:r>
    </w:p>
    <w:p>
      <w:pPr>
        <w:pStyle w:val="FirstParagraph"/>
        <w:spacing w:line="360" w:lineRule="auto"/>
        <w:jc w:val="both"/>
      </w:pPr>
      <w:r>
        <w:rPr>
          <w:bCs/>
          <w:rFonts w:ascii="Arial" w:hAnsi="Arial"/>
          <w:b/>
          <w:sz w:val="22"/>
        </w:rPr>
        <w:t xml:space="preserve">MÓDULO 6: SEGUIMIENTO DE PROGRESO DETALLADO</w:t>
      </w:r>
    </w:p>
    <w:p>
      <w:pPr>
        <w:pStyle w:val="BodyText"/>
        <w:spacing w:line="360" w:lineRule="auto"/>
        <w:jc w:val="both"/>
      </w:pPr>
      <w:r>
        <w:rPr>
          <w:bCs/>
          <w:rFonts w:ascii="Arial" w:hAnsi="Arial"/>
          <w:b/>
          <w:sz w:val="22"/>
        </w:rPr>
        <w:t xml:space="preserve">RF-25 — Panel de progreso por módulo</w:t>
      </w:r>
    </w:p>
    <w:p>
      <w:pPr>
        <w:numPr>
          <w:ilvl w:val="0"/>
          <w:numId w:val="1025"/>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mostrar una vista detallada del progreso del estudiante con: (a) porcentaje de avance por cada módulo (barra de progreso); (b) número de temas completados vs. total por módulo; (c) número de lecciones totales completadas; (d) promedio de desempeño en autoevaluaciones.</w:t>
      </w:r>
    </w:p>
    <w:p>
      <w:pPr>
        <w:numPr>
          <w:ilvl w:val="0"/>
          <w:numId w:val="1025"/>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25"/>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 OE-5 (validación adecuación funcional ISO/IEC 25010 + SUS)</w:t>
      </w:r>
    </w:p>
    <w:p>
      <w:pPr>
        <w:pStyle w:val="FirstParagraph"/>
        <w:spacing w:line="360" w:lineRule="auto"/>
        <w:jc w:val="both"/>
      </w:pPr>
      <w:r>
        <w:rPr>
          <w:bCs/>
          <w:rFonts w:ascii="Arial" w:hAnsi="Arial"/>
          <w:b/>
          <w:sz w:val="22"/>
        </w:rPr>
        <w:t xml:space="preserve">RF-26 — Métricas de tiempo de estudio</w:t>
      </w:r>
    </w:p>
    <w:p>
      <w:pPr>
        <w:numPr>
          <w:ilvl w:val="0"/>
          <w:numId w:val="1026"/>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registrar y mostrar el tiempo acumulado de estudio por módulo y el tiempo total en la plataforma, para promover la autorregulación del aprendizaje.</w:t>
      </w:r>
    </w:p>
    <w:p>
      <w:pPr>
        <w:numPr>
          <w:ilvl w:val="0"/>
          <w:numId w:val="1026"/>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numPr>
          <w:ilvl w:val="0"/>
          <w:numId w:val="1026"/>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RF-27 — Historial de autoevaluaciones</w:t>
      </w:r>
    </w:p>
    <w:p>
      <w:pPr>
        <w:numPr>
          <w:ilvl w:val="0"/>
          <w:numId w:val="1027"/>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mostrar un historial de los intentos en autoevaluaciones: fecha del intento, tema evaluado, puntuación obtenida y número de intentos realizados.</w:t>
      </w:r>
    </w:p>
    <w:p>
      <w:pPr>
        <w:numPr>
          <w:ilvl w:val="0"/>
          <w:numId w:val="1027"/>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numPr>
          <w:ilvl w:val="0"/>
          <w:numId w:val="1027"/>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 OE-5 (validación adecuación funcional ISO/IEC 25010 + SUS)</w:t>
      </w:r>
    </w:p>
    <w:p>
      <w:pPr>
        <w:pStyle w:val="FirstParagraph"/>
        <w:spacing w:line="360" w:lineRule="auto"/>
        <w:jc w:val="both"/>
      </w:pPr>
      <w:r>
        <w:rPr>
          <w:bCs/>
          <w:rFonts w:ascii="Arial" w:hAnsi="Arial"/>
          <w:b/>
          <w:sz w:val="22"/>
        </w:rPr>
        <w:t xml:space="preserve">MÓDULO 7: SISTEMA DE LOGROS E INSIGNIAS (GAMIFICACIÓN)</w:t>
      </w:r>
    </w:p>
    <w:p>
      <w:pPr>
        <w:pStyle w:val="BodyText"/>
        <w:spacing w:line="360" w:lineRule="auto"/>
        <w:jc w:val="both"/>
      </w:pPr>
      <w:r>
        <w:rPr>
          <w:bCs/>
          <w:rFonts w:ascii="Arial" w:hAnsi="Arial"/>
          <w:b/>
          <w:sz w:val="22"/>
        </w:rPr>
        <w:t xml:space="preserve">RF-28 — Otorgamiento automático de logros</w:t>
      </w:r>
    </w:p>
    <w:p>
      <w:pPr>
        <w:numPr>
          <w:ilvl w:val="0"/>
          <w:numId w:val="1028"/>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otorgar insignias automáticamente al cumplir hitos predefinidos. Los logros mínimos incluyen:</w:t>
      </w:r>
    </w:p>
    <w:p>
      <w:pPr>
        <w:numPr>
          <w:ilvl w:val="0"/>
          <w:numId w:val="1028"/>
        </w:numPr>
        <w:spacing w:line="360" w:lineRule="auto"/>
        <w:jc w:val="both"/>
      </w:pPr>
      <w:r>
        <w:rPr>
          <w:bCs/>
          <w:rFonts w:ascii="Arial" w:hAnsi="Arial"/>
          <w:b/>
          <w:sz w:val="22"/>
        </w:rPr>
        <w:t xml:space="preserve">“</w:t>
      </w:r>
      <w:r>
        <w:rPr>
          <w:bCs/>
          <w:rFonts w:ascii="Arial" w:hAnsi="Arial"/>
          <w:b/>
          <w:sz w:val="22"/>
        </w:rPr>
        <w:t xml:space="preserve">Inicio del camino</w:t>
      </w:r>
      <w:r>
        <w:rPr>
          <w:bCs/>
          <w:rFonts w:ascii="Arial" w:hAnsi="Arial"/>
          <w:b/>
          <w:sz w:val="22"/>
        </w:rPr>
        <w:t xml:space="preserve">”</w:t>
      </w:r>
      <w:r>
        <w:rPr>
          <w:bCs/>
          <w:rFonts w:ascii="Arial" w:hAnsi="Arial"/>
          <w:b/>
          <w:sz w:val="22"/>
        </w:rPr>
        <w:t xml:space="preserve">:</w:t>
      </w:r>
      <w:r>
        <w:rPr>
          <w:rFonts w:ascii="Arial" w:hAnsi="Arial"/>
          <w:sz w:val="22"/>
        </w:rPr>
        <w:t xml:space="preserve"> </w:t>
      </w:r>
      <w:r>
        <w:rPr>
          <w:rFonts w:ascii="Arial" w:hAnsi="Arial"/>
          <w:sz w:val="22"/>
        </w:rPr>
        <w:t xml:space="preserve">Completar el primer tema.</w:t>
      </w:r>
    </w:p>
    <w:p>
      <w:pPr>
        <w:numPr>
          <w:ilvl w:val="0"/>
          <w:numId w:val="1028"/>
        </w:numPr>
        <w:spacing w:line="360" w:lineRule="auto"/>
        <w:jc w:val="both"/>
      </w:pPr>
      <w:r>
        <w:rPr>
          <w:bCs/>
          <w:rFonts w:ascii="Arial" w:hAnsi="Arial"/>
          <w:b/>
          <w:sz w:val="22"/>
        </w:rPr>
        <w:t xml:space="preserve">“</w:t>
      </w:r>
      <w:r>
        <w:rPr>
          <w:bCs/>
          <w:rFonts w:ascii="Arial" w:hAnsi="Arial"/>
          <w:b/>
          <w:sz w:val="22"/>
        </w:rPr>
        <w:t xml:space="preserve">Finalizador de Módulo</w:t>
      </w:r>
      <w:r>
        <w:rPr>
          <w:bCs/>
          <w:rFonts w:ascii="Arial" w:hAnsi="Arial"/>
          <w:b/>
          <w:sz w:val="22"/>
        </w:rPr>
        <w:t xml:space="preserve">”</w:t>
      </w:r>
      <w:r>
        <w:rPr>
          <w:bCs/>
          <w:rFonts w:ascii="Arial" w:hAnsi="Arial"/>
          <w:b/>
          <w:sz w:val="22"/>
        </w:rPr>
        <w:t xml:space="preserve">:</w:t>
      </w:r>
      <w:r>
        <w:rPr>
          <w:rFonts w:ascii="Arial" w:hAnsi="Arial"/>
          <w:sz w:val="22"/>
        </w:rPr>
        <w:t xml:space="preserve"> </w:t>
      </w:r>
      <w:r>
        <w:rPr>
          <w:rFonts w:ascii="Arial" w:hAnsi="Arial"/>
          <w:sz w:val="22"/>
        </w:rPr>
        <w:t xml:space="preserve">Completar todos los temas de un módulo.</w:t>
      </w:r>
    </w:p>
    <w:p>
      <w:pPr>
        <w:numPr>
          <w:ilvl w:val="0"/>
          <w:numId w:val="1028"/>
        </w:numPr>
        <w:spacing w:line="360" w:lineRule="auto"/>
        <w:jc w:val="both"/>
      </w:pPr>
      <w:r>
        <w:rPr>
          <w:bCs/>
          <w:rFonts w:ascii="Arial" w:hAnsi="Arial"/>
          <w:b/>
          <w:sz w:val="22"/>
        </w:rPr>
        <w:t xml:space="preserve">“</w:t>
      </w:r>
      <w:r>
        <w:rPr>
          <w:bCs/>
          <w:rFonts w:ascii="Arial" w:hAnsi="Arial"/>
          <w:b/>
          <w:sz w:val="22"/>
        </w:rPr>
        <w:t xml:space="preserve">Racha de 7 días</w:t>
      </w:r>
      <w:r>
        <w:rPr>
          <w:bCs/>
          <w:rFonts w:ascii="Arial" w:hAnsi="Arial"/>
          <w:b/>
          <w:sz w:val="22"/>
        </w:rPr>
        <w:t xml:space="preserve">”</w:t>
      </w:r>
      <w:r>
        <w:rPr>
          <w:bCs/>
          <w:rFonts w:ascii="Arial" w:hAnsi="Arial"/>
          <w:b/>
          <w:sz w:val="22"/>
        </w:rPr>
        <w:t xml:space="preserve">:</w:t>
      </w:r>
      <w:r>
        <w:rPr>
          <w:rFonts w:ascii="Arial" w:hAnsi="Arial"/>
          <w:sz w:val="22"/>
        </w:rPr>
        <w:t xml:space="preserve"> </w:t>
      </w:r>
      <w:r>
        <w:rPr>
          <w:rFonts w:ascii="Arial" w:hAnsi="Arial"/>
          <w:sz w:val="22"/>
        </w:rPr>
        <w:t xml:space="preserve">Acceder a la plataforma 7 días consecutivos.</w:t>
      </w:r>
    </w:p>
    <w:p>
      <w:pPr>
        <w:numPr>
          <w:ilvl w:val="0"/>
          <w:numId w:val="1028"/>
        </w:numPr>
        <w:spacing w:line="360" w:lineRule="auto"/>
        <w:jc w:val="both"/>
      </w:pPr>
      <w:r>
        <w:rPr>
          <w:bCs/>
          <w:rFonts w:ascii="Arial" w:hAnsi="Arial"/>
          <w:b/>
          <w:sz w:val="22"/>
        </w:rPr>
        <w:t xml:space="preserve">“</w:t>
      </w:r>
      <w:r>
        <w:rPr>
          <w:bCs/>
          <w:rFonts w:ascii="Arial" w:hAnsi="Arial"/>
          <w:b/>
          <w:sz w:val="22"/>
        </w:rPr>
        <w:t xml:space="preserve">Experto en IA</w:t>
      </w:r>
      <w:r>
        <w:rPr>
          <w:bCs/>
          <w:rFonts w:ascii="Arial" w:hAnsi="Arial"/>
          <w:b/>
          <w:sz w:val="22"/>
        </w:rPr>
        <w:t xml:space="preserve">”</w:t>
      </w:r>
      <w:r>
        <w:rPr>
          <w:bCs/>
          <w:rFonts w:ascii="Arial" w:hAnsi="Arial"/>
          <w:b/>
          <w:sz w:val="22"/>
        </w:rPr>
        <w:t xml:space="preserve">:</w:t>
      </w:r>
      <w:r>
        <w:rPr>
          <w:rFonts w:ascii="Arial" w:hAnsi="Arial"/>
          <w:sz w:val="22"/>
        </w:rPr>
        <w:t xml:space="preserve"> </w:t>
      </w:r>
      <w:r>
        <w:rPr>
          <w:rFonts w:ascii="Arial" w:hAnsi="Arial"/>
          <w:sz w:val="22"/>
        </w:rPr>
        <w:t xml:space="preserve">Realizar 10 consultas al tutor IA.</w:t>
      </w:r>
    </w:p>
    <w:p>
      <w:pPr>
        <w:numPr>
          <w:ilvl w:val="0"/>
          <w:numId w:val="1028"/>
        </w:numPr>
        <w:spacing w:line="360" w:lineRule="auto"/>
        <w:jc w:val="both"/>
      </w:pPr>
      <w:r>
        <w:rPr>
          <w:bCs/>
          <w:rFonts w:ascii="Arial" w:hAnsi="Arial"/>
          <w:b/>
          <w:sz w:val="22"/>
        </w:rPr>
        <w:t xml:space="preserve">“</w:t>
      </w:r>
      <w:r>
        <w:rPr>
          <w:bCs/>
          <w:rFonts w:ascii="Arial" w:hAnsi="Arial"/>
          <w:b/>
          <w:sz w:val="22"/>
        </w:rPr>
        <w:t xml:space="preserve">Maestro de ****Kotlin****</w:t>
      </w:r>
      <w:r>
        <w:rPr>
          <w:bCs/>
          <w:rFonts w:ascii="Arial" w:hAnsi="Arial"/>
          <w:b/>
          <w:sz w:val="22"/>
        </w:rPr>
        <w:t xml:space="preserve">”</w:t>
      </w:r>
      <w:r>
        <w:rPr>
          <w:bCs/>
          <w:rFonts w:ascii="Arial" w:hAnsi="Arial"/>
          <w:b/>
          <w:sz w:val="22"/>
        </w:rPr>
        <w:t xml:space="preserve">:</w:t>
      </w:r>
      <w:r>
        <w:rPr>
          <w:rFonts w:ascii="Arial" w:hAnsi="Arial"/>
          <w:sz w:val="22"/>
        </w:rPr>
        <w:t xml:space="preserve"> </w:t>
      </w:r>
      <w:r>
        <w:rPr>
          <w:rFonts w:ascii="Arial" w:hAnsi="Arial"/>
          <w:sz w:val="22"/>
        </w:rPr>
        <w:t xml:space="preserve">Completar el Módulo 2 al 100%.</w:t>
      </w:r>
    </w:p>
    <w:p>
      <w:pPr>
        <w:numPr>
          <w:ilvl w:val="0"/>
          <w:numId w:val="1028"/>
        </w:numPr>
        <w:spacing w:line="360" w:lineRule="auto"/>
        <w:jc w:val="both"/>
      </w:pPr>
      <w:r>
        <w:rPr>
          <w:bCs/>
          <w:rFonts w:ascii="Arial" w:hAnsi="Arial"/>
          <w:b/>
          <w:sz w:val="22"/>
        </w:rPr>
        <w:t xml:space="preserve">“</w:t>
      </w:r>
      <w:r>
        <w:rPr>
          <w:bCs/>
          <w:rFonts w:ascii="Arial" w:hAnsi="Arial"/>
          <w:b/>
          <w:sz w:val="22"/>
        </w:rPr>
        <w:t xml:space="preserve">Desarrollador Completo</w:t>
      </w:r>
      <w:r>
        <w:rPr>
          <w:bCs/>
          <w:rFonts w:ascii="Arial" w:hAnsi="Arial"/>
          <w:b/>
          <w:sz w:val="22"/>
        </w:rPr>
        <w:t xml:space="preserve">”</w:t>
      </w:r>
      <w:r>
        <w:rPr>
          <w:bCs/>
          <w:rFonts w:ascii="Arial" w:hAnsi="Arial"/>
          <w:b/>
          <w:sz w:val="22"/>
        </w:rPr>
        <w:t xml:space="preserve">:</w:t>
      </w:r>
      <w:r>
        <w:rPr>
          <w:rFonts w:ascii="Arial" w:hAnsi="Arial"/>
          <w:sz w:val="22"/>
        </w:rPr>
        <w:t xml:space="preserve"> </w:t>
      </w:r>
      <w:r>
        <w:rPr>
          <w:rFonts w:ascii="Arial" w:hAnsi="Arial"/>
          <w:sz w:val="22"/>
        </w:rPr>
        <w:t xml:space="preserve">Completar el 100% del curso.</w:t>
      </w:r>
    </w:p>
    <w:p>
      <w:pPr>
        <w:numPr>
          <w:ilvl w:val="0"/>
          <w:numId w:val="1028"/>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numPr>
          <w:ilvl w:val="0"/>
          <w:numId w:val="1028"/>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RF-29 — Visualización de logros</w:t>
      </w:r>
    </w:p>
    <w:p>
      <w:pPr>
        <w:numPr>
          <w:ilvl w:val="0"/>
          <w:numId w:val="1029"/>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mostrar en el panel de progreso todos los logros disponibles, distinguiendo visualmente entre los obtenidos (activos) y los pendientes (bloqueados/en gris), con descripción de las condiciones para desbloquear cada uno.</w:t>
      </w:r>
    </w:p>
    <w:p>
      <w:pPr>
        <w:numPr>
          <w:ilvl w:val="0"/>
          <w:numId w:val="1029"/>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numPr>
          <w:ilvl w:val="0"/>
          <w:numId w:val="1029"/>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OE-5 (validación adecuación funcional ISO/IEC 25010 + SUS)</w:t>
      </w:r>
    </w:p>
    <w:p>
      <w:pPr>
        <w:pStyle w:val="FirstParagraph"/>
        <w:spacing w:line="360" w:lineRule="auto"/>
        <w:jc w:val="both"/>
      </w:pPr>
      <w:r>
        <w:rPr>
          <w:bCs/>
          <w:rFonts w:ascii="Arial" w:hAnsi="Arial"/>
          <w:b/>
          <w:sz w:val="22"/>
        </w:rPr>
        <w:t xml:space="preserve">MÓDULO 8: PANEL DE ADMINISTRACIÓN</w:t>
      </w:r>
    </w:p>
    <w:p>
      <w:pPr>
        <w:pStyle w:val="BodyText"/>
        <w:spacing w:line="360" w:lineRule="auto"/>
        <w:jc w:val="both"/>
      </w:pPr>
      <w:r>
        <w:rPr>
          <w:bCs/>
          <w:rFonts w:ascii="Arial" w:hAnsi="Arial"/>
          <w:b/>
          <w:sz w:val="22"/>
        </w:rPr>
        <w:t xml:space="preserve">RF-30 — Carga de documentos al corpus RAG</w:t>
      </w:r>
    </w:p>
    <w:p>
      <w:pPr>
        <w:numPr>
          <w:ilvl w:val="0"/>
          <w:numId w:val="1030"/>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administrador debe poder subir documentos en formato PDF, DOCX o TXT al corpus de conocimiento del tutor IA. El sistema debe procesar los documentos automáticamente (chunking + generación de embeddings) y notificar al administrador cuando el procesamiento esté completo.</w:t>
      </w:r>
    </w:p>
    <w:p>
      <w:pPr>
        <w:numPr>
          <w:ilvl w:val="0"/>
          <w:numId w:val="1030"/>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30"/>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RF-31 — Gestión del corpus de documentos</w:t>
      </w:r>
    </w:p>
    <w:p>
      <w:pPr>
        <w:numPr>
          <w:ilvl w:val="0"/>
          <w:numId w:val="1031"/>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administrador debe poder ver el listado de documentos en el corpus con su estado (procesando, activo, error) y eliminar documentos que ya no sean relevantes.</w:t>
      </w:r>
    </w:p>
    <w:p>
      <w:pPr>
        <w:numPr>
          <w:ilvl w:val="0"/>
          <w:numId w:val="1031"/>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31"/>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RF-32 — Gestión de usuarios</w:t>
      </w:r>
    </w:p>
    <w:p>
      <w:pPr>
        <w:numPr>
          <w:ilvl w:val="0"/>
          <w:numId w:val="1032"/>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administrador debe poder ver el listado de usuarios registrados, cambiar su rol (estudiante/administrador) y desactivar cuentas.</w:t>
      </w:r>
    </w:p>
    <w:p>
      <w:pPr>
        <w:numPr>
          <w:ilvl w:val="0"/>
          <w:numId w:val="1032"/>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numPr>
          <w:ilvl w:val="0"/>
          <w:numId w:val="1032"/>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OE-5 (validación adecuación funcional ISO/IEC 25010 + SUS)</w:t>
      </w:r>
    </w:p>
    <w:p>
      <w:pPr>
        <w:pStyle w:val="FirstParagraph"/>
        <w:spacing w:line="360" w:lineRule="auto"/>
        <w:jc w:val="both"/>
      </w:pPr>
      <w:r>
        <w:rPr>
          <w:bCs/>
          <w:rFonts w:ascii="Arial" w:hAnsi="Arial"/>
          <w:b/>
          <w:sz w:val="22"/>
        </w:rPr>
        <w:t xml:space="preserve">RF-33 — Gestión de contenido del curso</w:t>
      </w:r>
    </w:p>
    <w:p>
      <w:pPr>
        <w:numPr>
          <w:ilvl w:val="0"/>
          <w:numId w:val="1033"/>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administrador debe poder crear, editar y eliminar módulos, temas y preguntas de autoevaluación desde el panel de administración.</w:t>
      </w:r>
    </w:p>
    <w:p>
      <w:pPr>
        <w:numPr>
          <w:ilvl w:val="0"/>
          <w:numId w:val="1033"/>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numPr>
          <w:ilvl w:val="0"/>
          <w:numId w:val="1033"/>
        </w:numPr>
        <w:spacing w:line="360" w:lineRule="auto"/>
        <w:jc w:val="both"/>
      </w:pPr>
      <w:r>
        <w:rPr>
          <w:bCs/>
          <w:rFonts w:ascii="Arial" w:hAnsi="Arial"/>
          <w:b/>
          <w:sz w:val="22"/>
        </w:rPr>
        <w:t xml:space="preserve">Trazabilidad:</w:t>
      </w:r>
      <w:r>
        <w:rPr>
          <w:rFonts w:ascii="Arial" w:hAnsi="Arial"/>
          <w:sz w:val="22"/>
        </w:rPr>
        <w:t xml:space="preserve"> </w:t>
      </w:r>
      <w:r>
        <w:rPr>
          <w:rFonts w:ascii="Arial" w:hAnsi="Arial"/>
          <w:sz w:val="22"/>
        </w:rPr>
        <w:t xml:space="preserve">OE-3 (integración LLM↔motor RAG con trazabilidad al corpus)</w:t>
      </w:r>
    </w:p>
    <w:p>
      <w:pPr>
        <w:pStyle w:val="FirstParagraph"/>
        <w:spacing w:line="360" w:lineRule="auto"/>
        <w:jc w:val="both"/>
      </w:pPr>
      <w:r>
        <w:rPr>
          <w:bCs/>
          <w:rFonts w:ascii="Arial" w:hAnsi="Arial"/>
          <w:b/>
          <w:sz w:val="22"/>
        </w:rPr>
        <w:t xml:space="preserve">3. REQUISITOS NO FUNCIONALES</w:t>
      </w:r>
    </w:p>
    <w:p>
      <w:pPr>
        <w:pStyle w:val="BodyText"/>
        <w:spacing w:line="360" w:lineRule="auto"/>
        <w:jc w:val="both"/>
      </w:pPr>
      <w:r>
        <w:rPr>
          <w:rFonts w:ascii="Arial" w:hAnsi="Arial"/>
          <w:sz w:val="22"/>
        </w:rPr>
        <w:t xml:space="preserve">Los requisitos no funcionales se alinean con las características de calidad del modelo ISO/IEC 25010:2023.</w:t>
      </w:r>
    </w:p>
    <w:p>
      <w:pPr>
        <w:pStyle w:val="BodyText"/>
        <w:spacing w:line="360" w:lineRule="auto"/>
        <w:jc w:val="both"/>
      </w:pPr>
      <w:r>
        <w:rPr>
          <w:bCs/>
          <w:rFonts w:ascii="Arial" w:hAnsi="Arial"/>
          <w:b/>
          <w:sz w:val="22"/>
        </w:rPr>
        <w:t xml:space="preserve">RNF-01: USABILIDAD (ISO/IEC 25010 — Usability)</w:t>
      </w:r>
    </w:p>
    <w:p>
      <w:pPr>
        <w:pStyle w:val="BodyText"/>
        <w:spacing w:line="360" w:lineRule="auto"/>
        <w:jc w:val="both"/>
      </w:pPr>
      <w:r>
        <w:rPr>
          <w:bCs/>
          <w:rFonts w:ascii="Arial" w:hAnsi="Arial"/>
          <w:b/>
          <w:sz w:val="22"/>
        </w:rPr>
        <w:t xml:space="preserve">RNF-01.1</w:t>
      </w:r>
      <w:r>
        <w:rPr>
          <w:rFonts w:ascii="Arial" w:hAnsi="Arial"/>
          <w:sz w:val="22"/>
        </w:rPr>
        <w:t xml:space="preserve">** — Aprendizaje del sistema**</w:t>
      </w:r>
    </w:p>
    <w:p>
      <w:pPr>
        <w:numPr>
          <w:ilvl w:val="0"/>
          <w:numId w:val="1034"/>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Un usuario nuevo sin capacitación previa debe ser capaz de completar las tareas básicas (inicio de sesión, acceso a un tema, consulta al tutor IA) en un máximo de 5 minutos.</w:t>
      </w:r>
    </w:p>
    <w:p>
      <w:pPr>
        <w:numPr>
          <w:ilvl w:val="0"/>
          <w:numId w:val="1034"/>
        </w:numPr>
        <w:spacing w:line="360" w:lineRule="auto"/>
        <w:jc w:val="both"/>
      </w:pPr>
      <w:r>
        <w:rPr>
          <w:bCs/>
          <w:rFonts w:ascii="Arial" w:hAnsi="Arial"/>
          <w:b/>
          <w:sz w:val="22"/>
        </w:rPr>
        <w:t xml:space="preserve">Métrica de verificación:</w:t>
      </w:r>
      <w:r>
        <w:rPr>
          <w:rFonts w:ascii="Arial" w:hAnsi="Arial"/>
          <w:sz w:val="22"/>
        </w:rPr>
        <w:t xml:space="preserve"> </w:t>
      </w:r>
      <w:r>
        <w:rPr>
          <w:rFonts w:ascii="Arial" w:hAnsi="Arial"/>
          <w:sz w:val="22"/>
        </w:rPr>
        <w:t xml:space="preserve">Tiempo cronometrado en pruebas de usabilidad con usuarios piloto.</w:t>
      </w:r>
    </w:p>
    <w:p>
      <w:pPr>
        <w:numPr>
          <w:ilvl w:val="0"/>
          <w:numId w:val="1034"/>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RNF-01.2</w:t>
      </w:r>
      <w:r>
        <w:rPr>
          <w:rFonts w:ascii="Arial" w:hAnsi="Arial"/>
          <w:sz w:val="22"/>
        </w:rPr>
        <w:t xml:space="preserve">** — Diseño responsivo**</w:t>
      </w:r>
    </w:p>
    <w:p>
      <w:pPr>
        <w:numPr>
          <w:ilvl w:val="0"/>
          <w:numId w:val="1035"/>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La interfaz debe adaptarse correctamente a resoluciones de pantalla desde 320px (móvil) hasta 2560px (escritorio), sin pérdida de funcionalidad ni contenido.</w:t>
      </w:r>
    </w:p>
    <w:p>
      <w:pPr>
        <w:numPr>
          <w:ilvl w:val="0"/>
          <w:numId w:val="1035"/>
        </w:numPr>
        <w:spacing w:line="360" w:lineRule="auto"/>
        <w:jc w:val="both"/>
      </w:pPr>
      <w:r>
        <w:rPr>
          <w:bCs/>
          <w:rFonts w:ascii="Arial" w:hAnsi="Arial"/>
          <w:b/>
          <w:sz w:val="22"/>
        </w:rPr>
        <w:t xml:space="preserve">Métrica de verificación:</w:t>
      </w:r>
      <w:r>
        <w:rPr>
          <w:rFonts w:ascii="Arial" w:hAnsi="Arial"/>
          <w:sz w:val="22"/>
        </w:rPr>
        <w:t xml:space="preserve"> </w:t>
      </w:r>
      <w:r>
        <w:rPr>
          <w:rFonts w:ascii="Arial" w:hAnsi="Arial"/>
          <w:sz w:val="22"/>
        </w:rPr>
        <w:t xml:space="preserve">Pruebas en Chrome DevTools con breakpoints estándar (320px, 768px, 1024px, 1440px).</w:t>
      </w:r>
    </w:p>
    <w:p>
      <w:pPr>
        <w:numPr>
          <w:ilvl w:val="0"/>
          <w:numId w:val="1035"/>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RNF-01.3</w:t>
      </w:r>
      <w:r>
        <w:rPr>
          <w:rFonts w:ascii="Arial" w:hAnsi="Arial"/>
          <w:sz w:val="22"/>
        </w:rPr>
        <w:t xml:space="preserve">** — Mensajes de error claros**</w:t>
      </w:r>
    </w:p>
    <w:p>
      <w:pPr>
        <w:numPr>
          <w:ilvl w:val="0"/>
          <w:numId w:val="1036"/>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Todos los mensajes de error deben estar en español, ser comprensibles por el usuario final (sin jerga técnica) y proporcionar indicación sobre la acción correctiva.</w:t>
      </w:r>
    </w:p>
    <w:p>
      <w:pPr>
        <w:numPr>
          <w:ilvl w:val="0"/>
          <w:numId w:val="1036"/>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pStyle w:val="FirstParagraph"/>
        <w:spacing w:line="360" w:lineRule="auto"/>
        <w:jc w:val="both"/>
      </w:pPr>
      <w:r>
        <w:rPr>
          <w:bCs/>
          <w:rFonts w:ascii="Arial" w:hAnsi="Arial"/>
          <w:b/>
          <w:sz w:val="22"/>
        </w:rPr>
        <w:t xml:space="preserve">RNF-02: RENDIMIENTO Y EFICIENCIA (ISO/IEC 25010 — Performance Efficiency)</w:t>
      </w:r>
    </w:p>
    <w:p>
      <w:pPr>
        <w:pStyle w:val="BodyText"/>
        <w:spacing w:line="360" w:lineRule="auto"/>
        <w:jc w:val="both"/>
      </w:pPr>
      <w:r>
        <w:rPr>
          <w:bCs/>
          <w:rFonts w:ascii="Arial" w:hAnsi="Arial"/>
          <w:b/>
          <w:sz w:val="22"/>
        </w:rPr>
        <w:t xml:space="preserve">RNF-02.1 — Tiempo de carga inicial</w:t>
      </w:r>
    </w:p>
    <w:p>
      <w:pPr>
        <w:numPr>
          <w:ilvl w:val="0"/>
          <w:numId w:val="1037"/>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tiempo de carga inicial de la aplicación (First Contentful Paint) no debe superar los 3 segundos en una conexión de 10 Mbps.</w:t>
      </w:r>
    </w:p>
    <w:p>
      <w:pPr>
        <w:numPr>
          <w:ilvl w:val="0"/>
          <w:numId w:val="1037"/>
        </w:numPr>
        <w:spacing w:line="360" w:lineRule="auto"/>
        <w:jc w:val="both"/>
      </w:pPr>
      <w:r>
        <w:rPr>
          <w:bCs/>
          <w:rFonts w:ascii="Arial" w:hAnsi="Arial"/>
          <w:b/>
          <w:sz w:val="22"/>
        </w:rPr>
        <w:t xml:space="preserve">Métrica de verificación:</w:t>
      </w:r>
      <w:r>
        <w:rPr>
          <w:rFonts w:ascii="Arial" w:hAnsi="Arial"/>
          <w:sz w:val="22"/>
        </w:rPr>
        <w:t xml:space="preserve"> </w:t>
      </w:r>
      <w:r>
        <w:rPr>
          <w:rFonts w:ascii="Arial" w:hAnsi="Arial"/>
          <w:sz w:val="22"/>
        </w:rPr>
        <w:t xml:space="preserve">Medición con Lighthouse o WebPageTest.</w:t>
      </w:r>
    </w:p>
    <w:p>
      <w:pPr>
        <w:numPr>
          <w:ilvl w:val="0"/>
          <w:numId w:val="1037"/>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RNF-02.2 — Tiempo de respuesta de la API</w:t>
      </w:r>
    </w:p>
    <w:p>
      <w:pPr>
        <w:numPr>
          <w:ilvl w:val="0"/>
          <w:numId w:val="1038"/>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Las peticiones a la API para operaciones no relacionadas con el LLM (autenticación, carga de módulos, progreso) deben responder en menos de 500ms en el percentil 95.</w:t>
      </w:r>
    </w:p>
    <w:p>
      <w:pPr>
        <w:numPr>
          <w:ilvl w:val="0"/>
          <w:numId w:val="1038"/>
        </w:numPr>
        <w:spacing w:line="360" w:lineRule="auto"/>
        <w:jc w:val="both"/>
      </w:pPr>
      <w:r>
        <w:rPr>
          <w:bCs/>
          <w:rFonts w:ascii="Arial" w:hAnsi="Arial"/>
          <w:b/>
          <w:sz w:val="22"/>
        </w:rPr>
        <w:t xml:space="preserve">Métrica de verificación:</w:t>
      </w:r>
      <w:r>
        <w:rPr>
          <w:rFonts w:ascii="Arial" w:hAnsi="Arial"/>
          <w:sz w:val="22"/>
        </w:rPr>
        <w:t xml:space="preserve"> </w:t>
      </w:r>
      <w:r>
        <w:rPr>
          <w:rFonts w:ascii="Arial" w:hAnsi="Arial"/>
          <w:sz w:val="22"/>
        </w:rPr>
        <w:t xml:space="preserve">Monitoreo con Cloud Monitoring en GCP.</w:t>
      </w:r>
    </w:p>
    <w:p>
      <w:pPr>
        <w:numPr>
          <w:ilvl w:val="0"/>
          <w:numId w:val="1038"/>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RNF-02.3 — Tiempo de respuesta del tutor IA</w:t>
      </w:r>
    </w:p>
    <w:p>
      <w:pPr>
        <w:numPr>
          <w:ilvl w:val="0"/>
          <w:numId w:val="1039"/>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La generación de una respuesta completa del tutor IA (incluyendo recuperación RAG + inferencia LLM) no debe superar los 15 segundos en condiciones normales de uso.</w:t>
      </w:r>
    </w:p>
    <w:p>
      <w:pPr>
        <w:numPr>
          <w:ilvl w:val="0"/>
          <w:numId w:val="1039"/>
        </w:numPr>
        <w:spacing w:line="360" w:lineRule="auto"/>
        <w:jc w:val="both"/>
      </w:pPr>
      <w:r>
        <w:rPr>
          <w:bCs/>
          <w:rFonts w:ascii="Arial" w:hAnsi="Arial"/>
          <w:b/>
          <w:sz w:val="22"/>
        </w:rPr>
        <w:t xml:space="preserve">Métrica de verificación:</w:t>
      </w:r>
      <w:r>
        <w:rPr>
          <w:rFonts w:ascii="Arial" w:hAnsi="Arial"/>
          <w:sz w:val="22"/>
        </w:rPr>
        <w:t xml:space="preserve"> </w:t>
      </w:r>
      <w:r>
        <w:rPr>
          <w:rFonts w:ascii="Arial" w:hAnsi="Arial"/>
          <w:sz w:val="22"/>
        </w:rPr>
        <w:t xml:space="preserve">Logs de tiempo de respuesta por consulta al LLM.</w:t>
      </w:r>
    </w:p>
    <w:p>
      <w:pPr>
        <w:numPr>
          <w:ilvl w:val="0"/>
          <w:numId w:val="1039"/>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RNF-02.4 — Disponibilidad del sistema</w:t>
      </w:r>
    </w:p>
    <w:p>
      <w:pPr>
        <w:numPr>
          <w:ilvl w:val="0"/>
          <w:numId w:val="1040"/>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estar disponible el 99% del tiempo durante el período de evaluación con usuarios piloto (junio 2026).</w:t>
      </w:r>
    </w:p>
    <w:p>
      <w:pPr>
        <w:numPr>
          <w:ilvl w:val="0"/>
          <w:numId w:val="1040"/>
        </w:numPr>
        <w:spacing w:line="360" w:lineRule="auto"/>
        <w:jc w:val="both"/>
      </w:pPr>
      <w:r>
        <w:rPr>
          <w:bCs/>
          <w:rFonts w:ascii="Arial" w:hAnsi="Arial"/>
          <w:b/>
          <w:sz w:val="22"/>
        </w:rPr>
        <w:t xml:space="preserve">Métrica de verificación:</w:t>
      </w:r>
      <w:r>
        <w:rPr>
          <w:rFonts w:ascii="Arial" w:hAnsi="Arial"/>
          <w:sz w:val="22"/>
        </w:rPr>
        <w:t xml:space="preserve"> </w:t>
      </w:r>
      <w:r>
        <w:rPr>
          <w:rFonts w:ascii="Arial" w:hAnsi="Arial"/>
          <w:sz w:val="22"/>
        </w:rPr>
        <w:t xml:space="preserve">Monitoreo de uptime con Cloud Monitoring.</w:t>
      </w:r>
    </w:p>
    <w:p>
      <w:pPr>
        <w:numPr>
          <w:ilvl w:val="0"/>
          <w:numId w:val="1040"/>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RNF-02.5 — Caché de respuestas frecuentes</w:t>
      </w:r>
    </w:p>
    <w:p>
      <w:pPr>
        <w:numPr>
          <w:ilvl w:val="0"/>
          <w:numId w:val="1041"/>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cachear en Redis las respuestas a preguntas frecuentes del tutor IA para reducir la latencia y el costo de inferencia. Las respuestas cacheadas deben servirse en menos de 200ms.</w:t>
      </w:r>
    </w:p>
    <w:p>
      <w:pPr>
        <w:numPr>
          <w:ilvl w:val="0"/>
          <w:numId w:val="1041"/>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pStyle w:val="FirstParagraph"/>
        <w:spacing w:line="360" w:lineRule="auto"/>
        <w:jc w:val="both"/>
      </w:pPr>
      <w:r>
        <w:rPr>
          <w:bCs/>
          <w:rFonts w:ascii="Arial" w:hAnsi="Arial"/>
          <w:b/>
          <w:sz w:val="22"/>
        </w:rPr>
        <w:t xml:space="preserve">RNF-03: SEGURIDAD (ISO/IEC 25010 — Security)</w:t>
      </w:r>
    </w:p>
    <w:p>
      <w:pPr>
        <w:pStyle w:val="BodyText"/>
        <w:spacing w:line="360" w:lineRule="auto"/>
        <w:jc w:val="both"/>
      </w:pPr>
      <w:r>
        <w:rPr>
          <w:bCs/>
          <w:rFonts w:ascii="Arial" w:hAnsi="Arial"/>
          <w:b/>
          <w:sz w:val="22"/>
        </w:rPr>
        <w:t xml:space="preserve">RNF-03.1 — Autenticación con JWT</w:t>
      </w:r>
    </w:p>
    <w:p>
      <w:pPr>
        <w:numPr>
          <w:ilvl w:val="0"/>
          <w:numId w:val="1042"/>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Todos los endpoints de la API (excepto login y registro) deben requerir un token JWT válido en el header Authorization: Bearer</w:t>
      </w:r>
      <w:r>
        <w:rPr>
          <w:rFonts w:ascii="Arial" w:hAnsi="Arial"/>
          <w:sz w:val="22"/>
        </w:rPr>
        <w:t xml:space="preserve"> </w:t>
      </w:r>
      <w:r>
        <w:rPr>
          <w:rFonts w:ascii="Arial" w:hAnsi="Arial"/>
          <w:sz w:val="22"/>
        </w:rPr>
        <w:t xml:space="preserve">. Los tokens deben firmarse con algoritmo HS256 y tener expiración configurable (por defecto: 60 minutos).</w:t>
      </w:r>
    </w:p>
    <w:p>
      <w:pPr>
        <w:numPr>
          <w:ilvl w:val="0"/>
          <w:numId w:val="1042"/>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RNF-03.2 — Cifrado de contraseñas</w:t>
      </w:r>
    </w:p>
    <w:p>
      <w:pPr>
        <w:numPr>
          <w:ilvl w:val="0"/>
          <w:numId w:val="1043"/>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Las contraseñas de los usuarios deben almacenarse en la base de datos exclusivamente como hash generado con el algoritmo bcrypt (factor de costo mínimo: 12).</w:t>
      </w:r>
    </w:p>
    <w:p>
      <w:pPr>
        <w:numPr>
          <w:ilvl w:val="0"/>
          <w:numId w:val="1043"/>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RNF-03.3 — Comunicación HTTPS</w:t>
      </w:r>
    </w:p>
    <w:p>
      <w:pPr>
        <w:numPr>
          <w:ilvl w:val="0"/>
          <w:numId w:val="1044"/>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Toda comunicación entre el cliente (frontend) y el servidor (backend API) debe realizarse mediante HTTPS con certificado SSL/TLS válido. Las peticiones HTTP deben redireccionarse automáticamente a HTTPS.</w:t>
      </w:r>
    </w:p>
    <w:p>
      <w:pPr>
        <w:numPr>
          <w:ilvl w:val="0"/>
          <w:numId w:val="1044"/>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RNF-03.4 — Protección de datos del estudiante</w:t>
      </w:r>
    </w:p>
    <w:p>
      <w:pPr>
        <w:numPr>
          <w:ilvl w:val="0"/>
          <w:numId w:val="1045"/>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Los datos personales de los estudiantes (nombre, correo, progreso académico) deben tratarse de conformidad con la Ley N.° 29733 de Protección de Datos Personales del Perú. No se comparten datos con terceros.</w:t>
      </w:r>
    </w:p>
    <w:p>
      <w:pPr>
        <w:numPr>
          <w:ilvl w:val="0"/>
          <w:numId w:val="1045"/>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RNF-03.5 — Autorización basada en roles</w:t>
      </w:r>
    </w:p>
    <w:p>
      <w:pPr>
        <w:numPr>
          <w:ilvl w:val="0"/>
          <w:numId w:val="1046"/>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implementar control de acceso basado en roles (RBAC). Los endpoints del panel de administración deben rechazar peticiones de usuarios con rol</w:t>
      </w:r>
      <w:r>
        <w:rPr>
          <w:rFonts w:ascii="Arial" w:hAnsi="Arial"/>
          <w:sz w:val="22"/>
        </w:rPr>
        <w:t xml:space="preserve"> </w:t>
      </w:r>
      <w:r>
        <w:rPr>
          <w:rFonts w:ascii="Arial" w:hAnsi="Arial"/>
          <w:sz w:val="22"/>
        </w:rPr>
        <w:t xml:space="preserve">“</w:t>
      </w:r>
      <w:r>
        <w:rPr>
          <w:rFonts w:ascii="Arial" w:hAnsi="Arial"/>
          <w:sz w:val="22"/>
        </w:rPr>
        <w:t xml:space="preserve">estudiante</w:t>
      </w:r>
      <w:r>
        <w:rPr>
          <w:rFonts w:ascii="Arial" w:hAnsi="Arial"/>
          <w:sz w:val="22"/>
        </w:rPr>
        <w:t xml:space="preserve">”</w:t>
      </w:r>
      <w:r>
        <w:rPr>
          <w:rFonts w:ascii="Arial" w:hAnsi="Arial"/>
          <w:sz w:val="22"/>
        </w:rPr>
        <w:t xml:space="preserve"> </w:t>
      </w:r>
      <w:r>
        <w:rPr>
          <w:rFonts w:ascii="Arial" w:hAnsi="Arial"/>
          <w:sz w:val="22"/>
        </w:rPr>
        <w:t xml:space="preserve">con código HTTP 403.</w:t>
      </w:r>
    </w:p>
    <w:p>
      <w:pPr>
        <w:numPr>
          <w:ilvl w:val="0"/>
          <w:numId w:val="1046"/>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RNF-03.6 — Secretos fuera del código fuente</w:t>
      </w:r>
    </w:p>
    <w:p>
      <w:pPr>
        <w:numPr>
          <w:ilvl w:val="0"/>
          <w:numId w:val="1047"/>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Las credenciales, claves API, cadenas de conexión y secretos del sistema deben gestionarse mediante variables de entorno o Google Cloud Secret Manager. Ningún secreto debe estar hardcodeado en el código fuente ni en repositorios de control de versiones.</w:t>
      </w:r>
    </w:p>
    <w:p>
      <w:pPr>
        <w:numPr>
          <w:ilvl w:val="0"/>
          <w:numId w:val="1047"/>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RNF-03.7 — Rate limiting</w:t>
      </w:r>
      <w:r>
        <w:rPr>
          <w:rFonts w:ascii="Arial" w:hAnsi="Arial"/>
          <w:sz w:val="22"/>
        </w:rPr>
        <w:t xml:space="preserve">** en la API**</w:t>
      </w:r>
    </w:p>
    <w:p>
      <w:pPr>
        <w:numPr>
          <w:ilvl w:val="0"/>
          <w:numId w:val="1048"/>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La API debe implementar rate limiting global de 100 peticiones por minuto por dirección IP, y rate limiting específico de 20 consultas por hora al endpoint del tutor IA por usuario autenticado.</w:t>
      </w:r>
    </w:p>
    <w:p>
      <w:pPr>
        <w:numPr>
          <w:ilvl w:val="0"/>
          <w:numId w:val="1048"/>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pStyle w:val="FirstParagraph"/>
        <w:spacing w:line="360" w:lineRule="auto"/>
        <w:jc w:val="both"/>
      </w:pPr>
      <w:r>
        <w:rPr>
          <w:bCs/>
          <w:rFonts w:ascii="Arial" w:hAnsi="Arial"/>
          <w:b/>
          <w:sz w:val="22"/>
        </w:rPr>
        <w:t xml:space="preserve">RNF-04: COMPATIBILIDAD (ISO/IEC 25010 — Compatibility)</w:t>
      </w:r>
    </w:p>
    <w:p>
      <w:pPr>
        <w:pStyle w:val="BodyText"/>
        <w:spacing w:line="360" w:lineRule="auto"/>
        <w:jc w:val="both"/>
      </w:pPr>
      <w:r>
        <w:rPr>
          <w:bCs/>
          <w:rFonts w:ascii="Arial" w:hAnsi="Arial"/>
          <w:b/>
          <w:sz w:val="22"/>
        </w:rPr>
        <w:t xml:space="preserve">RNF-04.1 — Compatibilidad con navegadores</w:t>
      </w:r>
    </w:p>
    <w:p>
      <w:pPr>
        <w:numPr>
          <w:ilvl w:val="0"/>
          <w:numId w:val="1049"/>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funcionar correctamente en las dos últimas versiones estables de los siguientes navegadores: Google Chrome, Mozilla Firefox y Microsoft Edge.</w:t>
      </w:r>
    </w:p>
    <w:p>
      <w:pPr>
        <w:numPr>
          <w:ilvl w:val="0"/>
          <w:numId w:val="1049"/>
        </w:numPr>
        <w:spacing w:line="360" w:lineRule="auto"/>
        <w:jc w:val="both"/>
      </w:pPr>
      <w:r>
        <w:rPr>
          <w:bCs/>
          <w:rFonts w:ascii="Arial" w:hAnsi="Arial"/>
          <w:b/>
          <w:sz w:val="22"/>
        </w:rPr>
        <w:t xml:space="preserve">Métrica de verificación:</w:t>
      </w:r>
      <w:r>
        <w:rPr>
          <w:rFonts w:ascii="Arial" w:hAnsi="Arial"/>
          <w:sz w:val="22"/>
        </w:rPr>
        <w:t xml:space="preserve"> </w:t>
      </w:r>
      <w:r>
        <w:rPr>
          <w:rFonts w:ascii="Arial" w:hAnsi="Arial"/>
          <w:sz w:val="22"/>
        </w:rPr>
        <w:t xml:space="preserve">Pruebas manuales o automatizadas con BrowserStack o equivalente.</w:t>
      </w:r>
    </w:p>
    <w:p>
      <w:pPr>
        <w:numPr>
          <w:ilvl w:val="0"/>
          <w:numId w:val="1049"/>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RNF-04.2 — Compatibilidad con dispositivos móviles</w:t>
      </w:r>
    </w:p>
    <w:p>
      <w:pPr>
        <w:numPr>
          <w:ilvl w:val="0"/>
          <w:numId w:val="1050"/>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La interfaz debe ser completamente funcional en dispositivos móviles Android e iOS con pantallas de 5 pulgadas o más, utilizando los navegadores móviles nativos.</w:t>
      </w:r>
    </w:p>
    <w:p>
      <w:pPr>
        <w:numPr>
          <w:ilvl w:val="0"/>
          <w:numId w:val="1050"/>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RNF-05: MANTENIBILIDAD (ISO/IEC 25010 — Maintainability)</w:t>
      </w:r>
    </w:p>
    <w:p>
      <w:pPr>
        <w:pStyle w:val="BodyText"/>
        <w:spacing w:line="360" w:lineRule="auto"/>
        <w:jc w:val="both"/>
      </w:pPr>
      <w:r>
        <w:rPr>
          <w:bCs/>
          <w:rFonts w:ascii="Arial" w:hAnsi="Arial"/>
          <w:b/>
          <w:sz w:val="22"/>
        </w:rPr>
        <w:t xml:space="preserve">RNF-05.1 — Containerización</w:t>
      </w:r>
      <w:r>
        <w:rPr>
          <w:rFonts w:ascii="Arial" w:hAnsi="Arial"/>
          <w:sz w:val="22"/>
        </w:rPr>
        <w:t xml:space="preserve">** con Docker**</w:t>
      </w:r>
    </w:p>
    <w:p>
      <w:pPr>
        <w:numPr>
          <w:ilvl w:val="0"/>
          <w:numId w:val="1051"/>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completo (backend, frontend, base de datos, caché) debe poder ejecutarse en un entorno de desarrollo local mediante un único comando (docker compose up) utilizando Docker Compose.</w:t>
      </w:r>
    </w:p>
    <w:p>
      <w:pPr>
        <w:numPr>
          <w:ilvl w:val="0"/>
          <w:numId w:val="1051"/>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RNF-05.2 — Variables de entorno para configuración</w:t>
      </w:r>
    </w:p>
    <w:p>
      <w:pPr>
        <w:numPr>
          <w:ilvl w:val="0"/>
          <w:numId w:val="1052"/>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Todos los parámetros de configuración del sistema (URLs de servicios, credenciales, timeouts, modelos LLM) deben ser configurables mediante variables de entorno sin modificar el código fuente.</w:t>
      </w:r>
    </w:p>
    <w:p>
      <w:pPr>
        <w:numPr>
          <w:ilvl w:val="0"/>
          <w:numId w:val="1052"/>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RNF-05.3 — Migraciones de base de datos versionadas</w:t>
      </w:r>
    </w:p>
    <w:p>
      <w:pPr>
        <w:numPr>
          <w:ilvl w:val="0"/>
          <w:numId w:val="1053"/>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Los cambios en el esquema de la base de datos deben gestionarse mediante migraciones versionadas con Alembic, permitiendo la evolución del esquema sin pérdida de datos.</w:t>
      </w:r>
    </w:p>
    <w:p>
      <w:pPr>
        <w:numPr>
          <w:ilvl w:val="0"/>
          <w:numId w:val="1053"/>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RNF-05.4 — Logs estructurados</w:t>
      </w:r>
    </w:p>
    <w:p>
      <w:pPr>
        <w:numPr>
          <w:ilvl w:val="0"/>
          <w:numId w:val="1054"/>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sistema debe generar logs en formato JSON estructurado con niveles (DEBUG, INFO, WARNING, ERROR) que incluyan: timestamp, nivel, módulo del sistema, mensaje y contexto relevante (user_id, request_id cuando aplique).</w:t>
      </w:r>
    </w:p>
    <w:p>
      <w:pPr>
        <w:numPr>
          <w:ilvl w:val="0"/>
          <w:numId w:val="1054"/>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pStyle w:val="FirstParagraph"/>
        <w:spacing w:line="360" w:lineRule="auto"/>
        <w:jc w:val="both"/>
      </w:pPr>
      <w:r>
        <w:rPr>
          <w:bCs/>
          <w:rFonts w:ascii="Arial" w:hAnsi="Arial"/>
          <w:b/>
          <w:sz w:val="22"/>
        </w:rPr>
        <w:t xml:space="preserve">RNF-05.5 — Cobertura de pruebas del backend</w:t>
      </w:r>
    </w:p>
    <w:p>
      <w:pPr>
        <w:numPr>
          <w:ilvl w:val="0"/>
          <w:numId w:val="1055"/>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backend debe tener una cobertura mínima del 60% medida con pytest-cov, incluyendo pruebas unitarias de los servicios principales y pruebas de integración de los endpoints críticos.</w:t>
      </w:r>
    </w:p>
    <w:p>
      <w:pPr>
        <w:numPr>
          <w:ilvl w:val="0"/>
          <w:numId w:val="1055"/>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pStyle w:val="FirstParagraph"/>
        <w:spacing w:line="360" w:lineRule="auto"/>
        <w:jc w:val="both"/>
      </w:pPr>
      <w:r>
        <w:rPr>
          <w:bCs/>
          <w:rFonts w:ascii="Arial" w:hAnsi="Arial"/>
          <w:b/>
          <w:sz w:val="22"/>
        </w:rPr>
        <w:t xml:space="preserve">RNF-06: FIABILIDAD (ISO/IEC 25010 — Reliability)</w:t>
      </w:r>
    </w:p>
    <w:p>
      <w:pPr>
        <w:pStyle w:val="BodyText"/>
        <w:spacing w:line="360" w:lineRule="auto"/>
        <w:jc w:val="both"/>
      </w:pPr>
      <w:r>
        <w:rPr>
          <w:bCs/>
          <w:rFonts w:ascii="Arial" w:hAnsi="Arial"/>
          <w:b/>
          <w:sz w:val="22"/>
        </w:rPr>
        <w:t xml:space="preserve">RNF-06.1 — Tolerancia a fallos del LLM</w:t>
      </w:r>
    </w:p>
    <w:p>
      <w:pPr>
        <w:numPr>
          <w:ilvl w:val="0"/>
          <w:numId w:val="1056"/>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Si el servicio LLM (Ollama en Compute Engine) no está disponible, el sistema debe responder al estudiante con un mensaje de error amigable en menos de 5 segundos, sin afectar la disponibilidad de las demás funcionalidades del sistema.</w:t>
      </w:r>
    </w:p>
    <w:p>
      <w:pPr>
        <w:numPr>
          <w:ilvl w:val="0"/>
          <w:numId w:val="1056"/>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RNF-06.2 — Integridad de datos de progreso</w:t>
      </w:r>
    </w:p>
    <w:p>
      <w:pPr>
        <w:numPr>
          <w:ilvl w:val="0"/>
          <w:numId w:val="1057"/>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progreso del estudiante debe persistirse en la base de datos de manera transaccional. Ninguna operación parcial de actualización de progreso debe dejar la base de datos en un estado inconsistente.</w:t>
      </w:r>
    </w:p>
    <w:p>
      <w:pPr>
        <w:numPr>
          <w:ilvl w:val="0"/>
          <w:numId w:val="1057"/>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RNF-07: ESCALABILIDAD (ISO/IEC 25010 — Performance Efficiency</w:t>
      </w:r>
      <w:r>
        <w:rPr>
          <w:rFonts w:ascii="Arial" w:hAnsi="Arial"/>
          <w:sz w:val="22"/>
        </w:rPr>
        <w:t xml:space="preserve">** / ****Portability****)**</w:t>
      </w:r>
    </w:p>
    <w:p>
      <w:pPr>
        <w:pStyle w:val="BodyText"/>
        <w:spacing w:line="360" w:lineRule="auto"/>
        <w:jc w:val="both"/>
      </w:pPr>
      <w:r>
        <w:rPr>
          <w:bCs/>
          <w:rFonts w:ascii="Arial" w:hAnsi="Arial"/>
          <w:b/>
          <w:sz w:val="22"/>
        </w:rPr>
        <w:t xml:space="preserve">RNF-07.1 — Escalado automático del backend</w:t>
      </w:r>
    </w:p>
    <w:p>
      <w:pPr>
        <w:numPr>
          <w:ilvl w:val="0"/>
          <w:numId w:val="1058"/>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servicio backend (FastAPI en Cloud Run) debe configurarse con escalado automático entre 0 y 3 instancias durante el período piloto, escalando según la carga de tráfico.</w:t>
      </w:r>
    </w:p>
    <w:p>
      <w:pPr>
        <w:numPr>
          <w:ilvl w:val="0"/>
          <w:numId w:val="1058"/>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Media</w:t>
      </w:r>
    </w:p>
    <w:p>
      <w:pPr>
        <w:pStyle w:val="FirstParagraph"/>
        <w:spacing w:line="360" w:lineRule="auto"/>
        <w:jc w:val="both"/>
      </w:pPr>
      <w:r>
        <w:rPr>
          <w:bCs/>
          <w:rFonts w:ascii="Arial" w:hAnsi="Arial"/>
          <w:b/>
          <w:sz w:val="22"/>
        </w:rPr>
        <w:t xml:space="preserve">RNF-07.2 — LLM privado en red aislada</w:t>
      </w:r>
    </w:p>
    <w:p>
      <w:pPr>
        <w:numPr>
          <w:ilvl w:val="0"/>
          <w:numId w:val="1059"/>
        </w:numPr>
        <w:spacing w:line="360" w:lineRule="auto"/>
        <w:jc w:val="both"/>
      </w:pPr>
      <w:r>
        <w:rPr>
          <w:bCs/>
          <w:rFonts w:ascii="Arial" w:hAnsi="Arial"/>
          <w:b/>
          <w:sz w:val="22"/>
        </w:rPr>
        <w:t xml:space="preserve">Descripción:</w:t>
      </w:r>
      <w:r>
        <w:rPr>
          <w:rFonts w:ascii="Arial" w:hAnsi="Arial"/>
          <w:sz w:val="22"/>
        </w:rPr>
        <w:t xml:space="preserve"> </w:t>
      </w:r>
      <w:r>
        <w:rPr>
          <w:rFonts w:ascii="Arial" w:hAnsi="Arial"/>
          <w:sz w:val="22"/>
        </w:rPr>
        <w:t xml:space="preserve">El servicio LLM (Ollama en Compute Engine) debe desplegarse dentro de una VPC privada, accesible únicamente desde el servicio backend a través de conectores VPC, sin exposición a Internet.</w:t>
      </w:r>
    </w:p>
    <w:p>
      <w:pPr>
        <w:numPr>
          <w:ilvl w:val="0"/>
          <w:numId w:val="1059"/>
        </w:numPr>
        <w:spacing w:line="360" w:lineRule="auto"/>
        <w:jc w:val="both"/>
      </w:pPr>
      <w:r>
        <w:rPr>
          <w:bCs/>
          <w:rFonts w:ascii="Arial" w:hAnsi="Arial"/>
          <w:b/>
          <w:sz w:val="22"/>
        </w:rPr>
        <w:t xml:space="preserve">Prioridad:</w:t>
      </w:r>
      <w:r>
        <w:rPr>
          <w:rFonts w:ascii="Arial" w:hAnsi="Arial"/>
          <w:sz w:val="22"/>
        </w:rPr>
        <w:t xml:space="preserve"> </w:t>
      </w:r>
      <w:r>
        <w:rPr>
          <w:rFonts w:ascii="Arial" w:hAnsi="Arial"/>
          <w:sz w:val="22"/>
        </w:rPr>
        <w:t xml:space="preserve">Alta</w:t>
      </w:r>
    </w:p>
    <w:p>
      <w:pPr>
        <w:pStyle w:val="FirstParagraph"/>
        <w:spacing w:line="360" w:lineRule="auto"/>
        <w:jc w:val="both"/>
      </w:pPr>
      <w:r>
        <w:rPr>
          <w:bCs/>
          <w:rFonts w:ascii="Arial" w:hAnsi="Arial"/>
          <w:b/>
          <w:sz w:val="22"/>
        </w:rPr>
        <w:t xml:space="preserve">4. RESTRICCIONES DEL SISTEMA</w:t>
      </w:r>
    </w:p>
    <w:tbl>
      <w:tblPr>
        <w:tblW w:type="pct" w:w="5000"/>
        <w:tblLook w:firstRow="1" w:lastRow="0" w:firstColumn="0" w:lastColumn="0" w:noHBand="0" w:noVBand="0" w:val="0020"/>
        <w:jc w:val="star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true"/>
        </w:trPr>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ID</w:t>
            </w:r>
          </w:p>
        </w:tc>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Restricción</w:t>
            </w:r>
          </w:p>
        </w:tc>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Justificación</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REST-01</w:t>
            </w:r>
          </w:p>
        </w:tc>
        <w:tc>
          <w:tcPr>
            <w:tcBorders>
              <w:top w:val="single" w:sz="6" w:space="0" w:color="808080"/>
              <w:left w:val="single" w:sz="6" w:space="0" w:color="808080"/>
              <w:bottom w:val="single" w:sz="6" w:space="0" w:color="808080"/>
              <w:right w:val="single" w:sz="6" w:space="0" w:color="808080"/>
            </w:tcBorders>
          </w:tcPr>
          <w:p>
            <w:pPr>
              <w:jc w:val="left"/>
            </w:pPr>
            <w:r>
              <w:t xml:space="preserve">El presupuesto tecnológico máximo en GCP es S/. 2,620.00 durante 12 meses</w:t>
            </w:r>
          </w:p>
        </w:tc>
        <w:tc>
          <w:tcPr>
            <w:tcBorders>
              <w:top w:val="single" w:sz="6" w:space="0" w:color="808080"/>
              <w:left w:val="single" w:sz="6" w:space="0" w:color="808080"/>
              <w:bottom w:val="single" w:sz="6" w:space="0" w:color="808080"/>
              <w:right w:val="single" w:sz="6" w:space="0" w:color="808080"/>
            </w:tcBorders>
          </w:tcPr>
          <w:p>
            <w:pPr>
              <w:jc w:val="left"/>
            </w:pPr>
            <w:r>
              <w:t xml:space="preserve">Limitación financiera del proyecto de pregrado</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REST-02</w:t>
            </w:r>
          </w:p>
        </w:tc>
        <w:tc>
          <w:tcPr>
            <w:tcBorders>
              <w:top w:val="single" w:sz="6" w:space="0" w:color="808080"/>
              <w:left w:val="single" w:sz="6" w:space="0" w:color="808080"/>
              <w:bottom w:val="single" w:sz="6" w:space="0" w:color="808080"/>
              <w:right w:val="single" w:sz="6" w:space="0" w:color="808080"/>
            </w:tcBorders>
          </w:tcPr>
          <w:p>
            <w:pPr>
              <w:jc w:val="left"/>
            </w:pPr>
            <w:r>
              <w:t xml:space="preserve">El modelo LLM debe ejecutarse en Ollama (no APIs de pago como OpenAI)</w:t>
            </w:r>
          </w:p>
        </w:tc>
        <w:tc>
          <w:tcPr>
            <w:tcBorders>
              <w:top w:val="single" w:sz="6" w:space="0" w:color="808080"/>
              <w:left w:val="single" w:sz="6" w:space="0" w:color="808080"/>
              <w:bottom w:val="single" w:sz="6" w:space="0" w:color="808080"/>
              <w:right w:val="single" w:sz="6" w:space="0" w:color="808080"/>
            </w:tcBorders>
          </w:tcPr>
          <w:p>
            <w:pPr>
              <w:jc w:val="left"/>
            </w:pPr>
            <w:r>
              <w:t xml:space="preserve">Control de costos y privacidad de datos estudiantiles</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REST-03</w:t>
            </w:r>
          </w:p>
        </w:tc>
        <w:tc>
          <w:tcPr>
            <w:tcBorders>
              <w:top w:val="single" w:sz="6" w:space="0" w:color="808080"/>
              <w:left w:val="single" w:sz="6" w:space="0" w:color="808080"/>
              <w:bottom w:val="single" w:sz="6" w:space="0" w:color="808080"/>
              <w:right w:val="single" w:sz="6" w:space="0" w:color="808080"/>
            </w:tcBorders>
          </w:tcPr>
          <w:p>
            <w:pPr>
              <w:jc w:val="left"/>
            </w:pPr>
            <w:r>
              <w:t xml:space="preserve">La base de datos vectorial debe ser pgvector (extensión de PostgreSQL) y no una BD vectorial dedicada</w:t>
            </w:r>
          </w:p>
        </w:tc>
        <w:tc>
          <w:tcPr>
            <w:tcBorders>
              <w:top w:val="single" w:sz="6" w:space="0" w:color="808080"/>
              <w:left w:val="single" w:sz="6" w:space="0" w:color="808080"/>
              <w:bottom w:val="single" w:sz="6" w:space="0" w:color="808080"/>
              <w:right w:val="single" w:sz="6" w:space="0" w:color="808080"/>
            </w:tcBorders>
          </w:tcPr>
          <w:p>
            <w:pPr>
              <w:jc w:val="left"/>
            </w:pPr>
            <w:r>
              <w:t xml:space="preserve">Simplificación de infraestructura y reducción de costos</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REST-04</w:t>
            </w:r>
          </w:p>
        </w:tc>
        <w:tc>
          <w:tcPr>
            <w:tcBorders>
              <w:top w:val="single" w:sz="6" w:space="0" w:color="808080"/>
              <w:left w:val="single" w:sz="6" w:space="0" w:color="808080"/>
              <w:bottom w:val="single" w:sz="6" w:space="0" w:color="808080"/>
              <w:right w:val="single" w:sz="6" w:space="0" w:color="808080"/>
            </w:tcBorders>
          </w:tcPr>
          <w:p>
            <w:pPr>
              <w:jc w:val="left"/>
            </w:pPr>
            <w:r>
              <w:t xml:space="preserve">El sistema debe poder funcionar en entorno local con Docker Compose durante el desarrollo</w:t>
            </w:r>
          </w:p>
        </w:tc>
        <w:tc>
          <w:tcPr>
            <w:tcBorders>
              <w:top w:val="single" w:sz="6" w:space="0" w:color="808080"/>
              <w:left w:val="single" w:sz="6" w:space="0" w:color="808080"/>
              <w:bottom w:val="single" w:sz="6" w:space="0" w:color="808080"/>
              <w:right w:val="single" w:sz="6" w:space="0" w:color="808080"/>
            </w:tcBorders>
          </w:tcPr>
          <w:p>
            <w:pPr>
              <w:jc w:val="left"/>
            </w:pPr>
            <w:r>
              <w:t xml:space="preserve">Independencia del entorno de nube durante la fase de desarrollo</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REST-05</w:t>
            </w:r>
          </w:p>
        </w:tc>
        <w:tc>
          <w:tcPr>
            <w:tcBorders>
              <w:top w:val="single" w:sz="6" w:space="0" w:color="808080"/>
              <w:left w:val="single" w:sz="6" w:space="0" w:color="808080"/>
              <w:bottom w:val="single" w:sz="6" w:space="0" w:color="808080"/>
              <w:right w:val="single" w:sz="6" w:space="0" w:color="808080"/>
            </w:tcBorders>
          </w:tcPr>
          <w:p>
            <w:pPr>
              <w:jc w:val="left"/>
            </w:pPr>
            <w:r>
              <w:t xml:space="preserve">El idioma de la interfaz de usuario debe ser exclusivamente español</w:t>
            </w:r>
          </w:p>
        </w:tc>
        <w:tc>
          <w:tcPr>
            <w:tcBorders>
              <w:top w:val="single" w:sz="6" w:space="0" w:color="808080"/>
              <w:left w:val="single" w:sz="6" w:space="0" w:color="808080"/>
              <w:bottom w:val="single" w:sz="6" w:space="0" w:color="808080"/>
              <w:right w:val="single" w:sz="6" w:space="0" w:color="808080"/>
            </w:tcBorders>
          </w:tcPr>
          <w:p>
            <w:pPr>
              <w:jc w:val="left"/>
            </w:pPr>
            <w:r>
              <w:t xml:space="preserve">Contexto educativo peruano</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REST-06</w:t>
            </w:r>
          </w:p>
        </w:tc>
        <w:tc>
          <w:tcPr>
            <w:tcBorders>
              <w:top w:val="single" w:sz="6" w:space="0" w:color="808080"/>
              <w:left w:val="single" w:sz="6" w:space="0" w:color="808080"/>
              <w:bottom w:val="single" w:sz="6" w:space="0" w:color="808080"/>
              <w:right w:val="single" w:sz="6" w:space="0" w:color="808080"/>
            </w:tcBorders>
          </w:tcPr>
          <w:p>
            <w:pPr>
              <w:jc w:val="left"/>
            </w:pPr>
            <w:r>
              <w:t xml:space="preserve">El sistema es de propósito único: curso de Aplicaciones Móviles del IESTP RFA</w:t>
            </w:r>
          </w:p>
        </w:tc>
        <w:tc>
          <w:tcPr>
            <w:tcBorders>
              <w:top w:val="single" w:sz="6" w:space="0" w:color="808080"/>
              <w:left w:val="single" w:sz="6" w:space="0" w:color="808080"/>
              <w:bottom w:val="single" w:sz="6" w:space="0" w:color="808080"/>
              <w:right w:val="single" w:sz="6" w:space="0" w:color="808080"/>
            </w:tcBorders>
          </w:tcPr>
          <w:p>
            <w:pPr>
              <w:jc w:val="left"/>
            </w:pPr>
            <w:r>
              <w:t xml:space="preserve">Alcance delimitado por los objetivos de la tesis</w:t>
            </w:r>
          </w:p>
        </w:tc>
      </w:tr>
    </w:tbl>
    <w:p>
      <w:pPr>
        <w:pStyle w:val="BodyText"/>
        <w:spacing w:line="360" w:lineRule="auto"/>
        <w:jc w:val="both"/>
      </w:pPr>
      <w:r>
        <w:rPr>
          <w:bCs/>
          <w:rFonts w:ascii="Arial" w:hAnsi="Arial"/>
          <w:b/>
          <w:sz w:val="22"/>
        </w:rPr>
        <w:t xml:space="preserve">5. TRAZABILIDAD REQUISITOS — OBJETIVOS ESPECÍFICOS (matriz V.2.1)</w:t>
      </w:r>
    </w:p>
    <w:p>
      <w:pPr>
        <w:pStyle w:val="BodyText"/>
        <w:spacing w:line="360" w:lineRule="auto"/>
        <w:jc w:val="both"/>
      </w:pPr>
      <w:r>
        <w:rPr>
          <w:rFonts w:ascii="Arial" w:hAnsi="Arial"/>
          <w:sz w:val="22"/>
        </w:rPr>
        <w:t xml:space="preserve">La trazabilidad se construye sobre los cinco objetivos específicos de la matriz V.2.1. Los OE-2 (selección de LLM y de embeddings) y OE-4 (validación de la mejora del rendimiento académico) son objetivos de investigación cuyas evidencias se generan mediante instrumentos y procedimientos externos al software (reporte comparativo, instrumento pretest/postest, análisis estadístico), por lo que no se vinculan directamente con requisitos funcionales del sistema; sí se vinculan con requisitos no funcionales relativos a desempeño y trazabilidad cuando aplican.</w:t>
      </w:r>
    </w:p>
    <w:tbl>
      <w:tblPr>
        <w:tblW w:type="pct" w:w="5000"/>
        <w:tblLook w:firstRow="1" w:lastRow="0" w:firstColumn="0" w:lastColumn="0" w:noHBand="0" w:noVBand="0" w:val="0020"/>
        <w:jc w:val="star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true"/>
        </w:trPr>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Objetivo Específico (matriz V.2.1)</w:t>
            </w:r>
          </w:p>
        </w:tc>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Requisitos Funcionales</w:t>
            </w:r>
          </w:p>
        </w:tc>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Requisitos No Funcionales</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OE-1: Establecer los modelos del sistema de tutoría inteligente (dominio, pedagógico, estudiante e interacción)</w:t>
            </w:r>
          </w:p>
        </w:tc>
        <w:tc>
          <w:tcPr>
            <w:tcBorders>
              <w:top w:val="single" w:sz="6" w:space="0" w:color="808080"/>
              <w:left w:val="single" w:sz="6" w:space="0" w:color="808080"/>
              <w:bottom w:val="single" w:sz="6" w:space="0" w:color="808080"/>
              <w:right w:val="single" w:sz="6" w:space="0" w:color="808080"/>
            </w:tcBorders>
          </w:tcPr>
          <w:p>
            <w:pPr>
              <w:jc w:val="left"/>
            </w:pPr>
            <w:r>
              <w:t xml:space="preserve">RF-08, RF-09, RF-10, RF-15 (cobertura del modelo del estudiante y del dominio en el sistema)</w:t>
            </w:r>
          </w:p>
        </w:tc>
        <w:tc>
          <w:tcPr>
            <w:tcBorders>
              <w:top w:val="single" w:sz="6" w:space="0" w:color="808080"/>
              <w:left w:val="single" w:sz="6" w:space="0" w:color="808080"/>
              <w:bottom w:val="single" w:sz="6" w:space="0" w:color="808080"/>
              <w:right w:val="single" w:sz="6" w:space="0" w:color="808080"/>
            </w:tcBorders>
          </w:tcPr>
          <w:p>
            <w:pPr>
              <w:jc w:val="left"/>
            </w:pPr>
            <w:r>
              <w:t xml:space="preserve">RNF-05, RNF-06 (gestión de datos del estudiante)</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OE-2: Seleccionar los modelos LLM y de embeddings para respuestas en español</w:t>
            </w:r>
          </w:p>
        </w:tc>
        <w:tc>
          <w:tcPr>
            <w:tcBorders>
              <w:top w:val="single" w:sz="6" w:space="0" w:color="808080"/>
              <w:left w:val="single" w:sz="6" w:space="0" w:color="808080"/>
              <w:bottom w:val="single" w:sz="6" w:space="0" w:color="808080"/>
              <w:right w:val="single" w:sz="6" w:space="0" w:color="808080"/>
            </w:tcBorders>
          </w:tcPr>
          <w:p>
            <w:pPr>
              <w:jc w:val="left"/>
            </w:pPr>
            <w:r>
              <w:t xml:space="preserve">(estudio comparativo fuera del sistema; ver docs/reporte-LLM.docx)</w:t>
            </w:r>
          </w:p>
        </w:tc>
        <w:tc>
          <w:tcPr>
            <w:tcBorders>
              <w:top w:val="single" w:sz="6" w:space="0" w:color="808080"/>
              <w:left w:val="single" w:sz="6" w:space="0" w:color="808080"/>
              <w:bottom w:val="single" w:sz="6" w:space="0" w:color="808080"/>
              <w:right w:val="single" w:sz="6" w:space="0" w:color="808080"/>
            </w:tcBorders>
          </w:tcPr>
          <w:p>
            <w:pPr>
              <w:jc w:val="left"/>
            </w:pPr>
            <w:r>
              <w:t xml:space="preserve">RNF-02.3, RNF-03.6, RNF-07.2 (rendimiento del LLM y embeddings)</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OE-3: Integrar el LLM con el motor de conocimientos RAG con trazabilidad al corpus instruccional</w:t>
            </w:r>
          </w:p>
        </w:tc>
        <w:tc>
          <w:tcPr>
            <w:tcBorders>
              <w:top w:val="single" w:sz="6" w:space="0" w:color="808080"/>
              <w:left w:val="single" w:sz="6" w:space="0" w:color="808080"/>
              <w:bottom w:val="single" w:sz="6" w:space="0" w:color="808080"/>
              <w:right w:val="single" w:sz="6" w:space="0" w:color="808080"/>
            </w:tcBorders>
          </w:tcPr>
          <w:p>
            <w:pPr>
              <w:jc w:val="left"/>
            </w:pPr>
            <w:r>
              <w:t xml:space="preserve">RF-07 a RF-29, RF-33 (sistema completo, con trazabilidad de fuentes)</w:t>
            </w:r>
          </w:p>
        </w:tc>
        <w:tc>
          <w:tcPr>
            <w:tcBorders>
              <w:top w:val="single" w:sz="6" w:space="0" w:color="808080"/>
              <w:left w:val="single" w:sz="6" w:space="0" w:color="808080"/>
              <w:bottom w:val="single" w:sz="6" w:space="0" w:color="808080"/>
              <w:right w:val="single" w:sz="6" w:space="0" w:color="808080"/>
            </w:tcBorders>
          </w:tcPr>
          <w:p>
            <w:pPr>
              <w:jc w:val="left"/>
            </w:pPr>
            <w:r>
              <w:t xml:space="preserve">RNF-01, RNF-02, RNF-05, RNF-06</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OE-4: Validar la mejora del rendimiento académico (diseño preexperimental con pretest/postest)</w:t>
            </w:r>
          </w:p>
        </w:tc>
        <w:tc>
          <w:tcPr>
            <w:tcBorders>
              <w:top w:val="single" w:sz="6" w:space="0" w:color="808080"/>
              <w:left w:val="single" w:sz="6" w:space="0" w:color="808080"/>
              <w:bottom w:val="single" w:sz="6" w:space="0" w:color="808080"/>
              <w:right w:val="single" w:sz="6" w:space="0" w:color="808080"/>
            </w:tcBorders>
          </w:tcPr>
          <w:p>
            <w:pPr>
              <w:jc w:val="left"/>
            </w:pPr>
            <w:r>
              <w:t xml:space="preserve">(instrumentos fuera del sistema; pretest/postest, V de Aiken, Wilcoxon)</w:t>
            </w:r>
          </w:p>
        </w:tc>
        <w:tc>
          <w:tcPr>
            <w:tcBorders>
              <w:top w:val="single" w:sz="6" w:space="0" w:color="808080"/>
              <w:left w:val="single" w:sz="6" w:space="0" w:color="808080"/>
              <w:bottom w:val="single" w:sz="6" w:space="0" w:color="808080"/>
              <w:right w:val="single" w:sz="6" w:space="0" w:color="808080"/>
            </w:tcBorders>
          </w:tcPr>
          <w:p>
            <w:pPr>
              <w:jc w:val="left"/>
            </w:pPr>
            <w:r>
              <w:t xml:space="preserve">—</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OE-5: Validar la adecuación funcional ISO/IEC 25010:2023 y aplicar SUS al grupo piloto</w:t>
            </w:r>
          </w:p>
        </w:tc>
        <w:tc>
          <w:tcPr>
            <w:tcBorders>
              <w:top w:val="single" w:sz="6" w:space="0" w:color="808080"/>
              <w:left w:val="single" w:sz="6" w:space="0" w:color="808080"/>
              <w:bottom w:val="single" w:sz="6" w:space="0" w:color="808080"/>
              <w:right w:val="single" w:sz="6" w:space="0" w:color="808080"/>
            </w:tcBorders>
          </w:tcPr>
          <w:p>
            <w:pPr>
              <w:jc w:val="left"/>
            </w:pPr>
            <w:r>
              <w:t xml:space="preserve">RF-18, RF-25, RF-27, RF-29, RF-32 (RFs verificables por ISO 25010)</w:t>
            </w:r>
          </w:p>
        </w:tc>
        <w:tc>
          <w:tcPr>
            <w:tcBorders>
              <w:top w:val="single" w:sz="6" w:space="0" w:color="808080"/>
              <w:left w:val="single" w:sz="6" w:space="0" w:color="808080"/>
              <w:bottom w:val="single" w:sz="6" w:space="0" w:color="808080"/>
              <w:right w:val="single" w:sz="6" w:space="0" w:color="808080"/>
            </w:tcBorders>
          </w:tcPr>
          <w:p>
            <w:pPr>
              <w:jc w:val="left"/>
            </w:pPr>
            <w:r>
              <w:t xml:space="preserve">RNF-01 (SUS ≥ 68), RNF-02, RNF-03, RNF-04</w:t>
            </w:r>
          </w:p>
        </w:tc>
      </w:tr>
    </w:tbl>
    <w:p>
      <w:pPr>
        <w:pStyle w:val="BodyText"/>
        <w:spacing w:line="360" w:lineRule="auto"/>
        <w:jc w:val="both"/>
      </w:pPr>
      <w:r>
        <w:rPr>
          <w:bCs/>
          <w:rFonts w:ascii="Arial" w:hAnsi="Arial"/>
          <w:b/>
          <w:sz w:val="22"/>
        </w:rPr>
        <w:t xml:space="preserve">6. RESUMEN DE REQUISITOS</w:t>
      </w:r>
    </w:p>
    <w:tbl>
      <w:tblPr>
        <w:tblW w:type="auto" w:w="0"/>
        <w:tblLook w:firstRow="1" w:lastRow="0" w:firstColumn="0" w:lastColumn="0" w:noHBand="0" w:noVBand="0" w:val="0020"/>
        <w:jc w:val="star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60"/>
        <w:gridCol w:w="3960"/>
      </w:tblGrid>
      <w:tr>
        <w:trPr>
          <w:tblHeader w:val="true"/>
        </w:trPr>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Categoría</w:t>
            </w:r>
          </w:p>
        </w:tc>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Cantidad</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Requisitos Funcionales</w:t>
            </w:r>
          </w:p>
        </w:tc>
        <w:tc>
          <w:tcPr>
            <w:tcBorders>
              <w:top w:val="single" w:sz="6" w:space="0" w:color="808080"/>
              <w:left w:val="single" w:sz="6" w:space="0" w:color="808080"/>
              <w:bottom w:val="single" w:sz="6" w:space="0" w:color="808080"/>
              <w:right w:val="single" w:sz="6" w:space="0" w:color="808080"/>
            </w:tcBorders>
          </w:tcPr>
          <w:p>
            <w:pPr>
              <w:jc w:val="left"/>
            </w:pPr>
            <w:r>
              <w:t xml:space="preserve">33</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Requisitos No Funcionales</w:t>
            </w:r>
          </w:p>
        </w:tc>
        <w:tc>
          <w:tcPr>
            <w:tcBorders>
              <w:top w:val="single" w:sz="6" w:space="0" w:color="808080"/>
              <w:left w:val="single" w:sz="6" w:space="0" w:color="808080"/>
              <w:bottom w:val="single" w:sz="6" w:space="0" w:color="808080"/>
              <w:right w:val="single" w:sz="6" w:space="0" w:color="808080"/>
            </w:tcBorders>
          </w:tcPr>
          <w:p>
            <w:pPr>
              <w:jc w:val="left"/>
            </w:pPr>
            <w:r>
              <w:t xml:space="preserve">19</w:t>
            </w:r>
          </w:p>
        </w:tc>
      </w:tr>
      <w:tr>
        <w:tc>
          <w:tcPr>
            <w:tcBorders>
              <w:top w:val="single" w:sz="6" w:space="0" w:color="808080"/>
              <w:left w:val="single" w:sz="6" w:space="0" w:color="808080"/>
              <w:bottom w:val="single" w:sz="6" w:space="0" w:color="808080"/>
              <w:right w:val="single" w:sz="6" w:space="0" w:color="808080"/>
            </w:tcBorders>
          </w:tcPr>
          <w:p>
            <w:pPr>
              <w:jc w:val="left"/>
            </w:pPr>
            <w:r>
              <w:rPr>
                <w:bCs/>
                <w:b/>
              </w:rPr>
              <w:t xml:space="preserve">Total</w:t>
            </w:r>
          </w:p>
        </w:tc>
        <w:tc>
          <w:tcPr>
            <w:tcBorders>
              <w:top w:val="single" w:sz="6" w:space="0" w:color="808080"/>
              <w:left w:val="single" w:sz="6" w:space="0" w:color="808080"/>
              <w:bottom w:val="single" w:sz="6" w:space="0" w:color="808080"/>
              <w:right w:val="single" w:sz="6" w:space="0" w:color="808080"/>
            </w:tcBorders>
          </w:tcPr>
          <w:p>
            <w:pPr>
              <w:jc w:val="left"/>
            </w:pPr>
            <w:r>
              <w:rPr>
                <w:bCs/>
                <w:b/>
              </w:rPr>
              <w:t xml:space="preserve">52</w:t>
            </w:r>
          </w:p>
        </w:tc>
      </w:tr>
    </w:tbl>
    <w:p>
      <w:pPr>
        <w:spacing w:line="360" w:lineRule="auto"/>
        <w:jc w:val="both"/>
      </w:pPr>
    </w:p>
    <w:tbl>
      <w:tblPr>
        <w:tblW w:type="auto" w:w="0"/>
        <w:tblLook w:firstRow="1" w:lastRow="0" w:firstColumn="0" w:lastColumn="0" w:noHBand="0" w:noVBand="0" w:val="0020"/>
        <w:jc w:val="star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true"/>
        </w:trPr>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Prioridad</w:t>
            </w:r>
          </w:p>
        </w:tc>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RF</w:t>
            </w:r>
          </w:p>
        </w:tc>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RNF</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Alta</w:t>
            </w:r>
          </w:p>
        </w:tc>
        <w:tc>
          <w:tcPr>
            <w:tcBorders>
              <w:top w:val="single" w:sz="6" w:space="0" w:color="808080"/>
              <w:left w:val="single" w:sz="6" w:space="0" w:color="808080"/>
              <w:bottom w:val="single" w:sz="6" w:space="0" w:color="808080"/>
              <w:right w:val="single" w:sz="6" w:space="0" w:color="808080"/>
            </w:tcBorders>
          </w:tcPr>
          <w:p>
            <w:pPr>
              <w:jc w:val="left"/>
            </w:pPr>
            <w:r>
              <w:t xml:space="preserve">22</w:t>
            </w:r>
          </w:p>
        </w:tc>
        <w:tc>
          <w:tcPr>
            <w:tcBorders>
              <w:top w:val="single" w:sz="6" w:space="0" w:color="808080"/>
              <w:left w:val="single" w:sz="6" w:space="0" w:color="808080"/>
              <w:bottom w:val="single" w:sz="6" w:space="0" w:color="808080"/>
              <w:right w:val="single" w:sz="6" w:space="0" w:color="808080"/>
            </w:tcBorders>
          </w:tcPr>
          <w:p>
            <w:pPr>
              <w:jc w:val="left"/>
            </w:pPr>
            <w:r>
              <w:t xml:space="preserve">13</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Media</w:t>
            </w:r>
          </w:p>
        </w:tc>
        <w:tc>
          <w:tcPr>
            <w:tcBorders>
              <w:top w:val="single" w:sz="6" w:space="0" w:color="808080"/>
              <w:left w:val="single" w:sz="6" w:space="0" w:color="808080"/>
              <w:bottom w:val="single" w:sz="6" w:space="0" w:color="808080"/>
              <w:right w:val="single" w:sz="6" w:space="0" w:color="808080"/>
            </w:tcBorders>
          </w:tcPr>
          <w:p>
            <w:pPr>
              <w:jc w:val="left"/>
            </w:pPr>
            <w:r>
              <w:t xml:space="preserve">10</w:t>
            </w:r>
          </w:p>
        </w:tc>
        <w:tc>
          <w:tcPr>
            <w:tcBorders>
              <w:top w:val="single" w:sz="6" w:space="0" w:color="808080"/>
              <w:left w:val="single" w:sz="6" w:space="0" w:color="808080"/>
              <w:bottom w:val="single" w:sz="6" w:space="0" w:color="808080"/>
              <w:right w:val="single" w:sz="6" w:space="0" w:color="808080"/>
            </w:tcBorders>
          </w:tcPr>
          <w:p>
            <w:pPr>
              <w:jc w:val="left"/>
            </w:pPr>
            <w:r>
              <w:t xml:space="preserve">6</w:t>
            </w:r>
          </w:p>
        </w:tc>
      </w:tr>
      <w:tr>
        <w:tc>
          <w:tcPr>
            <w:tcBorders>
              <w:top w:val="single" w:sz="6" w:space="0" w:color="808080"/>
              <w:left w:val="single" w:sz="6" w:space="0" w:color="808080"/>
              <w:bottom w:val="single" w:sz="6" w:space="0" w:color="808080"/>
              <w:right w:val="single" w:sz="6" w:space="0" w:color="808080"/>
            </w:tcBorders>
          </w:tcPr>
          <w:p>
            <w:pPr>
              <w:jc w:val="left"/>
            </w:pPr>
            <w:r>
              <w:t xml:space="preserve">Baja</w:t>
            </w:r>
          </w:p>
        </w:tc>
        <w:tc>
          <w:tcPr>
            <w:tcBorders>
              <w:top w:val="single" w:sz="6" w:space="0" w:color="808080"/>
              <w:left w:val="single" w:sz="6" w:space="0" w:color="808080"/>
              <w:bottom w:val="single" w:sz="6" w:space="0" w:color="808080"/>
              <w:right w:val="single" w:sz="6" w:space="0" w:color="808080"/>
            </w:tcBorders>
          </w:tcPr>
          <w:p>
            <w:pPr>
              <w:jc w:val="left"/>
            </w:pPr>
            <w:r>
              <w:t xml:space="preserve">1</w:t>
            </w:r>
          </w:p>
        </w:tc>
        <w:tc>
          <w:tcPr>
            <w:tcBorders>
              <w:top w:val="single" w:sz="6" w:space="0" w:color="808080"/>
              <w:left w:val="single" w:sz="6" w:space="0" w:color="808080"/>
              <w:bottom w:val="single" w:sz="6" w:space="0" w:color="808080"/>
              <w:right w:val="single" w:sz="6" w:space="0" w:color="808080"/>
            </w:tcBorders>
          </w:tcPr>
          <w:p>
            <w:pPr>
              <w:jc w:val="left"/>
            </w:pPr>
            <w:r>
              <w:t xml:space="preserve">0</w:t>
            </w:r>
          </w:p>
        </w:tc>
      </w:tr>
    </w:tbl>
    <w:sectPr>
      <w:footerReference w:type="default" r:id="rId9"/>
      <w:pgSz w:h="15840" w:orient="portrait" w:w="12240"/>
      <w:pgMar w:bottom="1417" w:footer="708" w:gutter="0" w:header="708" w:left="1701" w:right="1417" w:top="1417"/>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PAGE   \* MERGEFORMAT</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360" w:lineRule="auto"/>
        <w:jc w:val="both"/>
      </w:pPr>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240" w:before="480" w:line="360" w:lineRule="auto"/>
      <w:jc w:val="left"/>
      <w:outlineLvl w:val="0"/>
    </w:pPr>
    <w:rPr>
      <w:rFonts w:ascii="Arial" w:cs="Arial" w:eastAsia="Arial" w:hAnsi="Arial"/>
      <w:b/>
      <w:bCs/>
      <w:sz w:val="32"/>
      <w:szCs w:val="32"/>
    </w:rPr>
  </w:style>
  <w:style w:styleId="Heading2" w:type="paragraph">
    <w:name w:val="Heading 2"/>
    <w:basedOn w:val="Normal"/>
    <w:next w:val="Normal"/>
    <w:qFormat/>
    <w:pPr>
      <w:spacing w:after="180" w:before="360" w:line="360" w:lineRule="auto"/>
      <w:jc w:val="left"/>
      <w:outlineLvl w:val="1"/>
    </w:pPr>
    <w:rPr>
      <w:rFonts w:ascii="Arial" w:cs="Arial" w:eastAsia="Arial" w:hAnsi="Arial"/>
      <w:b/>
      <w:bCs/>
      <w:sz w:val="28"/>
      <w:szCs w:val="28"/>
    </w:rPr>
  </w:style>
  <w:style w:styleId="Heading3" w:type="paragraph">
    <w:name w:val="Heading 3"/>
    <w:basedOn w:val="Normal"/>
    <w:next w:val="Normal"/>
    <w:qFormat/>
    <w:pPr>
      <w:spacing w:after="120" w:before="240" w:line="360" w:lineRule="auto"/>
      <w:jc w:val="left"/>
      <w:outlineLvl w:val="2"/>
    </w:pPr>
    <w:rPr>
      <w:rFonts w:ascii="Arial" w:cs="Arial" w:eastAsia="Arial" w:hAnsi="Arial"/>
      <w:b/>
      <w:bCs/>
      <w:sz w:val="24"/>
      <w:szCs w:val="24"/>
    </w:rPr>
  </w:style>
  <w:style w:styleId="Heading4" w:type="paragraph">
    <w:name w:val="Heading 4"/>
    <w:basedOn w:val="Normal"/>
    <w:next w:val="Normal"/>
    <w:qFormat/>
    <w:pPr>
      <w:spacing w:after="80" w:before="180" w:line="360" w:lineRule="auto"/>
      <w:outlineLvl w:val="3"/>
    </w:pPr>
    <w:rPr>
      <w:rFonts w:ascii="Arial" w:cs="Arial" w:eastAsia="Arial" w:hAnsi="Arial"/>
      <w:b/>
      <w:bCs/>
      <w:i/>
      <w:iCs/>
      <w:sz w:val="22"/>
      <w:szCs w:val="22"/>
    </w:rPr>
  </w:style>
  <w:style w:styleId="Title" w:type="paragraph">
    <w:name w:val="Title"/>
    <w:basedOn w:val="Normal"/>
    <w:next w:val="Normal"/>
    <w:qFormat/>
    <w:pPr>
      <w:spacing w:after="240"/>
      <w:jc w:val="center"/>
    </w:pPr>
    <w:rPr>
      <w:rFonts w:ascii="Arial" w:cs="Arial" w:eastAsia="Arial" w:hAnsi="Arial"/>
      <w:b/>
      <w:bCs/>
      <w:sz w:val="36"/>
      <w:szCs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2026-05-08T03:09:18Z</dcterms:created>
  <dcterms:modified xsi:type="dcterms:W3CDTF">2026-05-08T03:09:18Z</dcterms:modified>
</cp:coreProperties>
</file>

<file path=docProps/custom.xml><?xml version="1.0" encoding="utf-8"?>
<Properties xmlns="http://schemas.openxmlformats.org/officeDocument/2006/custom-properties" xmlns:vt="http://schemas.openxmlformats.org/officeDocument/2006/docPropsVTypes"/>
</file>