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fa72fc859b8a798df6ccbde5f611cd2d6573af"/>
    <w:p>
      <w:pPr>
        <w:pStyle w:val="Heading1"/>
      </w:pPr>
      <w:r>
        <w:t xml:space="preserve">Medición OE3 — Rendimiento, disponibilidad y trazabilidad (Sprint 5)</w:t>
      </w:r>
    </w:p>
    <w:p>
      <w:pPr>
        <w:pStyle w:val="FirstParagraph"/>
      </w:pPr>
      <w:r>
        <w:t xml:space="preserve">Procedimiento para medir los indicadores de</w:t>
      </w:r>
      <w:r>
        <w:t xml:space="preserve"> </w:t>
      </w:r>
      <w:r>
        <w:rPr>
          <w:b/>
          <w:bCs/>
        </w:rPr>
        <w:t xml:space="preserve">OE3</w:t>
      </w:r>
      <w:r>
        <w:t xml:space="preserve"> </w:t>
      </w:r>
      <w:r>
        <w:t xml:space="preserve">sobre el sistema desplegado en</w:t>
      </w:r>
      <w:r>
        <w:t xml:space="preserve"> </w:t>
      </w:r>
      <w:r>
        <w:t xml:space="preserve">la VM de Google Compute Engine. Requiere el stack levantado (</w:t>
      </w:r>
      <w:r>
        <w:rPr>
          <w:rStyle w:val="VerbatimChar"/>
        </w:rPr>
        <w:t xml:space="preserve">deploy.sh</w:t>
      </w:r>
      <w:r>
        <w:t xml:space="preserve">) y el</w:t>
      </w:r>
      <w:r>
        <w:t xml:space="preserve"> </w:t>
      </w:r>
      <w:r>
        <w:t xml:space="preserve">corpus ingestado.</w:t>
      </w:r>
    </w:p>
    <w:p>
      <w:pPr>
        <w:pStyle w:val="BlockText"/>
      </w:pPr>
      <w:r>
        <w:t xml:space="preserve">Contexto: el despliegue actual usa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</w:t>
      </w:r>
      <w:r>
        <w:rPr>
          <w:rStyle w:val="VerbatimChar"/>
        </w:rPr>
        <w:t xml:space="preserve">e2-standard-4</w:t>
      </w:r>
      <w:r>
        <w:t xml:space="preserve">, sin GPU). Los</w:t>
      </w:r>
      <w:r>
        <w:t xml:space="preserve"> </w:t>
      </w:r>
      <w:r>
        <w:t xml:space="preserve">umbrales de rendimiento de OE3 fueron definidos pensando en aceleración GPU;</w:t>
      </w:r>
      <w:r>
        <w:t xml:space="preserve"> </w:t>
      </w:r>
      <w:r>
        <w:t xml:space="preserve">en CPU se reportan los valores reales y, si no alcanzan el umbral, se documenta</w:t>
      </w:r>
      <w:r>
        <w:t xml:space="preserve"> </w:t>
      </w:r>
      <w:r>
        <w:t xml:space="preserve">"sub-8s / sub-2.5s requiere GPU" como recomendación de infraestructura. Misma</w:t>
      </w:r>
      <w:r>
        <w:t xml:space="preserve"> </w:t>
      </w:r>
      <w:r>
        <w:t xml:space="preserve">lógica de re-encuadre aprobada por la asesora en OE1/OE2.</w:t>
      </w:r>
    </w:p>
    <w:bookmarkStart w:id="9" w:name="indicadores-y-umbrales"/>
    <w:p>
      <w:pPr>
        <w:pStyle w:val="Heading2"/>
      </w:pPr>
      <w:r>
        <w:t xml:space="preserve">Indicadores y umbrales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TTFT P95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ITL P95</w:t>
            </w:r>
          </w:p>
        </w:tc>
        <w:tc>
          <w:tcPr/>
          <w:p>
            <w:pPr>
              <w:pStyle w:val="Compact"/>
            </w:pPr>
            <w:r>
              <w:t xml:space="preserve">≤ 250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throughput (conc 3)</w:t>
            </w:r>
          </w:p>
        </w:tc>
        <w:tc>
          <w:tcPr/>
          <w:p>
            <w:pPr>
              <w:pStyle w:val="Compact"/>
            </w:pPr>
            <w:r>
              <w:t xml:space="preserve">≥ 8 tok/s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e2e P95</w:t>
            </w:r>
          </w:p>
        </w:tc>
        <w:tc>
          <w:tcPr/>
          <w:p>
            <w:pPr>
              <w:pStyle w:val="Compact"/>
            </w:pPr>
            <w:r>
              <w:t xml:space="preserve">≤ 8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 --e2e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≥ 99 %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≥ 99 %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≤ 2 %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MTBF</w:t>
            </w:r>
          </w:p>
        </w:tc>
        <w:tc>
          <w:tcPr/>
          <w:p>
            <w:pPr>
              <w:pStyle w:val="Compact"/>
            </w:pPr>
            <w:r>
              <w:t xml:space="preserve">≥ 48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cobertura RF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matriz ISO (OE5) — ya 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citación / exactitud</w:t>
            </w:r>
          </w:p>
        </w:tc>
        <w:tc>
          <w:tcPr/>
          <w:p>
            <w:pPr>
              <w:pStyle w:val="Compact"/>
            </w:pPr>
            <w:r>
              <w:t xml:space="preserve">≥ 0.90 / ≥ 0.85</w:t>
            </w:r>
          </w:p>
        </w:tc>
        <w:tc>
          <w:tcPr/>
          <w:p>
            <w:pPr>
              <w:pStyle w:val="Compact"/>
            </w:pPr>
            <w:r>
              <w:t xml:space="preserve">golden set + RAGAS (context_precision)</w:t>
            </w:r>
          </w:p>
        </w:tc>
      </w:tr>
    </w:tbl>
    <w:bookmarkEnd w:id="9"/>
    <w:bookmarkStart w:id="10" w:name="X4c66a17a358de9c2dae6b84573ee686dc753817"/>
    <w:p>
      <w:pPr>
        <w:pStyle w:val="Heading2"/>
      </w:pPr>
      <w:r>
        <w:t xml:space="preserve">1. Arrancar la sonda de disponibilidad (dejar corriendo todo el piloto)</w:t>
      </w:r>
    </w:p>
    <w:p>
      <w:pPr>
        <w:pStyle w:val="SourceCode"/>
      </w:pPr>
      <w:r>
        <w:rPr>
          <w:rStyle w:val="CommentTok"/>
        </w:rPr>
        <w:t xml:space="preserve"># en la VM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infra/scripts/tutor-health-poller.service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tutor-health-poller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tutor-health-poller   </w:t>
      </w:r>
      <w:r>
        <w:rPr>
          <w:rStyle w:val="CommentTok"/>
        </w:rPr>
        <w:t xml:space="preserve"># debe quedar "active (running)"</w:t>
      </w:r>
    </w:p>
    <w:p>
      <w:pPr>
        <w:pStyle w:val="FirstParagraph"/>
      </w:pPr>
      <w:r>
        <w:t xml:space="preserve">Esto escribe</w:t>
      </w:r>
      <w:r>
        <w:t xml:space="preserve"> </w:t>
      </w:r>
      <w:r>
        <w:rPr>
          <w:rStyle w:val="VerbatimChar"/>
        </w:rPr>
        <w:t xml:space="preserve">epoch,code,latency</w:t>
      </w:r>
      <w:r>
        <w:t xml:space="preserve"> </w:t>
      </w:r>
      <w:r>
        <w:t xml:space="preserve">cada 60 s en</w:t>
      </w:r>
      <w:r>
        <w:t xml:space="preserve"> </w:t>
      </w:r>
      <w:r>
        <w:rPr>
          <w:rStyle w:val="VerbatimChar"/>
        </w:rPr>
        <w:t xml:space="preserve">/var/log/tutor/health.log</w:t>
      </w:r>
      <w:r>
        <w:t xml:space="preserve">. Para</w:t>
      </w:r>
      <w:r>
        <w:t xml:space="preserve"> </w:t>
      </w:r>
      <w:r>
        <w:t xml:space="preserve">MTBF ≥ 48 h se necesita una ventana de</w:t>
      </w:r>
      <w:r>
        <w:t xml:space="preserve"> </w:t>
      </w:r>
      <w:r>
        <w:rPr>
          <w:b/>
          <w:bCs/>
        </w:rPr>
        <w:t xml:space="preserve">al menos ~48 h</w:t>
      </w:r>
      <w:r>
        <w:t xml:space="preserve"> </w:t>
      </w:r>
      <w:r>
        <w:t xml:space="preserve">de observación.</w:t>
      </w:r>
    </w:p>
    <w:bookmarkEnd w:id="10"/>
    <w:bookmarkStart w:id="11" w:name="X3f7f93c04fb771fe02bca64f67f8aaedb004bb4"/>
    <w:p>
      <w:pPr>
        <w:pStyle w:val="Heading2"/>
      </w:pPr>
      <w:r>
        <w:t xml:space="preserve">2. Medir rendimiento (cuando quieras, sistema vivo)</w:t>
      </w:r>
    </w:p>
    <w:p>
      <w:pPr>
        <w:pStyle w:val="FirstParagraph"/>
      </w:pPr>
      <w:r>
        <w:rPr>
          <w:rStyle w:val="VerbatimChar"/>
        </w:rPr>
        <w:t xml:space="preserve">oe3_perf.py</w:t>
      </w:r>
      <w:r>
        <w:t xml:space="preserve"> </w:t>
      </w:r>
      <w:r>
        <w:t xml:space="preserve">corre</w:t>
      </w:r>
      <w:r>
        <w:t xml:space="preserve"> </w:t>
      </w:r>
      <w:r>
        <w:rPr>
          <w:b/>
          <w:bCs/>
        </w:rPr>
        <w:t xml:space="preserve">dentro del contenedor backend</w:t>
      </w:r>
      <w:r>
        <w:t xml:space="preserve"> </w:t>
      </w:r>
      <w:r>
        <w:t xml:space="preserve">(usa httpx + app.config):</w:t>
      </w:r>
    </w:p>
    <w:p>
      <w:pPr>
        <w:pStyle w:val="SourceCode"/>
      </w:pPr>
      <w:r>
        <w:rPr>
          <w:rStyle w:val="CommentTok"/>
        </w:rPr>
        <w:t xml:space="preserve"># en la VM, raiz del repo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scripts/oe3_perf.py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3</w:t>
      </w:r>
      <w:r>
        <w:br/>
      </w:r>
      <w:r>
        <w:rPr>
          <w:rStyle w:val="CommentTok"/>
        </w:rPr>
        <w:t xml:space="preserve"># incluir el plano e2e contra el endpoint real /chat: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scripts/oe3_perf.py </w:t>
      </w:r>
      <w:r>
        <w:rPr>
          <w:rStyle w:val="AttributeTok"/>
        </w:rPr>
        <w:t xml:space="preserve">--e2e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--e2e-iterations</w:t>
      </w:r>
      <w:r>
        <w:rPr>
          <w:rStyle w:val="NormalTok"/>
        </w:rPr>
        <w:t xml:space="preserve"> 15</w:t>
      </w:r>
    </w:p>
    <w:p>
      <w:pPr>
        <w:pStyle w:val="Compact"/>
        <w:numPr>
          <w:ilvl w:val="0"/>
          <w:numId w:val="1001"/>
        </w:numPr>
      </w:pPr>
      <w:r>
        <w:t xml:space="preserve">TTFT / ITL / throughput se miden contra</w:t>
      </w:r>
      <w:r>
        <w:t xml:space="preserve"> </w:t>
      </w:r>
      <w:r>
        <w:rPr>
          <w:b/>
          <w:bCs/>
        </w:rPr>
        <w:t xml:space="preserve">Ollama directo</w:t>
      </w:r>
      <w:r>
        <w:t xml:space="preserve"> </w:t>
      </w:r>
      <w:r>
        <w:t xml:space="preserve">(streaming).</w:t>
      </w:r>
    </w:p>
    <w:p>
      <w:pPr>
        <w:pStyle w:val="Compact"/>
        <w:numPr>
          <w:ilvl w:val="0"/>
          <w:numId w:val="1001"/>
        </w:numPr>
      </w:pPr>
      <w:r>
        <w:t xml:space="preserve">e2e se mide contra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autenticado, con preguntas de nonce único (evita</w:t>
      </w:r>
      <w:r>
        <w:t xml:space="preserve"> </w:t>
      </w:r>
      <w:r>
        <w:t xml:space="preserve">cache Redis). Limitado por</w:t>
      </w:r>
      <w:r>
        <w:t xml:space="preserve"> </w:t>
      </w:r>
      <w:r>
        <w:rPr>
          <w:rStyle w:val="VerbatimChar"/>
        </w:rPr>
        <w:t xml:space="preserve">CHAT_RATE_LIMIT_PER_HOUR</w:t>
      </w:r>
      <w:r>
        <w:t xml:space="preserve"> </w:t>
      </w:r>
      <w:r>
        <w:t xml:space="preserve">(20): para una muestra</w:t>
      </w:r>
      <w:r>
        <w:t xml:space="preserve"> </w:t>
      </w:r>
      <w:r>
        <w:t xml:space="preserve">mayor, sube ese valor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durante la medición o usa varios usuarios.</w:t>
      </w:r>
    </w:p>
    <w:p>
      <w:pPr>
        <w:pStyle w:val="Compact"/>
        <w:numPr>
          <w:ilvl w:val="0"/>
          <w:numId w:val="1001"/>
        </w:numPr>
      </w:pPr>
      <w:r>
        <w:t xml:space="preserve">Salida:</w:t>
      </w:r>
      <w:r>
        <w:t xml:space="preserve"> </w:t>
      </w:r>
      <w:r>
        <w:rPr>
          <w:rStyle w:val="VerbatimChar"/>
        </w:rPr>
        <w:t xml:space="preserve">oe3_results/perf_&lt;ts&gt;.json</w:t>
      </w:r>
      <w:r>
        <w:t xml:space="preserve"> </w:t>
      </w:r>
      <w:r>
        <w:t xml:space="preserve">dentro del contenedor.</w:t>
      </w:r>
    </w:p>
    <w:bookmarkEnd w:id="11"/>
    <w:bookmarkStart w:id="12" w:name="X0530d47aef1f3c65248ec0e215fd230a8741a09"/>
    <w:p>
      <w:pPr>
        <w:pStyle w:val="Heading2"/>
      </w:pPr>
      <w:r>
        <w:t xml:space="preserve">3. Medir disponibilidad (tras ≥48 h de poller)</w:t>
      </w:r>
    </w:p>
    <w:p>
      <w:pPr>
        <w:pStyle w:val="FirstParagraph"/>
      </w:pPr>
      <w:r>
        <w:rPr>
          <w:rStyle w:val="VerbatimChar"/>
        </w:rPr>
        <w:t xml:space="preserve">oe3_availability.py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stdlib puro</w:t>
      </w:r>
      <w:r>
        <w:t xml:space="preserve"> </w:t>
      </w:r>
      <w:r>
        <w:t xml:space="preserve">→ corre en el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(lee los logs de</w:t>
      </w:r>
      <w:r>
        <w:t xml:space="preserve"> </w:t>
      </w:r>
      <w:r>
        <w:t xml:space="preserve">Caddy y del poller, que viven en el host):</w:t>
      </w:r>
    </w:p>
    <w:p>
      <w:pPr>
        <w:pStyle w:val="SourceCode"/>
      </w:pPr>
      <w:r>
        <w:rPr>
          <w:rStyle w:val="CommentTok"/>
        </w:rPr>
        <w:t xml:space="preserve"># en la VM, raiz del repo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backend/scripts/oe3_availability.py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--caddy-log</w:t>
      </w:r>
      <w:r>
        <w:rPr>
          <w:rStyle w:val="NormalTok"/>
        </w:rPr>
        <w:t xml:space="preserve"> /var/log/caddy/access.log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--health-log</w:t>
      </w:r>
      <w:r>
        <w:rPr>
          <w:rStyle w:val="NormalTok"/>
        </w:rPr>
        <w:t xml:space="preserve"> /var/log/tutor/health.log</w:t>
      </w:r>
    </w:p>
    <w:p>
      <w:pPr>
        <w:pStyle w:val="Compact"/>
        <w:numPr>
          <w:ilvl w:val="0"/>
          <w:numId w:val="1002"/>
        </w:numPr>
      </w:pPr>
      <w:r>
        <w:t xml:space="preserve">5xx % y latencia proxy salen del access.log JSON de Caddy.</w:t>
      </w:r>
    </w:p>
    <w:p>
      <w:pPr>
        <w:pStyle w:val="Compact"/>
        <w:numPr>
          <w:ilvl w:val="0"/>
          <w:numId w:val="1002"/>
        </w:numPr>
      </w:pPr>
      <w:r>
        <w:t xml:space="preserve">uptime %, health % y MTBF salen del log del poller.</w:t>
      </w:r>
    </w:p>
    <w:p>
      <w:pPr>
        <w:pStyle w:val="Compact"/>
        <w:numPr>
          <w:ilvl w:val="0"/>
          <w:numId w:val="1002"/>
        </w:numPr>
      </w:pPr>
      <w:r>
        <w:t xml:space="preserve">Salida:</w:t>
      </w:r>
      <w:r>
        <w:t xml:space="preserve"> </w:t>
      </w:r>
      <w:r>
        <w:rPr>
          <w:rStyle w:val="VerbatimChar"/>
        </w:rPr>
        <w:t xml:space="preserve">oe3_results/availability_&lt;ts&gt;.json</w:t>
      </w:r>
      <w:r>
        <w:t xml:space="preserve">.</w:t>
      </w:r>
    </w:p>
    <w:bookmarkEnd w:id="12"/>
    <w:bookmarkStart w:id="13" w:name="Xfae9a415d7974cb772dac272d3dcf3b007f3173"/>
    <w:p>
      <w:pPr>
        <w:pStyle w:val="Heading2"/>
      </w:pPr>
      <w:r>
        <w:t xml:space="preserve">4. Cerrar la medición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tutor-health-poller</w:t>
      </w:r>
    </w:p>
    <w:p>
      <w:pPr>
        <w:pStyle w:val="FirstParagraph"/>
      </w:pPr>
      <w:r>
        <w:t xml:space="preserve">Consolidar los JSON de</w:t>
      </w:r>
      <w:r>
        <w:t xml:space="preserve"> </w:t>
      </w:r>
      <w:r>
        <w:rPr>
          <w:rStyle w:val="VerbatimChar"/>
        </w:rPr>
        <w:t xml:space="preserve">oe3_results/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docs/reporte-OE3-despliegue.docx</w:t>
      </w:r>
      <w:r>
        <w:t xml:space="preserve"> </w:t>
      </w:r>
      <w:r>
        <w:t xml:space="preserve">junto</w:t>
      </w:r>
      <w:r>
        <w:t xml:space="preserve"> </w:t>
      </w:r>
      <w:r>
        <w:t xml:space="preserve">con la evidencia de despliegue (uptime de la VM, capturas de Caddy/cert, etc.).</w:t>
      </w:r>
    </w:p>
    <w:p>
      <w:r>
        <w:pict>
          <v:rect style="width:0;height:1.5pt" o:hralign="center" o:hrstd="t" o:hr="t"/>
        </w:pict>
      </w:r>
    </w:p>
    <w:bookmarkEnd w:id="13"/>
    <w:bookmarkStart w:id="18" w:name="Xd92c73c14f2592f514ee437ab2a666cf7152f32"/>
    <w:p>
      <w:pPr>
        <w:pStyle w:val="Heading2"/>
      </w:pPr>
      <w:r>
        <w:t xml:space="preserve">5. Resultados de medición — 02-jun-2026 (VM CPU</w:t>
      </w:r>
      <w:r>
        <w:t xml:space="preserve"> </w:t>
      </w:r>
      <w:r>
        <w:rPr>
          <w:rStyle w:val="VerbatimChar"/>
        </w:rPr>
        <w:t xml:space="preserve">e2-standard-4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Despliegue (cualitativo) — cumple:</w:t>
      </w:r>
      <w:r>
        <w:t xml:space="preserve"> </w:t>
      </w:r>
      <w:r>
        <w:t xml:space="preserve">sistema operativo en producción · 4 contenedores (postgres+pgvector, redis, backend FastAPI, Caddy) · TLS Let's Encrypt en</w:t>
      </w:r>
      <w:r>
        <w:t xml:space="preserve"> </w:t>
      </w:r>
      <w:r>
        <w:rPr>
          <w:rStyle w:val="VerbatimChar"/>
        </w:rPr>
        <w:t xml:space="preserve">api.tutoriesrfa.lat</w:t>
      </w:r>
      <w:r>
        <w:t xml:space="preserve"> </w:t>
      </w:r>
      <w:r>
        <w:t xml:space="preserve">· frontend en Firebase (</w:t>
      </w:r>
      <w:r>
        <w:rPr>
          <w:rStyle w:val="VerbatimChar"/>
        </w:rPr>
        <w:t xml:space="preserve">tutor-ia-rfa.web.app</w:t>
      </w:r>
      <w:r>
        <w:t xml:space="preserve">) · 3388 chunks indexados (IVFFlat) · logs JSON + respuestas RAG con citas.</w:t>
      </w:r>
    </w:p>
    <w:bookmarkStart w:id="14" w:name="Xe1b381f801412bea0d683949d8fc4cfd9b4e0e7"/>
    <w:p>
      <w:pPr>
        <w:pStyle w:val="Heading3"/>
      </w:pPr>
      <w:r>
        <w:t xml:space="preserve">5.1 Rendimiento (harness</w:t>
      </w:r>
      <w:r>
        <w:t xml:space="preserve"> </w:t>
      </w:r>
      <w:r>
        <w:rPr>
          <w:rStyle w:val="VerbatimChar"/>
        </w:rPr>
        <w:t xml:space="preserve">oe3_perf.py</w:t>
      </w:r>
      <w:r>
        <w:t xml:space="preserve">, 15 reqs, concurrencia 3,</w:t>
      </w:r>
      <w:r>
        <w:t xml:space="preserve"> </w:t>
      </w:r>
      <w:r>
        <w:rPr>
          <w:rStyle w:val="VerbatimChar"/>
        </w:rPr>
        <w:t xml:space="preserve">num_predict=128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  <w:tc>
          <w:tcPr/>
          <w:p>
            <w:pPr>
              <w:pStyle w:val="Compact"/>
            </w:pPr>
            <w:r>
              <w:t xml:space="preserve">¿Cumple?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P95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99.40 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 P95</w:t>
            </w:r>
          </w:p>
        </w:tc>
        <w:tc>
          <w:tcPr/>
          <w:p>
            <w:pPr>
              <w:pStyle w:val="Compact"/>
            </w:pPr>
            <w:r>
              <w:t xml:space="preserve">≤ 250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362.6 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(conc 3)</w:t>
            </w:r>
          </w:p>
        </w:tc>
        <w:tc>
          <w:tcPr/>
          <w:p>
            <w:pPr>
              <w:pStyle w:val="Compact"/>
            </w:pPr>
            <w:r>
              <w:t xml:space="preserve">≥ 8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2.69 tok/s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P95</w:t>
            </w:r>
          </w:p>
        </w:tc>
        <w:tc>
          <w:tcPr/>
          <w:p>
            <w:pPr>
              <w:pStyle w:val="Compact"/>
            </w:pPr>
            <w:r>
              <w:t xml:space="preserve">≤ 8 s</w:t>
            </w:r>
          </w:p>
        </w:tc>
        <w:tc>
          <w:tcPr/>
          <w:p>
            <w:pPr>
              <w:pStyle w:val="Compact"/>
            </w:pPr>
            <w:r>
              <w:t xml:space="preserve">no medido (</w:t>
            </w:r>
            <w:r>
              <w:rPr>
                <w:rStyle w:val="VerbatimChar"/>
              </w:rPr>
              <w:t xml:space="preserve">--e2e</w:t>
            </w:r>
            <w:r>
              <w:t xml:space="preserve"> </w:t>
            </w:r>
            <w:r>
              <w:t xml:space="preserve">omitido)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 honesta.</w:t>
      </w:r>
      <w:r>
        <w:t xml:space="preserve"> </w:t>
      </w:r>
      <w:r>
        <w:t xml:space="preserve">Los umbrales fueron calibrados para aceleración</w:t>
      </w:r>
      <w:r>
        <w:t xml:space="preserve"> </w:t>
      </w:r>
      <w:r>
        <w:rPr>
          <w:b/>
          <w:bCs/>
        </w:rPr>
        <w:t xml:space="preserve">GPU</w:t>
      </w:r>
      <w:r>
        <w:t xml:space="preserve">; la VM del piloto es</w:t>
      </w:r>
      <w:r>
        <w:t xml:space="preserve"> </w:t>
      </w:r>
      <w:r>
        <w:rPr>
          <w:b/>
          <w:bCs/>
        </w:rPr>
        <w:t xml:space="preserve">CPU-only</w:t>
      </w:r>
      <w:r>
        <w:t xml:space="preserve">. A concurrencia 3, un único modelo 7B sobre CPU</w:t>
      </w:r>
      <w:r>
        <w:t xml:space="preserve"> </w:t>
      </w:r>
      <w:r>
        <w:rPr>
          <w:b/>
          <w:bCs/>
        </w:rPr>
        <w:t xml:space="preserve">no paraleliza</w:t>
      </w:r>
      <w:r>
        <w:t xml:space="preserve">: las peticiones se encolan, por lo que el TTFT P95 (99 s) refleja la</w:t>
      </w:r>
      <w:r>
        <w:t xml:space="preserve"> </w:t>
      </w:r>
      <w:r>
        <w:rPr>
          <w:b/>
          <w:bCs/>
        </w:rPr>
        <w:t xml:space="preserve">saturación por encolamiento</w:t>
      </w:r>
      <w:r>
        <w:t xml:space="preserve">, no la latencia de una sola consulta. La condición real del piloto (10–15 estudiantes con uso esporádico) se aproxima a</w:t>
      </w:r>
      <w:r>
        <w:t xml:space="preserve"> </w:t>
      </w:r>
      <w:r>
        <w:rPr>
          <w:b/>
          <w:bCs/>
        </w:rPr>
        <w:t xml:space="preserve">1 usuario concurrente</w:t>
      </w:r>
      <w:r>
        <w:t xml:space="preserve">, sustancialmente más rápida (sin cola). La medición formal a concurrencia 3 evidencia, por tanto, la</w:t>
      </w:r>
      <w:r>
        <w:t xml:space="preserve"> </w:t>
      </w:r>
      <w:r>
        <w:rPr>
          <w:b/>
          <w:bCs/>
        </w:rPr>
        <w:t xml:space="preserve">necesidad de una instancia con GPU</w:t>
      </w:r>
      <w:r>
        <w:t xml:space="preserve"> </w:t>
      </w:r>
      <w:r>
        <w:t xml:space="preserve">para alcanzar los umbrales.</w:t>
      </w:r>
    </w:p>
    <w:p>
      <w:pPr>
        <w:pStyle w:val="BlockText"/>
      </w:pPr>
      <w:r>
        <w:t xml:space="preserve">Re-encuadre consistente con OE1/OE2 (aprobado por la asesora): se reportan los valores reales y se documenta "sub-2.5 s / ≥8 tok/s requiere GPU" como</w:t>
      </w:r>
      <w:r>
        <w:t xml:space="preserve"> </w:t>
      </w:r>
      <w:r>
        <w:rPr>
          <w:b/>
          <w:bCs/>
        </w:rPr>
        <w:t xml:space="preserve">recomendación de infraestructura / trabajo futuro</w:t>
      </w:r>
      <w:r>
        <w:t xml:space="preserve">. La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del RAG ya está validada offline por RAGAS (OE2, 5/5); el rendimiento es un asunto de hardware, no del pipeline.</w:t>
      </w:r>
    </w:p>
    <w:bookmarkEnd w:id="14"/>
    <w:bookmarkStart w:id="15" w:name="Xeb8222a4d961fa4a74547c393a15ee93fe1f5b9"/>
    <w:p>
      <w:pPr>
        <w:pStyle w:val="Heading3"/>
      </w:pPr>
      <w:r>
        <w:t xml:space="preserve">5.2 Disponibilidad — pendiente ventana de observación</w:t>
      </w:r>
    </w:p>
    <w:p>
      <w:pPr>
        <w:pStyle w:val="FirstParagraph"/>
      </w:pPr>
      <w:r>
        <w:t xml:space="preserve">Requiere ≥</w:t>
      </w:r>
      <w:r>
        <w:t xml:space="preserve"> </w:t>
      </w:r>
      <w:r>
        <w:rPr>
          <w:b/>
          <w:bCs/>
        </w:rPr>
        <w:t xml:space="preserve">48 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tutor-health-poller</w:t>
      </w:r>
      <w:r>
        <w:t xml:space="preserve"> </w:t>
      </w:r>
      <w:r>
        <w:t xml:space="preserve">corriendo (para MTBF ≥ 48 h). Arrancar el poller al inicio del piloto y medir con</w:t>
      </w:r>
      <w:r>
        <w:t xml:space="preserve"> </w:t>
      </w:r>
      <w:r>
        <w:rPr>
          <w:rStyle w:val="VerbatimChar"/>
        </w:rPr>
        <w:t xml:space="preserve">oe3_availability.py</w:t>
      </w:r>
      <w:r>
        <w:t xml:space="preserve"> </w:t>
      </w:r>
      <w:r>
        <w:t xml:space="preserve">sobre los logs de Caddy + poller. No medido en esta corrida.</w:t>
      </w:r>
    </w:p>
    <w:bookmarkEnd w:id="15"/>
    <w:bookmarkStart w:id="16" w:name="X4e74c336c470bec122c80a07e8abc6c7326dd76"/>
    <w:p>
      <w:pPr>
        <w:pStyle w:val="Heading3"/>
      </w:pPr>
      <w:r>
        <w:t xml:space="preserve">5.3 Trazabilidad — cumple</w:t>
      </w:r>
    </w:p>
    <w:p>
      <w:pPr>
        <w:pStyle w:val="Compact"/>
        <w:numPr>
          <w:ilvl w:val="0"/>
          <w:numId w:val="1003"/>
        </w:numPr>
      </w:pPr>
      <w:r>
        <w:t xml:space="preserve">Cobertura RF =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(33/33, matriz ISO/OE5).</w:t>
      </w:r>
    </w:p>
    <w:p>
      <w:pPr>
        <w:pStyle w:val="Compact"/>
        <w:numPr>
          <w:ilvl w:val="0"/>
          <w:numId w:val="1003"/>
        </w:numPr>
      </w:pPr>
      <w:r>
        <w:t xml:space="preserve">Exactitud de citación apoyada en RAGAS</w:t>
      </w:r>
      <w:r>
        <w:t xml:space="preserve"> </w:t>
      </w:r>
      <w:r>
        <w:rPr>
          <w:rStyle w:val="VerbatimChar"/>
        </w:rPr>
        <w:t xml:space="preserve">context_precision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(OE2).</w:t>
      </w:r>
    </w:p>
    <w:bookmarkEnd w:id="16"/>
    <w:bookmarkStart w:id="17" w:name="Xa4f29fa908cf03f0df8c7c67008c9ff645e3cee"/>
    <w:p>
      <w:pPr>
        <w:pStyle w:val="Heading3"/>
      </w:pPr>
      <w:r>
        <w:t xml:space="preserve">5.4 Conclusión OE3</w:t>
      </w:r>
    </w:p>
    <w:p>
      <w:pPr>
        <w:pStyle w:val="FirstParagraph"/>
      </w:pPr>
      <w:r>
        <w:t xml:space="preserve">Despliegue, arquitectura de disponibilidad (healthchecks,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, backup, poller) y trazabilidad</w:t>
      </w:r>
      <w:r>
        <w:t xml:space="preserve"> </w:t>
      </w:r>
      <w:r>
        <w:rPr>
          <w:b/>
          <w:bCs/>
        </w:rPr>
        <w:t xml:space="preserve">logrados</w:t>
      </w:r>
      <w:r>
        <w:t xml:space="preserve">. La latencia de generación queda por debajo de los umbrales sobre</w:t>
      </w:r>
      <w:r>
        <w:t xml:space="preserve"> </w:t>
      </w:r>
      <w:r>
        <w:rPr>
          <w:b/>
          <w:bCs/>
        </w:rPr>
        <w:t xml:space="preserve">CPU</w:t>
      </w:r>
      <w:r>
        <w:t xml:space="preserve">; alcanzarlos exige</w:t>
      </w:r>
      <w:r>
        <w:t xml:space="preserve"> </w:t>
      </w:r>
      <w:r>
        <w:rPr>
          <w:b/>
          <w:bCs/>
        </w:rPr>
        <w:t xml:space="preserve">GPU</w:t>
      </w:r>
      <w:r>
        <w:t xml:space="preserve"> </w:t>
      </w:r>
      <w:r>
        <w:t xml:space="preserve">(recomendación de infraestructura documentada). Medición de disponibilidad sobre ventana ≥48 h y, opcionalmente, latencia a concurrencia 1, quedan como mediciones complementarias.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2026-06-02T18:40:48Z</dcterms:created>
  <dcterms:modified xsi:type="dcterms:W3CDTF">2026-06-02T18:40:48Z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