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36a9eb4ed06a9e3fd9fa1258f8a2310d8cc8c4c"/>
    <w:p>
      <w:pPr>
        <w:pStyle w:val="Heading1"/>
      </w:pPr>
      <w:r>
        <w:t xml:space="preserve">Instrumento Pretest / Postest — OE4 (Rendimiento académico)</w:t>
      </w:r>
    </w:p>
    <w:p>
      <w:pPr>
        <w:pStyle w:val="FirstParagraph"/>
      </w:pPr>
      <w:r>
        <w:rPr>
          <w:b/>
          <w:bCs/>
        </w:rPr>
        <w:t xml:space="preserve">Tesis:</w:t>
      </w:r>
      <w:r>
        <w:t xml:space="preserve"> </w:t>
      </w:r>
      <w:r>
        <w:t xml:space="preserve">Tutor con IA generativa para Aplicaciones Móviles — IESTP "República Federal de Alemania"</w:t>
      </w:r>
      <w:r>
        <w:t xml:space="preserve"> </w:t>
      </w:r>
      <w:r>
        <w:rPr>
          <w:b/>
          <w:bCs/>
        </w:rPr>
        <w:t xml:space="preserve">Autor:</w:t>
      </w:r>
      <w:r>
        <w:t xml:space="preserve"> </w:t>
      </w:r>
      <w:r>
        <w:t xml:space="preserve">Roger Alessandro Zavaleta Marcelo ·</w:t>
      </w:r>
      <w:r>
        <w:t xml:space="preserve"> </w:t>
      </w:r>
      <w:r>
        <w:rPr>
          <w:b/>
          <w:bCs/>
        </w:rPr>
        <w:t xml:space="preserve">Asesora:</w:t>
      </w:r>
      <w:r>
        <w:t xml:space="preserve"> </w:t>
      </w:r>
      <w:r>
        <w:t xml:space="preserve">Mg. Reyes Burgos, Karla (USAT)</w:t>
      </w:r>
      <w:r>
        <w:t xml:space="preserve"> </w:t>
      </w:r>
      <w:r>
        <w:rPr>
          <w:b/>
          <w:bCs/>
        </w:rPr>
        <w:t xml:space="preserve">Objetivo asociado:</w:t>
      </w:r>
      <w:r>
        <w:t xml:space="preserve"> </w:t>
      </w:r>
      <w:r>
        <w:t xml:space="preserve">OE4 —</w:t>
      </w:r>
      <w:r>
        <w:t xml:space="preserve"> </w:t>
      </w:r>
      <w:r>
        <w:rPr>
          <w:i/>
          <w:iCs/>
        </w:rPr>
        <w:t xml:space="preserve">Contrastar la mejora del rendimiento académico mediante diseño pre-experimental con pretest y postest aplicado al grupo piloto.</w:t>
      </w:r>
    </w:p>
    <w:p>
      <w:pPr>
        <w:pStyle w:val="BlockText"/>
      </w:pPr>
      <w:r>
        <w:rPr>
          <w:b/>
          <w:bCs/>
        </w:rPr>
        <w:t xml:space="preserve">Estado (02-jun-2026):</w:t>
      </w:r>
      <w:r>
        <w:t xml:space="preserve"> </w:t>
      </w:r>
      <w:r>
        <w:t xml:space="preserve">Instrumento</w:t>
      </w:r>
      <w:r>
        <w:t xml:space="preserve"> </w:t>
      </w:r>
      <w:r>
        <w:rPr>
          <w:b/>
          <w:bCs/>
        </w:rPr>
        <w:t xml:space="preserve">diseñado y listo para validación/aplicación</w:t>
      </w:r>
      <w:r>
        <w:t xml:space="preserve">. La aplicación real al grupo piloto está programada para el</w:t>
      </w:r>
      <w:r>
        <w:t xml:space="preserve"> </w:t>
      </w:r>
      <w:r>
        <w:rPr>
          <w:b/>
          <w:bCs/>
        </w:rPr>
        <w:t xml:space="preserve">Sprint 8 (29-jun – 10-jul-2026)</w:t>
      </w:r>
      <w:r>
        <w:t xml:space="preserve">. Las cifras de resultados NO se reportan aquí hasta ejecutar el piloto.</w:t>
      </w:r>
    </w:p>
    <w:p>
      <w:r>
        <w:pict>
          <v:rect style="width:0;height:1.5pt" o:hralign="center" o:hrstd="t" o:hr="t"/>
        </w:pict>
      </w:r>
    </w:p>
    <w:bookmarkStart w:id="10" w:name="X473a6f95b6c04f5979389921f5fe0b6f66edb0a"/>
    <w:p>
      <w:pPr>
        <w:pStyle w:val="Heading2"/>
      </w:pPr>
      <w:r>
        <w:t xml:space="preserve">1. Diseño metodológico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Tipo:</w:t>
      </w:r>
      <w:r>
        <w:t xml:space="preserve"> </w:t>
      </w:r>
      <w:r>
        <w:t xml:space="preserve">pre-experimental,</w:t>
      </w:r>
      <w:r>
        <w:t xml:space="preserve"> </w:t>
      </w:r>
      <w:r>
        <w:rPr>
          <w:b/>
          <w:bCs/>
        </w:rPr>
        <w:t xml:space="preserve">un solo grupo con pretest y postest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O1 → X → O2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Variable dependiente:</w:t>
      </w:r>
      <w:r>
        <w:t xml:space="preserve"> </w:t>
      </w:r>
      <w:r>
        <w:t xml:space="preserve">rendimiento académico en Aplicaciones Móviles (Kotlin/Android).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Tratamiento (X):</w:t>
      </w:r>
      <w:r>
        <w:t xml:space="preserve"> </w:t>
      </w:r>
      <w:r>
        <w:t xml:space="preserve">uso del tutor con IA generativa (RAG privado) durante el curso.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Población/muestra:</w:t>
      </w:r>
      <w:r>
        <w:t xml:space="preserve"> </w:t>
      </w:r>
      <w:r>
        <w:t xml:space="preserve">estudiantes matriculados en la unidad didáctica</w:t>
      </w:r>
      <w:r>
        <w:t xml:space="preserve"> </w:t>
      </w:r>
      <w:r>
        <w:rPr>
          <w:i/>
          <w:iCs/>
        </w:rPr>
        <w:t xml:space="preserve">Aplicaciones Móviles</w:t>
      </w:r>
      <w:r>
        <w:t xml:space="preserve"> </w:t>
      </w:r>
      <w:r>
        <w:t xml:space="preserve">(secciones mañana + noche, 2026-I).</w:t>
      </w:r>
      <w:r>
        <w:t xml:space="preserve"> </w:t>
      </w:r>
      <w:r>
        <w:rPr>
          <w:b/>
          <w:bCs/>
        </w:rPr>
        <w:t xml:space="preserve">Grupo piloto: 10–15 estudiantes</w:t>
      </w:r>
      <w:r>
        <w:t xml:space="preserve"> </w:t>
      </w:r>
      <w:r>
        <w:t xml:space="preserve">(submuestra por conveniencia, consentimiento informado).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Contraste estadístico:</w:t>
      </w:r>
      <w:r>
        <w:t xml:space="preserve"> </w:t>
      </w:r>
      <w:r>
        <w:rPr>
          <w:b/>
          <w:bCs/>
        </w:rPr>
        <w:t xml:space="preserve">prueba t de Student para muestras relacionadas (pareada), α = 0.05</w:t>
      </w:r>
      <w:r>
        <w:t xml:space="preserve">; tamaño del efecto</w:t>
      </w:r>
      <w:r>
        <w:t xml:space="preserve"> </w:t>
      </w:r>
      <w:r>
        <w:rPr>
          <w:b/>
          <w:bCs/>
        </w:rPr>
        <w:t xml:space="preserve">d de Cohen</w:t>
      </w:r>
      <w:r>
        <w:t xml:space="preserve">. Si la diferencia no es normal (Shapiro-Wilk p&lt;0.05), se usa la prueba de</w:t>
      </w:r>
      <w:r>
        <w:t xml:space="preserve"> </w:t>
      </w:r>
      <w:r>
        <w:rPr>
          <w:b/>
          <w:bCs/>
        </w:rPr>
        <w:t xml:space="preserve">Wilcoxon de rangos con signo</w:t>
      </w:r>
      <w:r>
        <w:t xml:space="preserve"> </w:t>
      </w:r>
      <w:r>
        <w:t xml:space="preserve">como alternativa no paramétrica.</w:t>
      </w:r>
    </w:p>
    <w:bookmarkStart w:id="9" w:name="hipótesis"/>
    <w:p>
      <w:pPr>
        <w:pStyle w:val="Heading3"/>
      </w:pPr>
      <w:r>
        <w:t xml:space="preserve">Hipótesis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H0:</w:t>
      </w:r>
      <w:r>
        <w:t xml:space="preserve"> </w:t>
      </w:r>
      <w:r>
        <w:t xml:space="preserve">μ(postest) = μ(pretest) — el tutor IA no mejora el rendimiento.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H1:</w:t>
      </w:r>
      <w:r>
        <w:t xml:space="preserve"> </w:t>
      </w:r>
      <w:r>
        <w:t xml:space="preserve">μ(postest) &gt; μ(pretest) — el tutor IA mejora el rendimiento (contraste unilateral).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X377465739089eeada94af78546521750570f635"/>
    <w:p>
      <w:pPr>
        <w:pStyle w:val="Heading2"/>
      </w:pPr>
      <w:r>
        <w:t xml:space="preserve">2. Marco / antecedentes del instrumento</w:t>
      </w:r>
    </w:p>
    <w:p>
      <w:pPr>
        <w:pStyle w:val="FirstParagraph"/>
      </w:pPr>
      <w:r>
        <w:t xml:space="preserve">No existe un inventario de conceptos</w:t>
      </w:r>
      <w:r>
        <w:t xml:space="preserve"> </w:t>
      </w:r>
      <w:r>
        <w:rPr>
          <w:b/>
          <w:bCs/>
        </w:rPr>
        <w:t xml:space="preserve">validado y estandarizado</w:t>
      </w:r>
      <w:r>
        <w:t xml:space="preserve"> </w:t>
      </w:r>
      <w:r>
        <w:t xml:space="preserve">para</w:t>
      </w:r>
      <w:r>
        <w:t xml:space="preserve"> </w:t>
      </w:r>
      <w:r>
        <w:rPr>
          <w:i/>
          <w:iCs/>
        </w:rPr>
        <w:t xml:space="preserve">desarrollo móvil Android/Kotlin</w:t>
      </w:r>
      <w:r>
        <w:t xml:space="preserve">. Para programación introductoria sí existen instrumentos validados que sirven de</w:t>
      </w:r>
      <w:r>
        <w:t xml:space="preserve"> </w:t>
      </w:r>
      <w:r>
        <w:rPr>
          <w:b/>
          <w:bCs/>
        </w:rPr>
        <w:t xml:space="preserve">precedente metodológico</w:t>
      </w:r>
      <w:r>
        <w:t xml:space="preserve"> </w:t>
      </w:r>
      <w:r>
        <w:t xml:space="preserve">sobre cómo construir y validar una prueba de conceptos: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FCS1</w:t>
      </w:r>
      <w:r>
        <w:t xml:space="preserve"> </w:t>
      </w:r>
      <w:r>
        <w:t xml:space="preserve">(Foundational CS1) — primer instrumento validado de conceptos de programación introductoria, agnóstico al lenguaje.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SCS1</w:t>
      </w:r>
      <w:r>
        <w:t xml:space="preserve"> </w:t>
      </w:r>
      <w:r>
        <w:t xml:space="preserve">(Second CS1 Assessment) — versión isomorfa validada del FCS1, de uso abierto para investigación.</w:t>
      </w:r>
    </w:p>
    <w:p>
      <w:pPr>
        <w:pStyle w:val="FirstParagraph"/>
      </w:pPr>
      <w:r>
        <w:t xml:space="preserve">Dado que estos miden CS introductorio (en inglés) y no la unidad de Aplicaciones Móviles, se construye una</w:t>
      </w:r>
      <w:r>
        <w:t xml:space="preserve"> </w:t>
      </w:r>
      <w:r>
        <w:rPr>
          <w:b/>
          <w:bCs/>
        </w:rPr>
        <w:t xml:space="preserve">prueba de conocimientos propia</w:t>
      </w:r>
      <w:r>
        <w:t xml:space="preserve"> </w:t>
      </w:r>
      <w:r>
        <w:t xml:space="preserve">alineada al sílabo (M1–M5), siguiendo la práctica estándar en tesis peruanas:</w:t>
      </w:r>
      <w:r>
        <w:t xml:space="preserve"> </w:t>
      </w:r>
      <w:r>
        <w:rPr>
          <w:b/>
          <w:bCs/>
        </w:rPr>
        <w:t xml:space="preserve">validez por juicio de expertos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confiabilidad por KR-20</w:t>
      </w:r>
      <w:r>
        <w:t xml:space="preserve"> </w:t>
      </w:r>
      <w:r>
        <w:t xml:space="preserve">(ítems dicotómicos correcto/incorrecto).</w:t>
      </w:r>
    </w:p>
    <w:p>
      <w:r>
        <w:pict>
          <v:rect style="width:0;height:1.5pt" o:hralign="center" o:hrstd="t" o:hr="t"/>
        </w:pict>
      </w:r>
    </w:p>
    <w:bookmarkEnd w:id="11"/>
    <w:bookmarkStart w:id="12" w:name="X0000a4acd61db883a870c7bf3d9b92aa45e5968"/>
    <w:p>
      <w:pPr>
        <w:pStyle w:val="Heading2"/>
      </w:pPr>
      <w:r>
        <w:t xml:space="preserve">3. Estructura del instrumento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Formato:</w:t>
      </w:r>
      <w:r>
        <w:t xml:space="preserve"> </w:t>
      </w:r>
      <w:r>
        <w:t xml:space="preserve">20 ítems de opción múltiple (4 alternativas, 1 correcta).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Calificación:</w:t>
      </w:r>
      <w:r>
        <w:t xml:space="preserve"> </w:t>
      </w:r>
      <w:r>
        <w:t xml:space="preserve">dicotómica (1 = correcto, 0 = incorrecto). Puntaje total</w:t>
      </w:r>
      <w:r>
        <w:t xml:space="preserve"> </w:t>
      </w:r>
      <w:r>
        <w:rPr>
          <w:b/>
          <w:bCs/>
        </w:rPr>
        <w:t xml:space="preserve">0–20</w:t>
      </w:r>
      <w:r>
        <w:t xml:space="preserve"> </w:t>
      </w:r>
      <w:r>
        <w:t xml:space="preserve">(escala vigesimal peruana). Conversión a porcentaje = puntaje × 5.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Cobertura:</w:t>
      </w:r>
      <w:r>
        <w:t xml:space="preserve"> </w:t>
      </w:r>
      <w:r>
        <w:t xml:space="preserve">4 ítems por cada uno de los 5 módulos del curso.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Equivalencia pretest/postest:</w:t>
      </w:r>
      <w:r>
        <w:t xml:space="preserve"> </w:t>
      </w:r>
      <w:r>
        <w:t xml:space="preserve">se aplica</w:t>
      </w:r>
      <w:r>
        <w:t xml:space="preserve"> </w:t>
      </w:r>
      <w:r>
        <w:rPr>
          <w:b/>
          <w:bCs/>
        </w:rPr>
        <w:t xml:space="preserve">la misma prueba</w:t>
      </w:r>
      <w:r>
        <w:t xml:space="preserve"> </w:t>
      </w:r>
      <w:r>
        <w:t xml:space="preserve">en ambos momentos (mismo instrumento → comparabilidad directa). Se recomienda</w:t>
      </w:r>
      <w:r>
        <w:t xml:space="preserve"> </w:t>
      </w:r>
      <w:r>
        <w:rPr>
          <w:b/>
          <w:bCs/>
        </w:rPr>
        <w:t xml:space="preserve">aleatorizar el orden</w:t>
      </w:r>
      <w:r>
        <w:t xml:space="preserve"> </w:t>
      </w:r>
      <w:r>
        <w:t xml:space="preserve">de ítems y alternativas en la aplicación digital para mitigar efecto de memoria/orden.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Módulo</w:t>
            </w:r>
          </w:p>
        </w:tc>
        <w:tc>
          <w:tcPr/>
          <w:p>
            <w:pPr>
              <w:pStyle w:val="Compact"/>
            </w:pPr>
            <w:r>
              <w:t xml:space="preserve">Tema</w:t>
            </w:r>
          </w:p>
        </w:tc>
        <w:tc>
          <w:tcPr/>
          <w:p>
            <w:pPr>
              <w:pStyle w:val="Compact"/>
            </w:pPr>
            <w:r>
              <w:t xml:space="preserve">Ítems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t xml:space="preserve">Fundamentos y preparación del entorno</w:t>
            </w:r>
          </w:p>
        </w:tc>
        <w:tc>
          <w:tcPr/>
          <w:p>
            <w:pPr>
              <w:pStyle w:val="Compact"/>
            </w:pPr>
            <w:r>
              <w:t xml:space="preserve">1–4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t xml:space="preserve">Lógica de programación en Kotlin</w:t>
            </w:r>
          </w:p>
        </w:tc>
        <w:tc>
          <w:tcPr/>
          <w:p>
            <w:pPr>
              <w:pStyle w:val="Compact"/>
            </w:pPr>
            <w:r>
              <w:t xml:space="preserve">5–8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Elaboración de interfaces de usuario (UI)</w:t>
            </w:r>
          </w:p>
        </w:tc>
        <w:tc>
          <w:tcPr/>
          <w:p>
            <w:pPr>
              <w:pStyle w:val="Compact"/>
            </w:pPr>
            <w:r>
              <w:t xml:space="preserve">9–12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t xml:space="preserve">Componentes Android y gestión de datos</w:t>
            </w:r>
          </w:p>
        </w:tc>
        <w:tc>
          <w:tcPr/>
          <w:p>
            <w:pPr>
              <w:pStyle w:val="Compact"/>
            </w:pPr>
            <w:r>
              <w:t xml:space="preserve">13–16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</w:t>
            </w:r>
          </w:p>
        </w:tc>
        <w:tc>
          <w:tcPr/>
          <w:p>
            <w:pPr>
              <w:pStyle w:val="Compact"/>
            </w:pPr>
            <w:r>
              <w:t xml:space="preserve">Funcionalidades avanzadas y despliegue</w:t>
            </w:r>
          </w:p>
        </w:tc>
        <w:tc>
          <w:tcPr/>
          <w:p>
            <w:pPr>
              <w:pStyle w:val="Compact"/>
            </w:pPr>
            <w:r>
              <w:t xml:space="preserve">17–20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8" w:name="X9d6659c28b21c0b3b5488051a6c8cc400523d00"/>
    <w:p>
      <w:pPr>
        <w:pStyle w:val="Heading2"/>
      </w:pPr>
      <w:r>
        <w:t xml:space="preserve">4. Ítems</w:t>
      </w:r>
    </w:p>
    <w:bookmarkStart w:id="13" w:name="módulo-1--fundamentos-y-entorno"/>
    <w:p>
      <w:pPr>
        <w:pStyle w:val="Heading3"/>
      </w:pPr>
      <w:r>
        <w:t xml:space="preserve">Módulo 1 — Fundamentos y entorno</w: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¿Cuál es el IDE oficial para el desarrollo de aplicaciones Android?</w:t>
      </w:r>
      <w:r>
        <w:t xml:space="preserve"> </w:t>
      </w:r>
      <w:r>
        <w:t xml:space="preserve">a) Eclipse b) NetBeans</w:t>
      </w:r>
      <w:r>
        <w:t xml:space="preserve"> </w:t>
      </w:r>
      <w:r>
        <w:rPr>
          <w:b/>
          <w:bCs/>
        </w:rPr>
        <w:t xml:space="preserve">c) Android Studio</w:t>
      </w:r>
      <w:r>
        <w:t xml:space="preserve"> </w:t>
      </w:r>
      <w:r>
        <w:t xml:space="preserve">d) Visual Studio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¿Qué archivo declara los componentes, permisos y la configuración general de la app?</w:t>
      </w:r>
      <w:r>
        <w:t xml:space="preserve"> </w:t>
      </w:r>
      <w:r>
        <w:rPr>
          <w:b/>
          <w:bCs/>
        </w:rPr>
        <w:t xml:space="preserve">a) AndroidManifest.xml</w:t>
      </w:r>
      <w:r>
        <w:t xml:space="preserve"> </w:t>
      </w:r>
      <w:r>
        <w:t xml:space="preserve">b) build.gradle c) strings.xml d) MainActivity.kt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¿Qué sistema de construcción (build) utiliza Android de forma predeterminada?</w:t>
      </w:r>
      <w:r>
        <w:t xml:space="preserve"> </w:t>
      </w:r>
      <w:r>
        <w:t xml:space="preserve">a) Maven b) Ant c) Make</w:t>
      </w:r>
      <w:r>
        <w:t xml:space="preserve"> </w:t>
      </w:r>
      <w:r>
        <w:rPr>
          <w:b/>
          <w:bCs/>
        </w:rPr>
        <w:t xml:space="preserve">d) Gradle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¿En qué carpeta del proyecto se ubican los recursos (layouts, strings, imágenes)?</w:t>
      </w:r>
      <w:r>
        <w:t xml:space="preserve"> </w:t>
      </w:r>
      <w:r>
        <w:t xml:space="preserve">a)</w:t>
      </w:r>
      <w:r>
        <w:t xml:space="preserve"> </w:t>
      </w:r>
      <w:r>
        <w:rPr>
          <w:rStyle w:val="VerbatimChar"/>
        </w:rPr>
        <w:t xml:space="preserve">src</w:t>
      </w:r>
      <w:r>
        <w:t xml:space="preserve"> </w:t>
      </w:r>
      <w:r>
        <w:rPr>
          <w:b/>
          <w:bCs/>
        </w:rPr>
        <w:t xml:space="preserve">b)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res</w:t>
      </w:r>
      <w:r>
        <w:t xml:space="preserve"> </w:t>
      </w:r>
      <w:r>
        <w:t xml:space="preserve">c)</w:t>
      </w:r>
      <w:r>
        <w:t xml:space="preserve"> </w:t>
      </w:r>
      <w:r>
        <w:rPr>
          <w:rStyle w:val="VerbatimChar"/>
        </w:rPr>
        <w:t xml:space="preserve">assets</w:t>
      </w:r>
      <w:r>
        <w:t xml:space="preserve"> </w:t>
      </w:r>
      <w:r>
        <w:t xml:space="preserve">d)</w:t>
      </w:r>
      <w:r>
        <w:t xml:space="preserve"> </w:t>
      </w:r>
      <w:r>
        <w:rPr>
          <w:rStyle w:val="VerbatimChar"/>
        </w:rPr>
        <w:t xml:space="preserve">lib</w:t>
      </w:r>
    </w:p>
    <w:bookmarkEnd w:id="13"/>
    <w:bookmarkStart w:id="14" w:name="Xec4412ebce2caebfebbadc5b9eafbd9a11a3241"/>
    <w:p>
      <w:pPr>
        <w:pStyle w:val="Heading3"/>
      </w:pPr>
      <w:r>
        <w:t xml:space="preserve">Módulo 2 — Lógica de programación en Kotlin</w:t>
      </w:r>
    </w:p>
    <w:p>
      <w:pPr>
        <w:pStyle w:val="FirstParagraph"/>
      </w:pPr>
      <w:r>
        <w:rPr>
          <w:b/>
          <w:bCs/>
        </w:rPr>
        <w:t xml:space="preserve">5.</w:t>
      </w:r>
      <w:r>
        <w:t xml:space="preserve"> </w:t>
      </w:r>
      <w:r>
        <w:t xml:space="preserve">¿Qué palabra clave declara una variable</w:t>
      </w:r>
      <w:r>
        <w:t xml:space="preserve"> </w:t>
      </w:r>
      <w:r>
        <w:rPr>
          <w:b/>
          <w:bCs/>
        </w:rPr>
        <w:t xml:space="preserve">inmutable</w:t>
      </w:r>
      <w:r>
        <w:t xml:space="preserve"> </w:t>
      </w:r>
      <w:r>
        <w:t xml:space="preserve">(solo lectura) en Kotlin?</w:t>
      </w:r>
      <w:r>
        <w:t xml:space="preserve"> </w:t>
      </w:r>
      <w:r>
        <w:t xml:space="preserve">a)</w:t>
      </w:r>
      <w:r>
        <w:t xml:space="preserve"> </w:t>
      </w:r>
      <w:r>
        <w:rPr>
          <w:rStyle w:val="VerbatimChar"/>
        </w:rPr>
        <w:t xml:space="preserve">var</w:t>
      </w:r>
      <w:r>
        <w:t xml:space="preserve"> </w:t>
      </w:r>
      <w:r>
        <w:rPr>
          <w:b/>
          <w:bCs/>
        </w:rPr>
        <w:t xml:space="preserve">b)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val</w:t>
      </w:r>
      <w:r>
        <w:t xml:space="preserve"> </w:t>
      </w:r>
      <w:r>
        <w:t xml:space="preserve">c)</w:t>
      </w:r>
      <w:r>
        <w:t xml:space="preserve"> </w:t>
      </w:r>
      <w:r>
        <w:rPr>
          <w:rStyle w:val="VerbatimChar"/>
        </w:rPr>
        <w:t xml:space="preserve">let</w:t>
      </w:r>
      <w:r>
        <w:t xml:space="preserve"> </w:t>
      </w:r>
      <w:r>
        <w:t xml:space="preserve">d)</w:t>
      </w:r>
      <w:r>
        <w:t xml:space="preserve"> </w:t>
      </w:r>
      <w:r>
        <w:rPr>
          <w:rStyle w:val="VerbatimChar"/>
        </w:rPr>
        <w:t xml:space="preserve">const fun</w:t>
      </w:r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¿Cuál es el operador de</w:t>
      </w:r>
      <w:r>
        <w:t xml:space="preserve"> </w:t>
      </w:r>
      <w:r>
        <w:rPr>
          <w:b/>
          <w:bCs/>
        </w:rPr>
        <w:t xml:space="preserve">llamada segura</w:t>
      </w:r>
      <w:r>
        <w:t xml:space="preserve"> </w:t>
      </w:r>
      <w:r>
        <w:t xml:space="preserve">que evita</w:t>
      </w:r>
      <w:r>
        <w:t xml:space="preserve"> </w:t>
      </w:r>
      <w:r>
        <w:rPr>
          <w:rStyle w:val="VerbatimChar"/>
        </w:rPr>
        <w:t xml:space="preserve">NullPointerException</w:t>
      </w:r>
      <w:r>
        <w:t xml:space="preserve">?</w:t>
      </w:r>
      <w:r>
        <w:t xml:space="preserve"> </w:t>
      </w:r>
      <w:r>
        <w:t xml:space="preserve">a)</w:t>
      </w:r>
      <w:r>
        <w:t xml:space="preserve"> </w:t>
      </w:r>
      <w:r>
        <w:rPr>
          <w:rStyle w:val="VerbatimChar"/>
        </w:rPr>
        <w:t xml:space="preserve">!!</w:t>
      </w:r>
      <w:r>
        <w:t xml:space="preserve"> </w:t>
      </w:r>
      <w:r>
        <w:t xml:space="preserve">b)</w:t>
      </w:r>
      <w:r>
        <w:t xml:space="preserve"> </w:t>
      </w:r>
      <w:r>
        <w:rPr>
          <w:rStyle w:val="VerbatimChar"/>
        </w:rPr>
        <w:t xml:space="preserve">?:</w:t>
      </w:r>
      <w:r>
        <w:t xml:space="preserve"> </w:t>
      </w:r>
      <w:r>
        <w:rPr>
          <w:b/>
          <w:bCs/>
        </w:rPr>
        <w:t xml:space="preserve">c)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?.</w:t>
      </w:r>
      <w:r>
        <w:t xml:space="preserve"> </w:t>
      </w:r>
      <w:r>
        <w:t xml:space="preserve">d)</w:t>
      </w:r>
      <w:r>
        <w:t xml:space="preserve"> </w:t>
      </w:r>
      <w:r>
        <w:rPr>
          <w:rStyle w:val="VerbatimChar"/>
        </w:rPr>
        <w:t xml:space="preserve">==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w:r>
        <w:t xml:space="preserve">¿Qué tipo de clase genera automáticamente</w:t>
      </w:r>
      <w:r>
        <w:t xml:space="preserve"> </w:t>
      </w:r>
      <w:r>
        <w:rPr>
          <w:rStyle w:val="VerbatimChar"/>
        </w:rPr>
        <w:t xml:space="preserve">equals()</w:t>
      </w:r>
      <w:r>
        <w:t xml:space="preserve">,</w:t>
      </w:r>
      <w:r>
        <w:t xml:space="preserve"> </w:t>
      </w:r>
      <w:r>
        <w:rPr>
          <w:rStyle w:val="VerbatimChar"/>
        </w:rPr>
        <w:t xml:space="preserve">hashCode()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toString()</w:t>
      </w:r>
      <w:r>
        <w:t xml:space="preserve">?</w:t>
      </w:r>
      <w:r>
        <w:t xml:space="preserve"> </w:t>
      </w:r>
      <w:r>
        <w:t xml:space="preserve">a)</w:t>
      </w:r>
      <w:r>
        <w:t xml:space="preserve"> </w:t>
      </w:r>
      <w:r>
        <w:rPr>
          <w:rStyle w:val="VerbatimChar"/>
        </w:rPr>
        <w:t xml:space="preserve">sealed class</w:t>
      </w:r>
      <w:r>
        <w:t xml:space="preserve"> </w:t>
      </w:r>
      <w:r>
        <w:t xml:space="preserve">b)</w:t>
      </w:r>
      <w:r>
        <w:t xml:space="preserve"> </w:t>
      </w:r>
      <w:r>
        <w:rPr>
          <w:rStyle w:val="VerbatimChar"/>
        </w:rPr>
        <w:t xml:space="preserve">object</w:t>
      </w:r>
      <w:r>
        <w:t xml:space="preserve"> </w:t>
      </w:r>
      <w:r>
        <w:rPr>
          <w:b/>
          <w:bCs/>
        </w:rPr>
        <w:t xml:space="preserve">c)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 class</w:t>
      </w:r>
      <w:r>
        <w:t xml:space="preserve"> </w:t>
      </w:r>
      <w:r>
        <w:t xml:space="preserve">d)</w:t>
      </w:r>
      <w:r>
        <w:t xml:space="preserve"> </w:t>
      </w:r>
      <w:r>
        <w:rPr>
          <w:rStyle w:val="VerbatimChar"/>
        </w:rPr>
        <w:t xml:space="preserve">abstract class</w:t>
      </w:r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¿Qué estructura de control recorre cada elemento de una colección?</w:t>
      </w:r>
      <w:r>
        <w:t xml:space="preserve"> </w:t>
      </w:r>
      <w:r>
        <w:t xml:space="preserve">a)</w:t>
      </w:r>
      <w:r>
        <w:t xml:space="preserve"> </w:t>
      </w:r>
      <w:r>
        <w:rPr>
          <w:rStyle w:val="VerbatimChar"/>
        </w:rPr>
        <w:t xml:space="preserve">when</w:t>
      </w:r>
      <w:r>
        <w:t xml:space="preserve"> </w:t>
      </w:r>
      <w:r>
        <w:t xml:space="preserve">b)</w:t>
      </w:r>
      <w:r>
        <w:t xml:space="preserve"> </w:t>
      </w:r>
      <w:r>
        <w:rPr>
          <w:rStyle w:val="VerbatimChar"/>
        </w:rPr>
        <w:t xml:space="preserve">try</w:t>
      </w:r>
      <w:r>
        <w:t xml:space="preserve"> </w:t>
      </w:r>
      <w:r>
        <w:rPr>
          <w:b/>
          <w:bCs/>
        </w:rPr>
        <w:t xml:space="preserve">c)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for</w:t>
      </w:r>
      <w:r>
        <w:t xml:space="preserve"> </w:t>
      </w:r>
      <w:r>
        <w:t xml:space="preserve">d)</w:t>
      </w:r>
      <w:r>
        <w:t xml:space="preserve"> </w:t>
      </w:r>
      <w:r>
        <w:rPr>
          <w:rStyle w:val="VerbatimChar"/>
        </w:rPr>
        <w:t xml:space="preserve">object</w:t>
      </w:r>
    </w:p>
    <w:bookmarkEnd w:id="14"/>
    <w:bookmarkStart w:id="15" w:name="módulo-3--interfaces-de-usuario-ui"/>
    <w:p>
      <w:pPr>
        <w:pStyle w:val="Heading3"/>
      </w:pPr>
      <w:r>
        <w:t xml:space="preserve">Módulo 3 — Interfaces de usuario (UI)</w:t>
      </w:r>
    </w:p>
    <w:p>
      <w:pPr>
        <w:pStyle w:val="FirstParagraph"/>
      </w:pPr>
      <w:r>
        <w:rPr>
          <w:b/>
          <w:bCs/>
        </w:rPr>
        <w:t xml:space="preserve">9.</w:t>
      </w:r>
      <w:r>
        <w:t xml:space="preserve"> </w:t>
      </w:r>
      <w:r>
        <w:t xml:space="preserve">¿Qué componente muestra listas largas de forma eficiente</w:t>
      </w:r>
      <w:r>
        <w:t xml:space="preserve"> </w:t>
      </w:r>
      <w:r>
        <w:rPr>
          <w:b/>
          <w:bCs/>
        </w:rPr>
        <w:t xml:space="preserve">reciclando</w:t>
      </w:r>
      <w:r>
        <w:t xml:space="preserve"> </w:t>
      </w:r>
      <w:r>
        <w:t xml:space="preserve">vistas?</w:t>
      </w:r>
      <w:r>
        <w:t xml:space="preserve"> </w:t>
      </w:r>
      <w:r>
        <w:t xml:space="preserve">a)</w:t>
      </w:r>
      <w:r>
        <w:t xml:space="preserve"> </w:t>
      </w:r>
      <w:r>
        <w:rPr>
          <w:rStyle w:val="VerbatimChar"/>
        </w:rPr>
        <w:t xml:space="preserve">ListView</w:t>
      </w:r>
      <w:r>
        <w:t xml:space="preserve"> </w:t>
      </w:r>
      <w:r>
        <w:t xml:space="preserve">b)</w:t>
      </w:r>
      <w:r>
        <w:t xml:space="preserve"> </w:t>
      </w:r>
      <w:r>
        <w:rPr>
          <w:rStyle w:val="VerbatimChar"/>
        </w:rPr>
        <w:t xml:space="preserve">ScrollView</w:t>
      </w:r>
      <w:r>
        <w:t xml:space="preserve"> </w:t>
      </w:r>
      <w:r>
        <w:rPr>
          <w:b/>
          <w:bCs/>
        </w:rPr>
        <w:t xml:space="preserve">c)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RecyclerView</w:t>
      </w:r>
      <w:r>
        <w:t xml:space="preserve"> </w:t>
      </w:r>
      <w:r>
        <w:t xml:space="preserve">d)</w:t>
      </w:r>
      <w:r>
        <w:t xml:space="preserve"> </w:t>
      </w:r>
      <w:r>
        <w:rPr>
          <w:rStyle w:val="VerbatimChar"/>
        </w:rPr>
        <w:t xml:space="preserve">LinearLayout</w:t>
      </w:r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w:r>
        <w:t xml:space="preserve">En la vista clásica de Android, ¿en qué lenguaje se definen los</w:t>
      </w:r>
      <w:r>
        <w:t xml:space="preserve"> </w:t>
      </w:r>
      <w:r>
        <w:rPr>
          <w:i/>
          <w:iCs/>
        </w:rPr>
        <w:t xml:space="preserve">layouts</w:t>
      </w:r>
      <w:r>
        <w:t xml:space="preserve">?</w:t>
      </w:r>
      <w:r>
        <w:t xml:space="preserve"> </w:t>
      </w:r>
      <w:r>
        <w:t xml:space="preserve">a) JSON b) YAML</w:t>
      </w:r>
      <w:r>
        <w:t xml:space="preserve"> </w:t>
      </w:r>
      <w:r>
        <w:rPr>
          <w:b/>
          <w:bCs/>
        </w:rPr>
        <w:t xml:space="preserve">c) XML</w:t>
      </w:r>
      <w:r>
        <w:t xml:space="preserve"> </w:t>
      </w:r>
      <w:r>
        <w:t xml:space="preserve">d) HTML</w:t>
      </w:r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¿Qué</w:t>
      </w:r>
      <w:r>
        <w:t xml:space="preserve"> </w:t>
      </w:r>
      <w:r>
        <w:rPr>
          <w:rStyle w:val="VerbatimChar"/>
        </w:rPr>
        <w:t xml:space="preserve">ViewGroup</w:t>
      </w:r>
      <w:r>
        <w:t xml:space="preserve"> </w:t>
      </w:r>
      <w:r>
        <w:t xml:space="preserve">organiza los elementos en</w:t>
      </w:r>
      <w:r>
        <w:t xml:space="preserve"> </w:t>
      </w:r>
      <w:r>
        <w:rPr>
          <w:b/>
          <w:bCs/>
        </w:rPr>
        <w:t xml:space="preserve">una sola fila o columna</w:t>
      </w:r>
      <w:r>
        <w:t xml:space="preserve">?</w:t>
      </w:r>
      <w:r>
        <w:t xml:space="preserve"> </w:t>
      </w:r>
      <w:r>
        <w:t xml:space="preserve">a)</w:t>
      </w:r>
      <w:r>
        <w:t xml:space="preserve"> </w:t>
      </w:r>
      <w:r>
        <w:rPr>
          <w:rStyle w:val="VerbatimChar"/>
        </w:rPr>
        <w:t xml:space="preserve">ConstraintLayout</w:t>
      </w:r>
      <w:r>
        <w:t xml:space="preserve"> </w:t>
      </w:r>
      <w:r>
        <w:rPr>
          <w:b/>
          <w:bCs/>
        </w:rPr>
        <w:t xml:space="preserve">b)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LinearLayout</w:t>
      </w:r>
      <w:r>
        <w:t xml:space="preserve"> </w:t>
      </w:r>
      <w:r>
        <w:t xml:space="preserve">c)</w:t>
      </w:r>
      <w:r>
        <w:t xml:space="preserve"> </w:t>
      </w:r>
      <w:r>
        <w:rPr>
          <w:rStyle w:val="VerbatimChar"/>
        </w:rPr>
        <w:t xml:space="preserve">FrameLayout</w:t>
      </w:r>
      <w:r>
        <w:t xml:space="preserve"> </w:t>
      </w:r>
      <w:r>
        <w:t xml:space="preserve">d)</w:t>
      </w:r>
      <w:r>
        <w:t xml:space="preserve"> </w:t>
      </w:r>
      <w:r>
        <w:rPr>
          <w:rStyle w:val="VerbatimChar"/>
        </w:rPr>
        <w:t xml:space="preserve">TableLayout</w:t>
      </w:r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¿Qué método registra la acción a ejecutar cuando se pulsa un botón?</w:t>
      </w:r>
      <w:r>
        <w:t xml:space="preserve"> </w:t>
      </w:r>
      <w:r>
        <w:t xml:space="preserve">a)</w:t>
      </w:r>
      <w:r>
        <w:t xml:space="preserve"> </w:t>
      </w:r>
      <w:r>
        <w:rPr>
          <w:rStyle w:val="VerbatimChar"/>
        </w:rPr>
        <w:t xml:space="preserve">onCreate()</w:t>
      </w:r>
      <w:r>
        <w:t xml:space="preserve"> </w:t>
      </w:r>
      <w:r>
        <w:t xml:space="preserve">b)</w:t>
      </w:r>
      <w:r>
        <w:t xml:space="preserve"> </w:t>
      </w:r>
      <w:r>
        <w:rPr>
          <w:rStyle w:val="VerbatimChar"/>
        </w:rPr>
        <w:t xml:space="preserve">findViewById()</w:t>
      </w:r>
      <w:r>
        <w:t xml:space="preserve"> </w:t>
      </w:r>
      <w:r>
        <w:rPr>
          <w:b/>
          <w:bCs/>
        </w:rPr>
        <w:t xml:space="preserve">c)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setOnClickListener()</w:t>
      </w:r>
      <w:r>
        <w:t xml:space="preserve"> </w:t>
      </w:r>
      <w:r>
        <w:t xml:space="preserve">d)</w:t>
      </w:r>
      <w:r>
        <w:t xml:space="preserve"> </w:t>
      </w:r>
      <w:r>
        <w:rPr>
          <w:rStyle w:val="VerbatimChar"/>
        </w:rPr>
        <w:t xml:space="preserve">onResume()</w:t>
      </w:r>
    </w:p>
    <w:bookmarkEnd w:id="15"/>
    <w:bookmarkStart w:id="16" w:name="Xa999dbbcc1bae843839b6b55737bc9e6f69665d"/>
    <w:p>
      <w:pPr>
        <w:pStyle w:val="Heading3"/>
      </w:pPr>
      <w:r>
        <w:t xml:space="preserve">Módulo 4 — Componentes Android y gestión de datos</w:t>
      </w:r>
    </w:p>
    <w:p>
      <w:pPr>
        <w:pStyle w:val="FirstParagraph"/>
      </w:pPr>
      <w:r>
        <w:rPr>
          <w:b/>
          <w:bCs/>
        </w:rPr>
        <w:t xml:space="preserve">13.</w:t>
      </w:r>
      <w:r>
        <w:t xml:space="preserve"> </w:t>
      </w:r>
      <w:r>
        <w:t xml:space="preserve">¿Qué método del ciclo de vida de una</w:t>
      </w:r>
      <w:r>
        <w:t xml:space="preserve"> </w:t>
      </w:r>
      <w:r>
        <w:rPr>
          <w:rStyle w:val="VerbatimChar"/>
        </w:rPr>
        <w:t xml:space="preserve">Activity</w:t>
      </w:r>
      <w:r>
        <w:t xml:space="preserve"> </w:t>
      </w:r>
      <w:r>
        <w:t xml:space="preserve">se invoca al</w:t>
      </w:r>
      <w:r>
        <w:t xml:space="preserve"> </w:t>
      </w:r>
      <w:r>
        <w:rPr>
          <w:b/>
          <w:bCs/>
        </w:rPr>
        <w:t xml:space="preserve">crearse</w:t>
      </w:r>
      <w:r>
        <w:t xml:space="preserve">?</w:t>
      </w:r>
      <w:r>
        <w:t xml:space="preserve"> </w:t>
      </w:r>
      <w:r>
        <w:t xml:space="preserve">a)</w:t>
      </w:r>
      <w:r>
        <w:t xml:space="preserve"> </w:t>
      </w:r>
      <w:r>
        <w:rPr>
          <w:rStyle w:val="VerbatimChar"/>
        </w:rPr>
        <w:t xml:space="preserve">onStart()</w:t>
      </w:r>
      <w:r>
        <w:t xml:space="preserve"> </w:t>
      </w:r>
      <w:r>
        <w:t xml:space="preserve">b)</w:t>
      </w:r>
      <w:r>
        <w:t xml:space="preserve"> </w:t>
      </w:r>
      <w:r>
        <w:rPr>
          <w:rStyle w:val="VerbatimChar"/>
        </w:rPr>
        <w:t xml:space="preserve">onPause()</w:t>
      </w:r>
      <w:r>
        <w:t xml:space="preserve"> </w:t>
      </w:r>
      <w:r>
        <w:rPr>
          <w:b/>
          <w:bCs/>
        </w:rPr>
        <w:t xml:space="preserve">c)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onCreate()</w:t>
      </w:r>
      <w:r>
        <w:t xml:space="preserve"> </w:t>
      </w:r>
      <w:r>
        <w:t xml:space="preserve">d)</w:t>
      </w:r>
      <w:r>
        <w:t xml:space="preserve"> </w:t>
      </w:r>
      <w:r>
        <w:rPr>
          <w:rStyle w:val="VerbatimChar"/>
        </w:rPr>
        <w:t xml:space="preserve">onDestroy()</w:t>
      </w:r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¿Qué objeto se usa para comunicar componentes o abrir otra</w:t>
      </w:r>
      <w:r>
        <w:t xml:space="preserve"> </w:t>
      </w:r>
      <w:r>
        <w:rPr>
          <w:rStyle w:val="VerbatimChar"/>
        </w:rPr>
        <w:t xml:space="preserve">Activity</w:t>
      </w:r>
      <w:r>
        <w:t xml:space="preserve">?</w:t>
      </w:r>
      <w:r>
        <w:t xml:space="preserve"> </w:t>
      </w:r>
      <w:r>
        <w:rPr>
          <w:b/>
          <w:bCs/>
        </w:rPr>
        <w:t xml:space="preserve">a)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Intent</w:t>
      </w:r>
      <w:r>
        <w:t xml:space="preserve"> </w:t>
      </w:r>
      <w:r>
        <w:t xml:space="preserve">b)</w:t>
      </w:r>
      <w:r>
        <w:t xml:space="preserve"> </w:t>
      </w:r>
      <w:r>
        <w:rPr>
          <w:rStyle w:val="VerbatimChar"/>
        </w:rPr>
        <w:t xml:space="preserve">Bundle</w:t>
      </w:r>
      <w:r>
        <w:t xml:space="preserve"> </w:t>
      </w:r>
      <w:r>
        <w:t xml:space="preserve">c)</w:t>
      </w:r>
      <w:r>
        <w:t xml:space="preserve"> </w:t>
      </w:r>
      <w:r>
        <w:rPr>
          <w:rStyle w:val="VerbatimChar"/>
        </w:rPr>
        <w:t xml:space="preserve">Service</w:t>
      </w:r>
      <w:r>
        <w:t xml:space="preserve"> </w:t>
      </w:r>
      <w:r>
        <w:t xml:space="preserve">d)</w:t>
      </w:r>
      <w:r>
        <w:t xml:space="preserve"> </w:t>
      </w:r>
      <w:r>
        <w:rPr>
          <w:rStyle w:val="VerbatimChar"/>
        </w:rPr>
        <w:t xml:space="preserve">Fragment</w:t>
      </w:r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w:r>
        <w:t xml:space="preserve">¿Qué biblioteca recomendada por Android envuelve SQLite con un ORM?</w:t>
      </w:r>
      <w:r>
        <w:t xml:space="preserve"> </w:t>
      </w:r>
      <w:r>
        <w:t xml:space="preserve">a) Realm b) Retrofit</w:t>
      </w:r>
      <w:r>
        <w:t xml:space="preserve"> </w:t>
      </w:r>
      <w:r>
        <w:rPr>
          <w:b/>
          <w:bCs/>
        </w:rPr>
        <w:t xml:space="preserve">c) Room</w:t>
      </w:r>
      <w:r>
        <w:t xml:space="preserve"> </w:t>
      </w:r>
      <w:r>
        <w:t xml:space="preserve">d) Gson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w:r>
        <w:t xml:space="preserve">¿Qué biblioteca se usa comúnmente para consumir</w:t>
      </w:r>
      <w:r>
        <w:t xml:space="preserve"> </w:t>
      </w:r>
      <w:r>
        <w:rPr>
          <w:b/>
          <w:bCs/>
        </w:rPr>
        <w:t xml:space="preserve">APIs REST</w:t>
      </w:r>
      <w:r>
        <w:t xml:space="preserve"> </w:t>
      </w:r>
      <w:r>
        <w:t xml:space="preserve">en Android?</w:t>
      </w:r>
      <w:r>
        <w:t xml:space="preserve"> </w:t>
      </w:r>
      <w:r>
        <w:t xml:space="preserve">a) Room b) Glide</w:t>
      </w:r>
      <w:r>
        <w:t xml:space="preserve"> </w:t>
      </w:r>
      <w:r>
        <w:rPr>
          <w:b/>
          <w:bCs/>
        </w:rPr>
        <w:t xml:space="preserve">c) Retrofit</w:t>
      </w:r>
      <w:r>
        <w:t xml:space="preserve"> </w:t>
      </w:r>
      <w:r>
        <w:t xml:space="preserve">d) Dagger</w:t>
      </w:r>
    </w:p>
    <w:bookmarkEnd w:id="16"/>
    <w:bookmarkStart w:id="17" w:name="X55c31fa9a7ca555a5a6b3400f6199494ac8ca5a"/>
    <w:p>
      <w:pPr>
        <w:pStyle w:val="Heading3"/>
      </w:pPr>
      <w:r>
        <w:t xml:space="preserve">Módulo 5 — Funcionalidades avanzadas y despliegue</w:t>
      </w:r>
    </w:p>
    <w:p>
      <w:pPr>
        <w:pStyle w:val="FirstParagraph"/>
      </w:pPr>
      <w:r>
        <w:rPr>
          <w:b/>
          <w:bCs/>
        </w:rPr>
        <w:t xml:space="preserve">17.</w:t>
      </w:r>
      <w:r>
        <w:t xml:space="preserve"> </w:t>
      </w:r>
      <w:r>
        <w:t xml:space="preserve">¿Qué mecanismo de Kotlin ejecuta tareas asíncronas sin bloquear el hilo principal?</w:t>
      </w:r>
      <w:r>
        <w:t xml:space="preserve"> </w:t>
      </w:r>
      <w:r>
        <w:t xml:space="preserve">a)</w:t>
      </w:r>
      <w:r>
        <w:t xml:space="preserve"> </w:t>
      </w:r>
      <w:r>
        <w:rPr>
          <w:rStyle w:val="VerbatimChar"/>
        </w:rPr>
        <w:t xml:space="preserve">Thread</w:t>
      </w:r>
      <w:r>
        <w:t xml:space="preserve"> </w:t>
      </w:r>
      <w:r>
        <w:t xml:space="preserve">manual b) bucles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rPr>
          <w:b/>
          <w:bCs/>
        </w:rPr>
        <w:t xml:space="preserve">c) Corrutinas</w:t>
      </w:r>
      <w:r>
        <w:t xml:space="preserve"> </w:t>
      </w:r>
      <w:r>
        <w:t xml:space="preserve">d)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anidados</w:t>
      </w:r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¿Qué formato de paquete recomienda Google Play para la distribución?</w:t>
      </w:r>
      <w:r>
        <w:t xml:space="preserve"> </w:t>
      </w:r>
      <w:r>
        <w:t xml:space="preserve">a) APK clásico</w:t>
      </w:r>
      <w:r>
        <w:t xml:space="preserve"> </w:t>
      </w:r>
      <w:r>
        <w:rPr>
          <w:b/>
          <w:bCs/>
        </w:rPr>
        <w:t xml:space="preserve">b) Android App Bundle (AAB)</w:t>
      </w:r>
      <w:r>
        <w:t xml:space="preserve"> </w:t>
      </w:r>
      <w:r>
        <w:t xml:space="preserve">c) JAR d) ZIP</w:t>
      </w:r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w:r>
        <w:t xml:space="preserve">¿Qué herramienta ofusca y optimiza el código en compilaciones</w:t>
      </w:r>
      <w:r>
        <w:t xml:space="preserve"> </w:t>
      </w:r>
      <w:r>
        <w:rPr>
          <w:i/>
          <w:iCs/>
        </w:rPr>
        <w:t xml:space="preserve">release</w:t>
      </w:r>
      <w:r>
        <w:t xml:space="preserve">?</w:t>
      </w:r>
      <w:r>
        <w:t xml:space="preserve"> </w:t>
      </w:r>
      <w:r>
        <w:t xml:space="preserve">a) Logcat b) Lint</w:t>
      </w:r>
      <w:r>
        <w:t xml:space="preserve"> </w:t>
      </w:r>
      <w:r>
        <w:rPr>
          <w:b/>
          <w:bCs/>
        </w:rPr>
        <w:t xml:space="preserve">c) ProGuard / R8</w:t>
      </w:r>
      <w:r>
        <w:t xml:space="preserve"> </w:t>
      </w:r>
      <w:r>
        <w:t xml:space="preserve">d) Gradle</w:t>
      </w:r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w:r>
        <w:t xml:space="preserve">En Android 6+ (API 23+), ¿cómo se solicitan los permisos</w:t>
      </w:r>
      <w:r>
        <w:t xml:space="preserve"> </w:t>
      </w:r>
      <w:r>
        <w:rPr>
          <w:b/>
          <w:bCs/>
        </w:rPr>
        <w:t xml:space="preserve">peligrosos</w:t>
      </w:r>
      <w:r>
        <w:t xml:space="preserve">?</w:t>
      </w:r>
      <w:r>
        <w:t xml:space="preserve"> </w:t>
      </w:r>
      <w:r>
        <w:t xml:space="preserve">a) Solo en el Manifest b) No se solicitan</w:t>
      </w:r>
      <w:r>
        <w:t xml:space="preserve"> </w:t>
      </w:r>
      <w:r>
        <w:rPr>
          <w:b/>
          <w:bCs/>
        </w:rPr>
        <w:t xml:space="preserve">c) En tiempo de ejecución con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requestPermissions()</w:t>
      </w:r>
      <w:r>
        <w:t xml:space="preserve"> </w:t>
      </w:r>
      <w:r>
        <w:t xml:space="preserve">d) En</w:t>
      </w:r>
      <w:r>
        <w:t xml:space="preserve"> </w:t>
      </w:r>
      <w:r>
        <w:rPr>
          <w:rStyle w:val="VerbatimChar"/>
        </w:rPr>
        <w:t xml:space="preserve">strings.xml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X1df2e1b4b7cb10dcd4ead1c2690cfb6822b297c"/>
    <w:p>
      <w:pPr>
        <w:pStyle w:val="Heading2"/>
      </w:pPr>
      <w:r>
        <w:t xml:space="preserve">5. Clave de respuestas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Ítem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Resp.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X06340e7ddca67171b4c7b7d496fd13a518177e8"/>
    <w:p>
      <w:pPr>
        <w:pStyle w:val="Heading2"/>
      </w:pPr>
      <w:r>
        <w:t xml:space="preserve">6. Validez — Juicio de expertos</w:t>
      </w:r>
    </w:p>
    <w:p>
      <w:pPr>
        <w:pStyle w:val="FirstParagraph"/>
      </w:pPr>
      <w:r>
        <w:t xml:space="preserve">Antes de aplicar, ≥3 jueces expertos evalúan cada ítem en</w:t>
      </w:r>
      <w:r>
        <w:t xml:space="preserve"> </w:t>
      </w:r>
      <w:r>
        <w:rPr>
          <w:b/>
          <w:bCs/>
        </w:rPr>
        <w:t xml:space="preserve">claridad, coherencia, relevancia y suficiencia</w:t>
      </w:r>
      <w:r>
        <w:t xml:space="preserve">. Se cuantifica con</w:t>
      </w:r>
      <w:r>
        <w:t xml:space="preserve"> </w:t>
      </w:r>
      <w:r>
        <w:rPr>
          <w:b/>
          <w:bCs/>
        </w:rPr>
        <w:t xml:space="preserve">V de Aiken</w:t>
      </w:r>
      <w:r>
        <w:t xml:space="preserve"> </w:t>
      </w:r>
      <w:r>
        <w:t xml:space="preserve">(se aceptan ítems con</w:t>
      </w:r>
      <w:r>
        <w:t xml:space="preserve"> </w:t>
      </w:r>
      <w:r>
        <w:rPr>
          <w:b/>
          <w:bCs/>
        </w:rPr>
        <w:t xml:space="preserve">V ≥ 0.80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Ficha de validación (por juez):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Ítem</w:t>
            </w:r>
          </w:p>
        </w:tc>
        <w:tc>
          <w:tcPr/>
          <w:p>
            <w:pPr>
              <w:pStyle w:val="Compact"/>
            </w:pPr>
            <w:r>
              <w:t xml:space="preserve">Claridad (1-4)</w:t>
            </w:r>
          </w:p>
        </w:tc>
        <w:tc>
          <w:tcPr/>
          <w:p>
            <w:pPr>
              <w:pStyle w:val="Compact"/>
            </w:pPr>
            <w:r>
              <w:t xml:space="preserve">Coherencia (1-4)</w:t>
            </w:r>
          </w:p>
        </w:tc>
        <w:tc>
          <w:tcPr/>
          <w:p>
            <w:pPr>
              <w:pStyle w:val="Compact"/>
            </w:pPr>
            <w:r>
              <w:t xml:space="preserve">Relevancia (1-4)</w:t>
            </w:r>
          </w:p>
        </w:tc>
        <w:tc>
          <w:tcPr/>
          <w:p>
            <w:pPr>
              <w:pStyle w:val="Compact"/>
            </w:pPr>
            <w:r>
              <w:t xml:space="preserve">Observaciones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V de Aiken por ítem:</w:t>
      </w:r>
      <w:r>
        <w:t xml:space="preserve"> </w:t>
      </w:r>
      <w:r>
        <w:rPr>
          <w:rStyle w:val="VerbatimChar"/>
        </w:rPr>
        <w:t xml:space="preserve">V = (Σ(s)) / (n · (c − 1))</w:t>
      </w:r>
      <w:r>
        <w:t xml:space="preserve">, donde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= valor asignado − 1,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= nº jueces,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= nº de categorías (4).</w:t>
      </w:r>
    </w:p>
    <w:p>
      <w:pPr>
        <w:pStyle w:val="BlockText"/>
      </w:pPr>
      <w:r>
        <w:t xml:space="preserve">Los 2 jueces de la validación ISO/IEC 25010 (OE5) pueden actuar también como jueces de este instrumento, reutilizando el panel de expertos.</w:t>
      </w:r>
    </w:p>
    <w:p>
      <w:r>
        <w:pict>
          <v:rect style="width:0;height:1.5pt" o:hralign="center" o:hrstd="t" o:hr="t"/>
        </w:pict>
      </w:r>
    </w:p>
    <w:bookmarkEnd w:id="20"/>
    <w:bookmarkStart w:id="21" w:name="X52b2dd25514a0e9d9d5e58e19de403fbf8c8555"/>
    <w:p>
      <w:pPr>
        <w:pStyle w:val="Heading2"/>
      </w:pPr>
      <w:r>
        <w:t xml:space="preserve">7. Confiabilidad — KR-20</w:t>
      </w:r>
    </w:p>
    <w:p>
      <w:pPr>
        <w:pStyle w:val="FirstParagraph"/>
      </w:pPr>
      <w:r>
        <w:t xml:space="preserve">Aplicar a una</w:t>
      </w:r>
      <w:r>
        <w:t xml:space="preserve"> </w:t>
      </w:r>
      <w:r>
        <w:rPr>
          <w:b/>
          <w:bCs/>
        </w:rPr>
        <w:t xml:space="preserve">muestra piloto</w:t>
      </w:r>
      <w:r>
        <w:t xml:space="preserve"> </w:t>
      </w:r>
      <w:r>
        <w:t xml:space="preserve">(estudiantes equivalentes, no del grupo final). Coeficiente</w:t>
      </w:r>
      <w:r>
        <w:t xml:space="preserve"> </w:t>
      </w:r>
      <w:r>
        <w:rPr>
          <w:b/>
          <w:bCs/>
        </w:rPr>
        <w:t xml:space="preserve">Kuder-Richardson 20</w:t>
      </w:r>
      <w:r>
        <w:t xml:space="preserve"> </w:t>
      </w:r>
      <w:r>
        <w:t xml:space="preserve">(apropiado para ítems dicotómicos):</w:t>
      </w:r>
    </w:p>
    <w:p>
      <w:pPr>
        <w:pStyle w:val="BodyText"/>
      </w:pPr>
      <w:r>
        <w:rPr>
          <w:rStyle w:val="VerbatimChar"/>
        </w:rPr>
        <w:t xml:space="preserve">KR-20 = (k / (k−1)) · (1 − (Σ p·q) / Var_total)</w:t>
      </w:r>
    </w:p>
    <w:p>
      <w:pPr>
        <w:pStyle w:val="BodyText"/>
      </w:pPr>
      <w:r>
        <w:t xml:space="preserve">donde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= nº ítems (20),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= proporción de aciertos del ítem,</w:t>
      </w:r>
      <w:r>
        <w:t xml:space="preserve"> </w:t>
      </w:r>
      <w:r>
        <w:rPr>
          <w:rStyle w:val="VerbatimChar"/>
        </w:rPr>
        <w:t xml:space="preserve">q = 1−p</w:t>
      </w:r>
      <w:r>
        <w:t xml:space="preserve">,</w:t>
      </w:r>
      <w:r>
        <w:t xml:space="preserve"> </w:t>
      </w:r>
      <w:r>
        <w:rPr>
          <w:rStyle w:val="VerbatimChar"/>
        </w:rPr>
        <w:t xml:space="preserve">Var_total</w:t>
      </w:r>
      <w:r>
        <w:t xml:space="preserve"> </w:t>
      </w:r>
      <w:r>
        <w:t xml:space="preserve">= varianza de los puntajes totales.</w:t>
      </w:r>
      <w:r>
        <w:t xml:space="preserve"> </w:t>
      </w:r>
      <w:r>
        <w:rPr>
          <w:b/>
          <w:bCs/>
        </w:rPr>
        <w:t xml:space="preserve">Se acepta KR-20 ≥ 0.70.</w:t>
      </w:r>
    </w:p>
    <w:p>
      <w:r>
        <w:pict>
          <v:rect style="width:0;height:1.5pt" o:hralign="center" o:hrstd="t" o:hr="t"/>
        </w:pict>
      </w:r>
    </w:p>
    <w:bookmarkEnd w:id="21"/>
    <w:bookmarkStart w:id="22" w:name="X23047b381b6346147e802a2f68d793231a8555f"/>
    <w:p>
      <w:pPr>
        <w:pStyle w:val="Heading2"/>
      </w:pPr>
      <w:r>
        <w:t xml:space="preserve">8. Procedimiento de aplicación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Pretest</w:t>
      </w:r>
      <w:r>
        <w:t xml:space="preserve"> </w:t>
      </w:r>
      <w:r>
        <w:t xml:space="preserve">(semana 1, antes del tratamiento): aplicar el instrumento al grupo piloto. Registrar puntaje 0–20 por estudiante (código anónimo, no nombre).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Tratamiento:</w:t>
      </w:r>
      <w:r>
        <w:t xml:space="preserve"> </w:t>
      </w:r>
      <w:r>
        <w:t xml:space="preserve">los estudiantes usan el tutor IA durante el curso (módulos M1–M5).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Postest</w:t>
      </w:r>
      <w:r>
        <w:t xml:space="preserve"> </w:t>
      </w:r>
      <w:r>
        <w:t xml:space="preserve">(última semana): aplicar</w:t>
      </w:r>
      <w:r>
        <w:t xml:space="preserve"> </w:t>
      </w:r>
      <w:r>
        <w:rPr>
          <w:b/>
          <w:bCs/>
        </w:rPr>
        <w:t xml:space="preserve">el mismo instrumento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Análisis:</w:t>
      </w:r>
      <w:r>
        <w:t xml:space="preserve"> </w:t>
      </w:r>
      <w:r>
        <w:t xml:space="preserve">ver</w:t>
      </w:r>
      <w:r>
        <w:t xml:space="preserve"> </w:t>
      </w:r>
      <w:r>
        <w:rPr>
          <w:rStyle w:val="VerbatimChar"/>
        </w:rPr>
        <w:t xml:space="preserve">backend/notebooks/pretest_postest_analysis.ipynb</w:t>
      </w:r>
      <w:r>
        <w:t xml:space="preserve"> </w:t>
      </w:r>
      <w:r>
        <w:t xml:space="preserve">(t pareada + d de Cohen + Wilcoxon de respaldo).</w:t>
      </w:r>
    </w:p>
    <w:p>
      <w:pPr>
        <w:pStyle w:val="FirstParagraph"/>
      </w:pPr>
      <w:r>
        <w:rPr>
          <w:b/>
          <w:bCs/>
        </w:rPr>
        <w:t xml:space="preserve">Plantilla de captura de datos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docs/datos-pretest-postest.csv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codigo_estudiante,pretest,postest</w:t>
      </w:r>
      <w:r>
        <w:br/>
      </w:r>
      <w:r>
        <w:rPr>
          <w:rStyle w:val="VerbatimChar"/>
        </w:rPr>
        <w:t xml:space="preserve">E01,,</w:t>
      </w:r>
      <w:r>
        <w:br/>
      </w:r>
      <w:r>
        <w:rPr>
          <w:rStyle w:val="VerbatimChar"/>
        </w:rPr>
        <w:t xml:space="preserve">E02,,</w:t>
      </w:r>
      <w:r>
        <w:br/>
      </w:r>
      <w:r>
        <w:rPr>
          <w:rStyle w:val="VerbatimChar"/>
        </w:rPr>
        <w:t xml:space="preserve">...</w:t>
      </w:r>
    </w:p>
    <w:p>
      <w:r>
        <w:pict>
          <v:rect style="width:0;height:1.5pt" o:hralign="center" o:hrstd="t" o:hr="t"/>
        </w:pict>
      </w:r>
    </w:p>
    <w:bookmarkEnd w:id="22"/>
    <w:bookmarkStart w:id="23" w:name="X1ba5b5d1ca71b6f3f348fb2b57307b80eeeb8fa"/>
    <w:p>
      <w:pPr>
        <w:pStyle w:val="Heading2"/>
      </w:pPr>
      <w:r>
        <w:t xml:space="preserve">9. Plan de análisis estadístico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Paso</w:t>
            </w:r>
          </w:p>
        </w:tc>
        <w:tc>
          <w:tcPr/>
          <w:p>
            <w:pPr>
              <w:pStyle w:val="Compact"/>
            </w:pPr>
            <w:r>
              <w:t xml:space="preserve">Prueba</w:t>
            </w:r>
          </w:p>
        </w:tc>
        <w:tc>
          <w:tcPr/>
          <w:p>
            <w:pPr>
              <w:pStyle w:val="Compact"/>
            </w:pPr>
            <w:r>
              <w:t xml:space="preserve">Criterio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Normalidad de las diferencias</w:t>
            </w:r>
          </w:p>
        </w:tc>
        <w:tc>
          <w:tcPr/>
          <w:p>
            <w:pPr>
              <w:pStyle w:val="Compact"/>
            </w:pPr>
            <w:r>
              <w:t xml:space="preserve">Shapiro-Wilk</w:t>
            </w:r>
          </w:p>
        </w:tc>
        <w:tc>
          <w:tcPr/>
          <w:p>
            <w:pPr>
              <w:pStyle w:val="Compact"/>
            </w:pPr>
            <w:r>
              <w:t xml:space="preserve">p ≥ 0.05 → usar t pareada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Contraste principal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 de Student pareada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scipy.stats.ttest_rel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 &lt; 0.05</w:t>
            </w:r>
            <w:r>
              <w:t xml:space="preserve"> </w:t>
            </w:r>
            <w:r>
              <w:t xml:space="preserve">→ mejora significativa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Tamaño del efecto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 de Cohen</w:t>
            </w:r>
            <w:r>
              <w:t xml:space="preserve"> </w:t>
            </w:r>
            <w:r>
              <w:t xml:space="preserve">(media de diferencias / DE de diferencias)</w:t>
            </w:r>
          </w:p>
        </w:tc>
        <w:tc>
          <w:tcPr/>
          <w:p>
            <w:pPr>
              <w:pStyle w:val="Compact"/>
            </w:pPr>
            <w:r>
              <w:t xml:space="preserve">0.2 pequeño · 0.5 medio · 0.8 grande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Alternativa no paramétrica</w:t>
            </w:r>
          </w:p>
        </w:tc>
        <w:tc>
          <w:tcPr/>
          <w:p>
            <w:pPr>
              <w:pStyle w:val="Compact"/>
            </w:pPr>
            <w:r>
              <w:t xml:space="preserve">Wilcoxon de rangos con signo</w:t>
            </w:r>
          </w:p>
        </w:tc>
        <w:tc>
          <w:tcPr/>
          <w:p>
            <w:pPr>
              <w:pStyle w:val="Compact"/>
            </w:pPr>
            <w:r>
              <w:t xml:space="preserve">si no se cumple normalidad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Xc05ebcba7f6faba1221a17405973ffe6b423276"/>
    <w:p>
      <w:pPr>
        <w:pStyle w:val="Heading2"/>
      </w:pPr>
      <w:r>
        <w:t xml:space="preserve">10. Ética</w:t>
      </w:r>
    </w:p>
    <w:p>
      <w:pPr>
        <w:pStyle w:val="Compact"/>
        <w:numPr>
          <w:ilvl w:val="0"/>
          <w:numId w:val="1006"/>
        </w:numPr>
      </w:pPr>
      <w:r>
        <w:t xml:space="preserve">Consentimiento informado por escrito.</w:t>
      </w:r>
    </w:p>
    <w:p>
      <w:pPr>
        <w:pStyle w:val="Compact"/>
        <w:numPr>
          <w:ilvl w:val="0"/>
          <w:numId w:val="1006"/>
        </w:numPr>
      </w:pPr>
      <w:r>
        <w:t xml:space="preserve">Datos anonimizados (código, no nombre).</w:t>
      </w:r>
    </w:p>
    <w:p>
      <w:pPr>
        <w:pStyle w:val="Compact"/>
        <w:numPr>
          <w:ilvl w:val="0"/>
          <w:numId w:val="1006"/>
        </w:numPr>
      </w:pPr>
      <w:r>
        <w:t xml:space="preserve">Participación voluntaria; no afecta la nota oficial del curso.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Documento generado el 02-jun-2026 como insumo del OE4. La aplicación al piloto y el reporte de resultados corresponden al Sprint 8. Exportar a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.docx</w:t>
      </w:r>
      <w:r>
        <w:rPr>
          <w:i/>
          <w:iCs/>
        </w:rPr>
        <w:t xml:space="preserve"> </w:t>
      </w:r>
      <w:r>
        <w:rPr>
          <w:i/>
          <w:iCs/>
        </w:rPr>
        <w:t xml:space="preserve">antes de la sustentación.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2026-06-02T18:20:10Z</dcterms:created>
  <dcterms:modified xsi:type="dcterms:W3CDTF">2026-06-02T18:20:10Z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