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porte-de-rendimiento-académico-oe4"/>
    <w:p>
      <w:pPr>
        <w:pStyle w:val="Heading1"/>
      </w:pPr>
      <w:r>
        <w:t xml:space="preserve">Reporte de Rendimiento Académico — OE4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Tutor con IA generativa para Aplicaciones Móviles — IESTP</w:t>
      </w:r>
      <w:r>
        <w:t xml:space="preserve"> </w:t>
      </w:r>
      <w:r>
        <w:t xml:space="preserve">“República Federal de Alemania”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Roger Alessandro Zavaleta Marcelo ·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 (USAT)</w:t>
      </w:r>
      <w:r>
        <w:t xml:space="preserve"> </w:t>
      </w:r>
      <w:r>
        <w:rPr>
          <w:b/>
          <w:bCs/>
        </w:rPr>
        <w:t xml:space="preserve">Objetivo (OE4):</w:t>
      </w:r>
      <w:r>
        <w:t xml:space="preserve"> </w:t>
      </w:r>
      <w:r>
        <w:t xml:space="preserve">Contrastar la mejora del rendimiento académico mediante diseño pre-experimental con pretest y postest aplicado al grupo piloto.</w:t>
      </w:r>
    </w:p>
    <w:p>
      <w:pPr>
        <w:pStyle w:val="BlockText"/>
      </w:pPr>
      <w:r>
        <w:rPr>
          <w:b/>
          <w:bCs/>
        </w:rPr>
        <w:t xml:space="preserve">Estado al 04-jun-2026:</w:t>
      </w:r>
      <w:r>
        <w:t xml:space="preserve"> </w:t>
      </w:r>
      <w:r>
        <w:rPr>
          <w:b/>
          <w:bCs/>
        </w:rPr>
        <w:t xml:space="preserve">APLICADO.</w:t>
      </w:r>
      <w:r>
        <w:t xml:space="preserve"> </w:t>
      </w:r>
      <w:r>
        <w:t xml:space="preserve">Pretest y postest administrados al grupo (n = 49) tras un período de uso del tutor durante el curso. Resultados reales en la §6.</w:t>
      </w:r>
      <w:r>
        <w:t xml:space="preserve"> </w:t>
      </w:r>
      <w:r>
        <w:rPr>
          <w:b/>
          <w:bCs/>
        </w:rPr>
        <w:t xml:space="preserve">OE4 validado:</w:t>
      </w:r>
      <w:r>
        <w:t xml:space="preserve"> </w:t>
      </w:r>
      <w:r>
        <w:t xml:space="preserve">mejora estadísticamente significativa (t pareada p &lt; 0.001; Wilcoxon p &lt; 0.001; d de Cohen = 2.12). Reproducible con</w:t>
      </w:r>
      <w:r>
        <w:t xml:space="preserve"> </w:t>
      </w:r>
      <w:r>
        <w:rPr>
          <w:rStyle w:val="VerbatimChar"/>
        </w:rPr>
        <w:t xml:space="preserve">backend/scripts/analyze_pretest_postest.py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backend/notebooks/pretest_postest_analysis.ipynb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docs/datos-pretest-postest.csv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diseño"/>
    <w:p>
      <w:pPr>
        <w:pStyle w:val="Heading2"/>
      </w:pPr>
      <w:r>
        <w:t xml:space="preserve">1. Diseño</w:t>
      </w:r>
    </w:p>
    <w:p>
      <w:pPr>
        <w:pStyle w:val="FirstParagraph"/>
      </w:pPr>
      <w:r>
        <w:t xml:space="preserve">Pre-experimental,</w:t>
      </w:r>
      <w:r>
        <w:t xml:space="preserve"> </w:t>
      </w:r>
      <w:r>
        <w:rPr>
          <w:b/>
          <w:bCs/>
        </w:rPr>
        <w:t xml:space="preserve">un solo grupo con pretest y postest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O1 → X → O2</w:t>
      </w:r>
      <w:r>
        <w:t xml:space="preserve">), donde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uso del tutor con IA generativa durante el curso de Aplicaciones Móviles.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Hipótesis:</w:t>
      </w:r>
      <w:r>
        <w:t xml:space="preserve"> </w:t>
      </w:r>
      <w:r>
        <w:t xml:space="preserve">H1: μ(postest) &gt; μ(pretest); H0: μ(postest) = μ(pretest).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Contraste:</w:t>
      </w:r>
      <w:r>
        <w:t xml:space="preserve"> </w:t>
      </w:r>
      <w:r>
        <w:rPr>
          <w:b/>
          <w:bCs/>
        </w:rPr>
        <w:t xml:space="preserve">t de Student para muestras relacionadas (pareada), α = 0.05</w:t>
      </w:r>
      <w:r>
        <w:t xml:space="preserve"> </w:t>
      </w:r>
      <w:r>
        <w:t xml:space="preserve">+ tamaño del efecto</w:t>
      </w:r>
      <w:r>
        <w:t xml:space="preserve"> </w:t>
      </w:r>
      <w:r>
        <w:rPr>
          <w:b/>
          <w:bCs/>
        </w:rPr>
        <w:t xml:space="preserve">d de Cohen</w:t>
      </w:r>
      <w:r>
        <w:t xml:space="preserve">; alternativa no paramétrica</w:t>
      </w:r>
      <w:r>
        <w:t xml:space="preserve"> </w:t>
      </w:r>
      <w:r>
        <w:rPr>
          <w:b/>
          <w:bCs/>
        </w:rPr>
        <w:t xml:space="preserve">Wilcoxon</w:t>
      </w:r>
      <w:r>
        <w:t xml:space="preserve"> </w:t>
      </w:r>
      <w:r>
        <w:t xml:space="preserve">si no se cumple normalidad.</w:t>
      </w:r>
    </w:p>
    <w:bookmarkEnd w:id="9"/>
    <w:bookmarkStart w:id="10" w:name="instrumento"/>
    <w:p>
      <w:pPr>
        <w:pStyle w:val="Heading2"/>
      </w:pPr>
      <w:r>
        <w:t xml:space="preserve">2. Instrumento</w:t>
      </w:r>
    </w:p>
    <w:p>
      <w:pPr>
        <w:pStyle w:val="FirstParagraph"/>
      </w:pPr>
      <w:r>
        <w:t xml:space="preserve">Prueba de conocimientos de 20 ítems (4 por módulo M1–M5), opción múltiple, calificación dicotómica, escala 0–20. Detalle completo, clave, validez (juicio de expertos / V de Aiken) y confiabilidad (KR-20) en</w:t>
      </w:r>
      <w:r>
        <w:t xml:space="preserve"> </w:t>
      </w:r>
      <w:r>
        <w:rPr>
          <w:rStyle w:val="VerbatimChar"/>
          <w:b/>
          <w:bCs/>
        </w:rPr>
        <w:t xml:space="preserve">docs/instrumento-pretest-postest-OE4.md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Validez:</w:t>
      </w:r>
      <w:r>
        <w:t xml:space="preserve"> </w:t>
      </w:r>
      <w:r>
        <w:t xml:space="preserve">≥3 jueces expertos, se aceptan ítems con</w:t>
      </w:r>
      <w:r>
        <w:t xml:space="preserve"> </w:t>
      </w:r>
      <w:r>
        <w:rPr>
          <w:b/>
          <w:bCs/>
        </w:rPr>
        <w:t xml:space="preserve">V de Aiken ≥ 0.80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Confiabilidad:</w:t>
      </w:r>
      <w:r>
        <w:t xml:space="preserve"> </w:t>
      </w:r>
      <w:r>
        <w:rPr>
          <w:b/>
          <w:bCs/>
        </w:rPr>
        <w:t xml:space="preserve">KR-20 ≥ 0.70</w:t>
      </w:r>
      <w:r>
        <w:t xml:space="preserve"> </w:t>
      </w:r>
      <w:r>
        <w:t xml:space="preserve">sobre muestra piloto.</w:t>
      </w:r>
    </w:p>
    <w:bookmarkEnd w:id="10"/>
    <w:bookmarkStart w:id="11" w:name="muestra"/>
    <w:p>
      <w:pPr>
        <w:pStyle w:val="Heading2"/>
      </w:pPr>
      <w:r>
        <w:t xml:space="preserve">3. Muestra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Población:</w:t>
      </w:r>
      <w:r>
        <w:t xml:space="preserve"> </w:t>
      </w:r>
      <w:r>
        <w:t xml:space="preserve">estudiantes matriculados en la unidad didáctica</w:t>
      </w:r>
      <w:r>
        <w:t xml:space="preserve"> </w:t>
      </w:r>
      <w:r>
        <w:rPr>
          <w:i/>
          <w:iCs/>
        </w:rPr>
        <w:t xml:space="preserve">Aplicaciones Móviles</w:t>
      </w:r>
      <w:r>
        <w:t xml:space="preserve">, periodo 2026-I, IESTP RFA (secciones mañana + noche;</w:t>
      </w:r>
      <w:r>
        <w:t xml:space="preserve"> </w:t>
      </w:r>
      <w:r>
        <w:rPr>
          <w:b/>
          <w:bCs/>
        </w:rPr>
        <w:t xml:space="preserve">49 matriculados</w:t>
      </w:r>
      <w:r>
        <w:t xml:space="preserve"> </w:t>
      </w:r>
      <w:r>
        <w:t xml:space="preserve">registrados y con cuenta creada en el sistema).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Muestra evaluada:</w:t>
      </w:r>
      <w:r>
        <w:t xml:space="preserve"> </w:t>
      </w:r>
      <w:r>
        <w:rPr>
          <w:b/>
          <w:bCs/>
        </w:rPr>
        <w:t xml:space="preserve">49 estudiantes</w:t>
      </w:r>
      <w:r>
        <w:t xml:space="preserve"> </w:t>
      </w:r>
      <w:r>
        <w:t xml:space="preserve">con pretest y postest completos (censo de la cohorte, no submuestra). Supera el mínimo planificado de 10–15 → mayor potencia estadística. Códigos</w:t>
      </w:r>
      <w:r>
        <w:t xml:space="preserve"> </w:t>
      </w:r>
      <w:r>
        <w:rPr>
          <w:rStyle w:val="VerbatimChar"/>
        </w:rPr>
        <w:t xml:space="preserve">M01–M24</w:t>
      </w:r>
      <w:r>
        <w:t xml:space="preserve"> </w:t>
      </w:r>
      <w:r>
        <w:t xml:space="preserve">(24, mañana) y</w:t>
      </w:r>
      <w:r>
        <w:t xml:space="preserve"> </w:t>
      </w:r>
      <w:r>
        <w:rPr>
          <w:rStyle w:val="VerbatimChar"/>
        </w:rPr>
        <w:t xml:space="preserve">N01–N25</w:t>
      </w:r>
      <w:r>
        <w:t xml:space="preserve"> </w:t>
      </w:r>
      <w:r>
        <w:t xml:space="preserve">(25, noche).</w:t>
      </w:r>
    </w:p>
    <w:bookmarkEnd w:id="11"/>
    <w:bookmarkStart w:id="12" w:name="procedimiento"/>
    <w:p>
      <w:pPr>
        <w:pStyle w:val="Heading2"/>
      </w:pPr>
      <w:r>
        <w:t xml:space="preserve">4. Procedimiento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Pretest</w:t>
      </w:r>
      <w:r>
        <w:t xml:space="preserve"> </w:t>
      </w:r>
      <w:r>
        <w:t xml:space="preserve">(semana 1, antes del tratamiento).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Tratamiento:</w:t>
      </w:r>
      <w:r>
        <w:t xml:space="preserve"> </w:t>
      </w:r>
      <w:r>
        <w:t xml:space="preserve">uso del tutor IA durante el curso (M1–M5).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Postest</w:t>
      </w:r>
      <w:r>
        <w:t xml:space="preserve"> </w:t>
      </w:r>
      <w:r>
        <w:t xml:space="preserve">(última semana, mismo instrumento).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Análisis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backend/notebooks/pretest_postest_analysis.ipynb</w:t>
      </w:r>
      <w:r>
        <w:t xml:space="preserve">.</w:t>
      </w:r>
    </w:p>
    <w:bookmarkEnd w:id="12"/>
    <w:bookmarkStart w:id="13" w:name="plan-de-análisis-estadístico"/>
    <w:p>
      <w:pPr>
        <w:pStyle w:val="Heading2"/>
      </w:pPr>
      <w:r>
        <w:t xml:space="preserve">5. Plan de análisis estadístico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Normalidad de las diferencias</w:t>
            </w:r>
          </w:p>
        </w:tc>
        <w:tc>
          <w:tcPr/>
          <w:p>
            <w:pPr>
              <w:pStyle w:val="Compact"/>
            </w:pPr>
            <w:r>
              <w:t xml:space="preserve">Shapiro-Wilk</w:t>
            </w:r>
          </w:p>
        </w:tc>
        <w:tc>
          <w:tcPr/>
          <w:p>
            <w:pPr>
              <w:pStyle w:val="Compact"/>
            </w:pPr>
            <w:r>
              <w:t xml:space="preserve">p ≥ 0.05 → t pareada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principal</w:t>
            </w:r>
          </w:p>
        </w:tc>
        <w:tc>
          <w:tcPr/>
          <w:p>
            <w:pPr>
              <w:pStyle w:val="Compact"/>
            </w:pPr>
            <w:r>
              <w:t xml:space="preserve">t de Student pareada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&lt;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del efecto</w:t>
            </w:r>
          </w:p>
        </w:tc>
        <w:tc>
          <w:tcPr/>
          <w:p>
            <w:pPr>
              <w:pStyle w:val="Compact"/>
            </w:pPr>
            <w:r>
              <w:t xml:space="preserve">d de Cohen</w:t>
            </w:r>
          </w:p>
        </w:tc>
        <w:tc>
          <w:tcPr/>
          <w:p>
            <w:pPr>
              <w:pStyle w:val="Compact"/>
            </w:pPr>
            <w:r>
              <w:t xml:space="preserve">0.2 / 0.5 / 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Wilcoxon de rangos con signo</w:t>
            </w:r>
          </w:p>
        </w:tc>
        <w:tc>
          <w:tcPr/>
          <w:p>
            <w:pPr>
              <w:pStyle w:val="Compact"/>
            </w:pPr>
            <w:r>
              <w:t xml:space="preserve">si no normal</w:t>
            </w:r>
          </w:p>
        </w:tc>
      </w:tr>
    </w:tbl>
    <w:bookmarkEnd w:id="13"/>
    <w:bookmarkStart w:id="19" w:name="resultados-n-49"/>
    <w:p>
      <w:pPr>
        <w:pStyle w:val="Heading2"/>
      </w:pPr>
      <w:r>
        <w:t xml:space="preserve">6. Resultados (n = 49)</w:t>
      </w:r>
    </w:p>
    <w:bookmarkStart w:id="14" w:name="estadística-descriptiva-escala-020"/>
    <w:p>
      <w:pPr>
        <w:pStyle w:val="Heading3"/>
      </w:pPr>
      <w:r>
        <w:t xml:space="preserve">6.1 Estadística descriptiva (escala 0–20)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Pretest</w:t>
            </w:r>
          </w:p>
        </w:tc>
        <w:tc>
          <w:tcPr/>
          <w:p>
            <w:pPr>
              <w:pStyle w:val="Compact"/>
            </w:pPr>
            <w:r>
              <w:t xml:space="preserve">Postest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10.45</w:t>
            </w:r>
          </w:p>
        </w:tc>
        <w:tc>
          <w:tcPr/>
          <w:p>
            <w:pPr>
              <w:pStyle w:val="Compact"/>
            </w:pPr>
            <w:r>
              <w:t xml:space="preserve">14.43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2.76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Ganancia media:</w:t>
      </w:r>
      <w:r>
        <w:t xml:space="preserve"> </w:t>
      </w:r>
      <w:r>
        <w:rPr>
          <w:b/>
          <w:bCs/>
        </w:rPr>
        <w:t xml:space="preserve">+3.98 puntos</w:t>
      </w:r>
      <w:r>
        <w:t xml:space="preserve"> </w:t>
      </w:r>
      <w:r>
        <w:t xml:space="preserve">(DE = 1.88);</w:t>
      </w:r>
      <w:r>
        <w:t xml:space="preserve"> </w:t>
      </w:r>
      <w:r>
        <w:rPr>
          <w:b/>
          <w:bCs/>
        </w:rPr>
        <w:t xml:space="preserve">IC 95% [3.44, 4.52]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Distribución de cambios:</w:t>
      </w:r>
      <w:r>
        <w:t xml:space="preserve"> </w:t>
      </w:r>
      <w:r>
        <w:rPr>
          <w:b/>
          <w:bCs/>
        </w:rPr>
        <w:t xml:space="preserve">46/49 estudiantes mejoraron (94 %)</w:t>
      </w:r>
      <w:r>
        <w:t xml:space="preserve">, 2 sin cambio, 1 retrocedió.</w:t>
      </w:r>
    </w:p>
    <w:bookmarkEnd w:id="14"/>
    <w:bookmarkStart w:id="15" w:name="verificación-de-supuestos"/>
    <w:p>
      <w:pPr>
        <w:pStyle w:val="Heading3"/>
      </w:pPr>
      <w:r>
        <w:t xml:space="preserve">6.2 Verificación de supuestos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120"/>
        <w:gridCol w:w="7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Estadístico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Shapiro-Wilk (diferencias)</w:t>
            </w:r>
          </w:p>
        </w:tc>
        <w:tc>
          <w:tcPr/>
          <w:p>
            <w:pPr>
              <w:pStyle w:val="Compact"/>
            </w:pPr>
            <w:r>
              <w:t xml:space="preserve">W = 0.947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Las diferencias se desvían levemente de la normalidad.</w:t>
            </w:r>
          </w:p>
        </w:tc>
      </w:tr>
    </w:tbl>
    <w:p>
      <w:pPr>
        <w:pStyle w:val="BodyText"/>
      </w:pPr>
      <w:r>
        <w:t xml:space="preserve">La desviación es leve (W = 0.947, cercano a 1). Con n = 49 la prueba t para muestras relacionadas es</w:t>
      </w:r>
      <w:r>
        <w:t xml:space="preserve"> </w:t>
      </w:r>
      <w:r>
        <w:rPr>
          <w:b/>
          <w:bCs/>
        </w:rPr>
        <w:t xml:space="preserve">robusta</w:t>
      </w:r>
      <w:r>
        <w:t xml:space="preserve"> </w:t>
      </w:r>
      <w:r>
        <w:t xml:space="preserve">ante desviaciones moderadas de la normalidad por el teorema del límite central; aun así, se reporta la prueba no paramétrica de</w:t>
      </w:r>
      <w:r>
        <w:t xml:space="preserve"> </w:t>
      </w:r>
      <w:r>
        <w:rPr>
          <w:b/>
          <w:bCs/>
        </w:rPr>
        <w:t xml:space="preserve">Wilcoxon</w:t>
      </w:r>
      <w:r>
        <w:t xml:space="preserve"> </w:t>
      </w:r>
      <w:r>
        <w:t xml:space="preserve">como respaldo, la cual</w:t>
      </w:r>
      <w:r>
        <w:t xml:space="preserve"> </w:t>
      </w:r>
      <w:r>
        <w:rPr>
          <w:b/>
          <w:bCs/>
        </w:rPr>
        <w:t xml:space="preserve">no asume normalidad</w:t>
      </w:r>
      <w:r>
        <w:t xml:space="preserve"> </w:t>
      </w:r>
      <w:r>
        <w:t xml:space="preserve">y confirma el mismo resultado (§6.3).</w:t>
      </w:r>
    </w:p>
    <w:bookmarkEnd w:id="15"/>
    <w:bookmarkStart w:id="16" w:name="contraste-de-hipótesis"/>
    <w:p>
      <w:pPr>
        <w:pStyle w:val="Heading3"/>
      </w:pPr>
      <w:r>
        <w:t xml:space="preserve">6.3 Contraste de hipótesis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2018"/>
        <w:gridCol w:w="621"/>
        <w:gridCol w:w="248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Estadístico</w:t>
            </w:r>
          </w:p>
        </w:tc>
        <w:tc>
          <w:tcPr/>
          <w:p>
            <w:pPr>
              <w:pStyle w:val="Compact"/>
            </w:pPr>
            <w:r>
              <w:t xml:space="preserve">gl</w:t>
            </w:r>
          </w:p>
        </w:tc>
        <w:tc>
          <w:tcPr/>
          <w:p>
            <w:pPr>
              <w:pStyle w:val="Compact"/>
            </w:pPr>
            <w:r>
              <w:t xml:space="preserve">p (unilateral)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 de Student pareada</w:t>
            </w:r>
            <w:r>
              <w:t xml:space="preserve"> </w:t>
            </w:r>
            <w:r>
              <w:t xml:space="preserve">(oficial OE4)</w:t>
            </w:r>
          </w:p>
        </w:tc>
        <w:tc>
          <w:tcPr/>
          <w:p>
            <w:pPr>
              <w:pStyle w:val="Compact"/>
            </w:pPr>
            <w:r>
              <w:t xml:space="preserve">t = 14.85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 × 10⁻²⁰ (&lt; 0.001)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 rechaza 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Wilcoxon rangos con signo (respaldo)</w:t>
            </w:r>
          </w:p>
        </w:tc>
        <w:tc>
          <w:tcPr/>
          <w:p>
            <w:pPr>
              <w:pStyle w:val="Compact"/>
            </w:pPr>
            <w:r>
              <w:t xml:space="preserve">W = 1126.5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 × 10⁻⁹ (&lt; 0.001)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 rechaza H0</w:t>
            </w:r>
          </w:p>
        </w:tc>
      </w:tr>
    </w:tbl>
    <w:p>
      <w:pPr>
        <w:pStyle w:val="BodyText"/>
      </w:pPr>
      <w:r>
        <w:t xml:space="preserve">Ambas pruebas coinciden: el postest es significativamente mayor que el pretest (</w:t>
      </w:r>
      <w:r>
        <w:rPr>
          <w:b/>
          <w:bCs/>
        </w:rPr>
        <w:t xml:space="preserve">p ≪ 0.05</w:t>
      </w:r>
      <w:r>
        <w:t xml:space="preserve">).</w:t>
      </w:r>
    </w:p>
    <w:bookmarkEnd w:id="16"/>
    <w:bookmarkStart w:id="17" w:name="tamaño-del-efecto"/>
    <w:p>
      <w:pPr>
        <w:pStyle w:val="Heading3"/>
      </w:pPr>
      <w:r>
        <w:t xml:space="preserve">6.4 Tamaño del efecto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788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de Cohen (pareado)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  <w:r>
              <w:t xml:space="preserve"> </w:t>
            </w:r>
            <w:r>
              <w:rPr>
                <w:b/>
                <w:bCs/>
              </w:rPr>
              <w:t xml:space="preserve">grande</w:t>
            </w:r>
            <w:r>
              <w:t xml:space="preserve"> </w:t>
            </w:r>
            <w:r>
              <w:t xml:space="preserve">(referencia Cohen: ≥0.8).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95% de la ganancia media</w:t>
            </w:r>
          </w:p>
        </w:tc>
        <w:tc>
          <w:tcPr/>
          <w:p>
            <w:pPr>
              <w:pStyle w:val="Compact"/>
            </w:pPr>
            <w:r>
              <w:t xml:space="preserve">[3.44, 4.52] puntos</w:t>
            </w:r>
          </w:p>
        </w:tc>
        <w:tc>
          <w:tcPr/>
          <w:p>
            <w:pPr>
              <w:pStyle w:val="Compact"/>
            </w:pPr>
            <w:r>
              <w:t xml:space="preserve">No incluye 0 → mejora consistente.</w:t>
            </w:r>
          </w:p>
        </w:tc>
      </w:tr>
    </w:tbl>
    <w:bookmarkEnd w:id="17"/>
    <w:bookmarkStart w:id="18" w:name="conclusión-oe4"/>
    <w:p>
      <w:pPr>
        <w:pStyle w:val="Heading3"/>
      </w:pPr>
      <w:r>
        <w:t xml:space="preserve">6.5 Conclusión OE4</w:t>
      </w:r>
    </w:p>
    <w:p>
      <w:pPr>
        <w:pStyle w:val="FirstParagraph"/>
      </w:pPr>
      <w:r>
        <w:t xml:space="preserve">Se evidencia</w:t>
      </w:r>
      <w:r>
        <w:t xml:space="preserve"> </w:t>
      </w:r>
      <w:r>
        <w:rPr>
          <w:b/>
          <w:bCs/>
        </w:rPr>
        <w:t xml:space="preserve">estadísticamente</w:t>
      </w:r>
      <w:r>
        <w:t xml:space="preserve"> </w:t>
      </w:r>
      <w:r>
        <w:t xml:space="preserve">la mejora del rendimiento académico tras el uso del tutor con IA generativa: la media subió de</w:t>
      </w:r>
      <w:r>
        <w:t xml:space="preserve"> </w:t>
      </w:r>
      <w:r>
        <w:rPr>
          <w:b/>
          <w:bCs/>
        </w:rPr>
        <w:t xml:space="preserve">10.45 a 14.43</w:t>
      </w:r>
      <w:r>
        <w:t xml:space="preserve"> </w:t>
      </w:r>
      <w:r>
        <w:t xml:space="preserve">(+3.98 ptos), con</w:t>
      </w:r>
      <w:r>
        <w:t xml:space="preserve"> </w:t>
      </w:r>
      <w:r>
        <w:rPr>
          <w:b/>
          <w:bCs/>
        </w:rPr>
        <w:t xml:space="preserve">t pareada t(48)=14.85, p&lt;0.001</w:t>
      </w:r>
      <w:r>
        <w:t xml:space="preserve"> </w:t>
      </w:r>
      <w:r>
        <w:t xml:space="preserve">y efecto</w:t>
      </w:r>
      <w:r>
        <w:t xml:space="preserve"> </w:t>
      </w:r>
      <w:r>
        <w:rPr>
          <w:b/>
          <w:bCs/>
        </w:rPr>
        <w:t xml:space="preserve">grande (d=2.12)</w:t>
      </w:r>
      <w:r>
        <w:t xml:space="preserve">, confirmado por Wilcoxon (p&lt;0.001).</w:t>
      </w:r>
      <w:r>
        <w:t xml:space="preserve"> </w:t>
      </w:r>
      <w:r>
        <w:rPr>
          <w:b/>
          <w:bCs/>
        </w:rPr>
        <w:t xml:space="preserve">OE4 validado.</w:t>
      </w:r>
    </w:p>
    <w:bookmarkEnd w:id="18"/>
    <w:bookmarkEnd w:id="19"/>
    <w:bookmarkStart w:id="20" w:name="limitaciones-validez-interna"/>
    <w:p>
      <w:pPr>
        <w:pStyle w:val="Heading2"/>
      </w:pPr>
      <w:r>
        <w:t xml:space="preserve">7. Limitaciones (validez interna)</w:t>
      </w:r>
    </w:p>
    <w:p>
      <w:pPr>
        <w:pStyle w:val="FirstParagraph"/>
      </w:pPr>
      <w:r>
        <w:t xml:space="preserve">El diseño es</w:t>
      </w:r>
      <w:r>
        <w:t xml:space="preserve"> </w:t>
      </w:r>
      <w:r>
        <w:rPr>
          <w:b/>
          <w:bCs/>
        </w:rPr>
        <w:t xml:space="preserve">pre-experimental de un solo grupo</w:t>
      </w:r>
      <w:r>
        <w:t xml:space="preserve"> </w:t>
      </w:r>
      <w:r>
        <w:t xml:space="preserve">(</w:t>
      </w:r>
      <w:r>
        <w:rPr>
          <w:rStyle w:val="VerbatimChar"/>
        </w:rPr>
        <w:t xml:space="preserve">O1 → X → O2</w:t>
      </w:r>
      <w:r>
        <w:t xml:space="preserve">),</w:t>
      </w:r>
      <w:r>
        <w:t xml:space="preserve"> </w:t>
      </w:r>
      <w:r>
        <w:rPr>
          <w:b/>
          <w:bCs/>
        </w:rPr>
        <w:t xml:space="preserve">sin grupo de control</w:t>
      </w:r>
      <w:r>
        <w:t xml:space="preserve">. En consecuencia:</w:t>
      </w:r>
    </w:p>
    <w:p>
      <w:pPr>
        <w:pStyle w:val="Compact"/>
        <w:numPr>
          <w:ilvl w:val="0"/>
          <w:numId w:val="1006"/>
        </w:numPr>
      </w:pPr>
      <w:r>
        <w:t xml:space="preserve">La mejora observada</w:t>
      </w:r>
      <w:r>
        <w:t xml:space="preserve"> </w:t>
      </w:r>
      <w:r>
        <w:rPr>
          <w:b/>
          <w:bCs/>
        </w:rPr>
        <w:t xml:space="preserve">no se atribuye exclusivamente</w:t>
      </w:r>
      <w:r>
        <w:t xml:space="preserve"> </w:t>
      </w:r>
      <w:r>
        <w:t xml:space="preserve">al tutor IA. Amenazas a la validez interna no descartables:</w:t>
      </w:r>
      <w:r>
        <w:t xml:space="preserve"> </w:t>
      </w:r>
      <w:r>
        <w:rPr>
          <w:b/>
          <w:bCs/>
        </w:rPr>
        <w:t xml:space="preserve">maduración</w:t>
      </w:r>
      <w:r>
        <w:t xml:space="preserve"> </w:t>
      </w:r>
      <w:r>
        <w:t xml:space="preserve">(aprendizaje propio del curso),</w:t>
      </w:r>
      <w:r>
        <w:t xml:space="preserve"> </w:t>
      </w:r>
      <w:r>
        <w:rPr>
          <w:b/>
          <w:bCs/>
        </w:rPr>
        <w:t xml:space="preserve">historia</w:t>
      </w:r>
      <w:r>
        <w:t xml:space="preserve"> </w:t>
      </w:r>
      <w:r>
        <w:t xml:space="preserve">(otros recursos/clases),</w:t>
      </w:r>
      <w:r>
        <w:t xml:space="preserve"> </w:t>
      </w:r>
      <w:r>
        <w:rPr>
          <w:b/>
          <w:bCs/>
        </w:rPr>
        <w:t xml:space="preserve">efecto de testing</w:t>
      </w:r>
      <w:r>
        <w:t xml:space="preserve"> </w:t>
      </w:r>
      <w:r>
        <w:t xml:space="preserve">(repetir el mismo instrumento) y</w:t>
      </w:r>
      <w:r>
        <w:t xml:space="preserve"> </w:t>
      </w:r>
      <w:r>
        <w:rPr>
          <w:b/>
          <w:bCs/>
        </w:rPr>
        <w:t xml:space="preserve">regresión a la media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 que el diseño permite afirmar con rigor:</w:t>
      </w:r>
      <w:r>
        <w:t xml:space="preserve"> </w:t>
      </w:r>
      <w:r>
        <w:rPr>
          <w:b/>
          <w:bCs/>
        </w:rPr>
        <w:t xml:space="preserve">hubo una mejora significativa y de gran magnitud</w:t>
      </w:r>
      <w:r>
        <w:t xml:space="preserve"> </w:t>
      </w:r>
      <w:r>
        <w:t xml:space="preserve">en el periodo de uso del sistema. Establecer</w:t>
      </w:r>
      <w:r>
        <w:t xml:space="preserve"> </w:t>
      </w:r>
      <w:r>
        <w:rPr>
          <w:b/>
          <w:bCs/>
        </w:rPr>
        <w:t xml:space="preserve">causalidad exclusiva</w:t>
      </w:r>
      <w:r>
        <w:t xml:space="preserve"> </w:t>
      </w:r>
      <w:r>
        <w:t xml:space="preserve">requeriría un diseño cuasi-experimental o experimental con grupo de control, propuesto como</w:t>
      </w:r>
      <w:r>
        <w:t xml:space="preserve"> </w:t>
      </w:r>
      <w:r>
        <w:rPr>
          <w:b/>
          <w:bCs/>
        </w:rPr>
        <w:t xml:space="preserve">trabajo futuro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efecto observado (d = 2.12) es elevado para un estudio educativo; es coherente con el diseño de un solo grupo, que tiende a sobreestimar el tamaño del efecto respecto a diseños con control.</w:t>
      </w:r>
    </w:p>
    <w:bookmarkEnd w:id="20"/>
    <w:bookmarkStart w:id="21" w:name="estado-y-trazabilidad"/>
    <w:p>
      <w:pPr>
        <w:pStyle w:val="Heading2"/>
      </w:pPr>
      <w:r>
        <w:t xml:space="preserve">8. Estado y trazabilidad</w:t>
      </w:r>
    </w:p>
    <w:p>
      <w:pPr>
        <w:pStyle w:val="Compact"/>
        <w:numPr>
          <w:ilvl w:val="0"/>
          <w:numId w:val="1007"/>
        </w:numPr>
      </w:pPr>
      <w:r>
        <w:t xml:space="preserve">✅ Diseño metodológico definido (pre-experimental, t pareada p&lt;0.05).</w:t>
      </w:r>
    </w:p>
    <w:p>
      <w:pPr>
        <w:pStyle w:val="Compact"/>
        <w:numPr>
          <w:ilvl w:val="0"/>
          <w:numId w:val="1007"/>
        </w:numPr>
      </w:pPr>
      <w:r>
        <w:t xml:space="preserve">✅ Instrumento construido (20 ítems M1–M5) —</w:t>
      </w:r>
      <w:r>
        <w:t xml:space="preserve"> </w:t>
      </w:r>
      <w:r>
        <w:rPr>
          <w:rStyle w:val="VerbatimChar"/>
        </w:rPr>
        <w:t xml:space="preserve">docs/instrumento-pretest-postest-OE4.md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✅ Pipeline de análisis validado —</w:t>
      </w:r>
      <w:r>
        <w:t xml:space="preserve"> </w:t>
      </w:r>
      <w:r>
        <w:rPr>
          <w:rStyle w:val="VerbatimChar"/>
        </w:rPr>
        <w:t xml:space="preserve">backend/notebooks/pretest_postest_analysis.ipynb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backend/scripts/analyze_pretest_postest.py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✅ Datos reales capturados —</w:t>
      </w:r>
      <w:r>
        <w:t xml:space="preserve"> </w:t>
      </w:r>
      <w:r>
        <w:rPr>
          <w:rStyle w:val="VerbatimChar"/>
        </w:rPr>
        <w:t xml:space="preserve">docs/datos-pretest-postest.csv</w:t>
      </w:r>
      <w:r>
        <w:t xml:space="preserve"> </w:t>
      </w:r>
      <w:r>
        <w:t xml:space="preserve">(n = 49).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Aplicación pretest/postest ejecutada (04-jun-2026)</w:t>
      </w:r>
      <w:r>
        <w:t xml:space="preserve"> </w:t>
      </w:r>
      <w:r>
        <w:t xml:space="preserve">y resultados computados — §6.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OE4 validado:</w:t>
      </w:r>
      <w:r>
        <w:t xml:space="preserve"> </w:t>
      </w:r>
      <w:r>
        <w:t xml:space="preserve">p &lt; 0.001 (t pareada y Wilcoxon), d = 2.12.</w:t>
      </w:r>
    </w:p>
    <w:p>
      <w:pPr>
        <w:pStyle w:val="Compact"/>
        <w:numPr>
          <w:ilvl w:val="0"/>
          <w:numId w:val="1007"/>
        </w:numPr>
      </w:pPr>
      <w:r>
        <w:t xml:space="preserve">⏳ Validación del instrumento por jueces (V de Aiken / KR-20) — documentar dictamen en</w:t>
      </w:r>
      <w:r>
        <w:t xml:space="preserve"> </w:t>
      </w:r>
      <w:r>
        <w:rPr>
          <w:rStyle w:val="VerbatimChar"/>
        </w:rPr>
        <w:t xml:space="preserve">docs/instrumento-pretest-postest-OE4.md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Resultados computados sobre datos reales de n = 49 estudiantes (</w:t>
      </w:r>
      <w:r>
        <w:rPr>
          <w:rStyle w:val="VerbatimChar"/>
          <w:i/>
          <w:iCs/>
        </w:rPr>
        <w:t xml:space="preserve">docs/datos-pretest-postest.csv</w:t>
      </w:r>
      <w:r>
        <w:rPr>
          <w:i/>
          <w:iCs/>
        </w:rPr>
        <w:t xml:space="preserve">). Reproducible: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cd backend &amp;&amp; python scripts/analyze_pretest_postest.py</w:t>
      </w:r>
      <w:r>
        <w:rPr>
          <w:i/>
          <w:iCs/>
        </w:rP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2026-06-04T14:38:06Z</dcterms:created>
  <dcterms:modified xsi:type="dcterms:W3CDTF">2026-06-04T14:38:06Z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