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32b59159850b4e8b1d51453d7fbcedce7019650"/>
    <w:p>
      <w:pPr>
        <w:pStyle w:val="Heading1"/>
      </w:pPr>
      <w:r>
        <w:t xml:space="preserve">Reporte de Validación Final — Consolidación de los 5 OE</w:t>
      </w:r>
    </w:p>
    <w:p>
      <w:pPr>
        <w:pStyle w:val="FirstParagraph"/>
      </w:pPr>
      <w:r>
        <w:rPr>
          <w:b/>
          <w:bCs/>
        </w:rPr>
        <w:t xml:space="preserve">Tesis:</w:t>
      </w:r>
      <w:r>
        <w:t xml:space="preserve"> </w:t>
      </w:r>
      <w:r>
        <w:t xml:space="preserve">Tutor con IA generativa para Aplicaciones Móviles — IESTP</w:t>
      </w:r>
      <w:r>
        <w:t xml:space="preserve"> </w:t>
      </w:r>
      <w:r>
        <w:t xml:space="preserve">“República Federal de Alemania”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Roger Alessandro Zavaleta Marcelo ·</w:t>
      </w:r>
      <w:r>
        <w:t xml:space="preserve"> </w:t>
      </w:r>
      <w:r>
        <w:rPr>
          <w:b/>
          <w:bCs/>
        </w:rPr>
        <w:t xml:space="preserve">Asesora:</w:t>
      </w:r>
      <w:r>
        <w:t xml:space="preserve"> </w:t>
      </w:r>
      <w:r>
        <w:t xml:space="preserve">Mg. Reyes Burgos, Karla (USAT)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04-jun-2026</w:t>
      </w:r>
    </w:p>
    <w:p>
      <w:pPr>
        <w:pStyle w:val="BodyText"/>
      </w:pPr>
      <w:r>
        <w:t xml:space="preserve">Este documento consolida el estado de validación de los cinco objetivos específicos. Se reporta con criterio de</w:t>
      </w:r>
      <w:r>
        <w:t xml:space="preserve"> </w:t>
      </w:r>
      <w:r>
        <w:rPr>
          <w:b/>
          <w:bCs/>
        </w:rPr>
        <w:t xml:space="preserve">honestidad académica</w:t>
      </w:r>
      <w:r>
        <w:t xml:space="preserve">: lo validado se marca como tal; lo pendiente (dictamen de jueces OE5) se declara explícitamente.</w:t>
      </w:r>
    </w:p>
    <w:p>
      <w:r>
        <w:pict>
          <v:rect style="width:0;height:1.5pt" o:hralign="center" o:hrstd="t" o:hr="t"/>
        </w:pict>
      </w:r>
    </w:p>
    <w:bookmarkStart w:id="9" w:name="resumen-ejecutivo"/>
    <w:p>
      <w:pPr>
        <w:pStyle w:val="Heading2"/>
      </w:pPr>
      <w:r>
        <w:t xml:space="preserve">Resumen ejecutivo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3780"/>
        <w:gridCol w:w="14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OE</w:t>
            </w:r>
          </w:p>
        </w:tc>
        <w:tc>
          <w:tcPr/>
          <w:p>
            <w:pPr>
              <w:pStyle w:val="Compact"/>
            </w:pPr>
            <w:r>
              <w:t xml:space="preserve">Enunciado (resumen)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OE1</w:t>
            </w:r>
          </w:p>
        </w:tc>
        <w:tc>
          <w:tcPr/>
          <w:p>
            <w:pPr>
              <w:pStyle w:val="Compact"/>
            </w:pPr>
            <w:r>
              <w:t xml:space="preserve">Selección de LLM + embeddings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Validado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reporte-LLM.docx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reporte-OE1-metricas-oficiales.md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OE2</w:t>
            </w:r>
          </w:p>
        </w:tc>
        <w:tc>
          <w:tcPr/>
          <w:p>
            <w:pPr>
              <w:pStyle w:val="Compact"/>
            </w:pPr>
            <w:r>
              <w:t xml:space="preserve">Validación RAGAS del pipeline RAG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Validado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reporte-RAGAS.md/.docx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OE3</w:t>
            </w:r>
          </w:p>
        </w:tc>
        <w:tc>
          <w:tcPr/>
          <w:p>
            <w:pPr>
              <w:pStyle w:val="Compact"/>
            </w:pPr>
            <w:r>
              <w:t xml:space="preserve">Despliegue en GCE (Docker) con rendimiento/disponibilidad/trazabilidad</w:t>
            </w:r>
          </w:p>
        </w:tc>
        <w:tc>
          <w:tcPr/>
          <w:p>
            <w:pPr>
              <w:pStyle w:val="Compact"/>
            </w:pPr>
            <w:r>
              <w:t xml:space="preserve">🔄</w:t>
            </w:r>
            <w:r>
              <w:t xml:space="preserve"> </w:t>
            </w:r>
            <w:r>
              <w:rPr>
                <w:b/>
                <w:bCs/>
              </w:rPr>
              <w:t xml:space="preserve">Desplegado; métricas re-medidas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oe3-medicion.md</w:t>
            </w:r>
            <w:r>
              <w:t xml:space="preserve">, este doc §OE3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OE4</w:t>
            </w:r>
          </w:p>
        </w:tc>
        <w:tc>
          <w:tcPr/>
          <w:p>
            <w:pPr>
              <w:pStyle w:val="Compact"/>
            </w:pPr>
            <w:r>
              <w:t xml:space="preserve">Mejora del rendimiento académico (pretest/postest, t pareada)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Validado</w:t>
            </w:r>
            <w:r>
              <w:t xml:space="preserve"> </w:t>
            </w:r>
            <w:r>
              <w:t xml:space="preserve">(n=49; t(48)=14.85, p&lt;0.001; d=2.12)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reporte-rendimiento-academico.md/.docx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datos-pretest-postest.csv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OE5</w:t>
            </w:r>
          </w:p>
        </w:tc>
        <w:tc>
          <w:tcPr/>
          <w:p>
            <w:pPr>
              <w:pStyle w:val="Compact"/>
            </w:pPr>
            <w:r>
              <w:t xml:space="preserve">Adecuación funcional ISO/IEC 25010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  <w:r>
              <w:t xml:space="preserve"> </w:t>
            </w:r>
            <w:r>
              <w:rPr>
                <w:b/>
                <w:bCs/>
              </w:rPr>
              <w:t xml:space="preserve">Interno completo; dictamen 2 jueces pendiente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matriz-trazabilidad-ISO25010.md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reporte-ISO25010.md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oe1-selección-llm-embeddings"/>
    <w:p>
      <w:pPr>
        <w:pStyle w:val="Heading2"/>
      </w:pPr>
      <w:r>
        <w:t xml:space="preserve">OE1 — Selección LLM + embeddings 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Generación:</w:t>
      </w:r>
      <w:r>
        <w:t xml:space="preserve"> </w:t>
      </w:r>
      <w:r>
        <w:t xml:space="preserve">Accuracy 0.72 (≥0.70) · Likert media 4.325 (≥4.0), juez independiente</w:t>
      </w:r>
      <w:r>
        <w:t xml:space="preserve"> </w:t>
      </w:r>
      <w:r>
        <w:rPr>
          <w:rStyle w:val="VerbatimChar"/>
        </w:rPr>
        <w:t xml:space="preserve">llama3.1:8b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Recuperación:</w:t>
      </w:r>
      <w:r>
        <w:t xml:space="preserve"> </w:t>
      </w:r>
      <w:r>
        <w:t xml:space="preserve">Recall@5 0.72 (≥0.70) · MRR@10 0.684 (≥0.65) · nDCG@10 0.686 (≥0.55), con rerank cross-encoder.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Modelos seleccionados:</w:t>
      </w:r>
      <w:r>
        <w:t xml:space="preserve"> </w:t>
      </w:r>
      <w:r>
        <w:rPr>
          <w:rStyle w:val="VerbatimChar"/>
        </w:rPr>
        <w:t xml:space="preserve">qwen2.5:7b-instruct-q4_K_M</w:t>
      </w:r>
      <w:r>
        <w:t xml:space="preserve"> </w:t>
      </w:r>
      <w:r>
        <w:t xml:space="preserve">(LLM) +</w:t>
      </w:r>
      <w:r>
        <w:t xml:space="preserve"> </w:t>
      </w:r>
      <w:r>
        <w:rPr>
          <w:rStyle w:val="VerbatimChar"/>
        </w:rPr>
        <w:t xml:space="preserve">mxbai-embed-large</w:t>
      </w:r>
      <w:r>
        <w:t xml:space="preserve"> </w:t>
      </w:r>
      <w:r>
        <w:t xml:space="preserve">(embeddings, 1024 dim).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Resultado:</w:t>
      </w:r>
      <w:r>
        <w:t xml:space="preserve"> </w:t>
      </w:r>
      <w:r>
        <w:t xml:space="preserve">5/5 indicadores oficiales cumplen →</w:t>
      </w:r>
      <w:r>
        <w:t xml:space="preserve"> </w:t>
      </w:r>
      <w:r>
        <w:rPr>
          <w:b/>
          <w:bCs/>
        </w:rPr>
        <w:t xml:space="preserve">OE1 validado</w:t>
      </w:r>
      <w:r>
        <w:t xml:space="preserve">.</w:t>
      </w:r>
    </w:p>
    <w:bookmarkEnd w:id="10"/>
    <w:bookmarkStart w:id="11" w:name="oe2-validación-ragas"/>
    <w:p>
      <w:pPr>
        <w:pStyle w:val="Heading2"/>
      </w:pPr>
      <w:r>
        <w:t xml:space="preserve">OE2 — Validación RAGAS ✅</w:t>
      </w:r>
    </w:p>
    <w:p>
      <w:pPr>
        <w:pStyle w:val="FirstParagraph"/>
      </w:pPr>
      <w:r>
        <w:t xml:space="preserve">Golden set de 50 ítems (M1–M5), juez</w:t>
      </w:r>
      <w:r>
        <w:t xml:space="preserve"> </w:t>
      </w:r>
      <w:r>
        <w:rPr>
          <w:b/>
          <w:bCs/>
        </w:rPr>
        <w:t xml:space="preserve">independiente</w:t>
      </w:r>
      <w:r>
        <w:t xml:space="preserve"> </w:t>
      </w:r>
      <w:r>
        <w:rPr>
          <w:rStyle w:val="VerbatimChar"/>
        </w:rPr>
        <w:t xml:space="preserve">llama3.1:8b</w:t>
      </w:r>
      <w:r>
        <w:t xml:space="preserve">, librería</w:t>
      </w:r>
      <w:r>
        <w:t xml:space="preserve"> </w:t>
      </w:r>
      <w:r>
        <w:rPr>
          <w:rStyle w:val="VerbatimChar"/>
        </w:rPr>
        <w:t xml:space="preserve">ragas</w:t>
      </w:r>
      <w:r>
        <w:t xml:space="preserve"> </w:t>
      </w:r>
      <w:r>
        <w:t xml:space="preserve">oficial + rerank cross-encoder.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Precision</w:t>
            </w:r>
          </w:p>
        </w:tc>
        <w:tc>
          <w:tcPr/>
          <w:p>
            <w:pPr>
              <w:pStyle w:val="Compact"/>
            </w:pPr>
            <w:r>
              <w:t xml:space="preserve">≥0.70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0.876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Recall</w:t>
            </w:r>
          </w:p>
        </w:tc>
        <w:tc>
          <w:tcPr/>
          <w:p>
            <w:pPr>
              <w:pStyle w:val="Compact"/>
            </w:pPr>
            <w:r>
              <w:t xml:space="preserve">≥0.75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0.812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Faithfulness</w:t>
            </w:r>
          </w:p>
        </w:tc>
        <w:tc>
          <w:tcPr/>
          <w:p>
            <w:pPr>
              <w:pStyle w:val="Compact"/>
            </w:pPr>
            <w:r>
              <w:t xml:space="preserve">≥0.65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0.706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 Relevancy</w:t>
            </w:r>
          </w:p>
        </w:tc>
        <w:tc>
          <w:tcPr/>
          <w:p>
            <w:pPr>
              <w:pStyle w:val="Compact"/>
            </w:pPr>
            <w:r>
              <w:t xml:space="preserve">≥0.65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0.707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 Correctness</w:t>
            </w:r>
          </w:p>
        </w:tc>
        <w:tc>
          <w:tcPr/>
          <w:p>
            <w:pPr>
              <w:pStyle w:val="Compact"/>
            </w:pPr>
            <w:r>
              <w:t xml:space="preserve">≥0.55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0.609</w:t>
            </w:r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5/5 cumplen → OE2 validado.</w:t>
      </w:r>
    </w:p>
    <w:bookmarkEnd w:id="11"/>
    <w:bookmarkStart w:id="12" w:name="oe3-despliegue-en-gce"/>
    <w:p>
      <w:pPr>
        <w:pStyle w:val="Heading2"/>
      </w:pPr>
      <w:r>
        <w:t xml:space="preserve">OE3 — Despliegue en GCE 🔄</w:t>
      </w:r>
    </w:p>
    <w:p>
      <w:pPr>
        <w:pStyle w:val="FirstParagraph"/>
      </w:pPr>
      <w:r>
        <w:rPr>
          <w:b/>
          <w:bCs/>
        </w:rPr>
        <w:t xml:space="preserve">Sistema desplegado y operativo en producción: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VM:</w:t>
      </w:r>
      <w:r>
        <w:t xml:space="preserve"> </w:t>
      </w:r>
      <w:r>
        <w:t xml:space="preserve">Google Compute Engine</w:t>
      </w:r>
      <w:r>
        <w:t xml:space="preserve"> </w:t>
      </w:r>
      <w:r>
        <w:rPr>
          <w:rStyle w:val="VerbatimChar"/>
        </w:rPr>
        <w:t xml:space="preserve">e2-standard-4</w:t>
      </w:r>
      <w:r>
        <w:t xml:space="preserve"> </w:t>
      </w:r>
      <w:r>
        <w:t xml:space="preserve">(16 GB RAM), zona</w:t>
      </w:r>
      <w:r>
        <w:t xml:space="preserve"> </w:t>
      </w:r>
      <w:r>
        <w:rPr>
          <w:rStyle w:val="VerbatimChar"/>
        </w:rPr>
        <w:t xml:space="preserve">us-central1-a</w:t>
      </w:r>
      <w:r>
        <w:t xml:space="preserve">, IP estática</w:t>
      </w:r>
      <w:r>
        <w:t xml:space="preserve"> </w:t>
      </w:r>
      <w:r>
        <w:rPr>
          <w:rStyle w:val="VerbatimChar"/>
        </w:rPr>
        <w:t xml:space="preserve">35.254.147.254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Orquestación:</w:t>
      </w:r>
      <w:r>
        <w:t xml:space="preserve"> </w:t>
      </w:r>
      <w:r>
        <w:t xml:space="preserve">Docker Compose —</w:t>
      </w:r>
      <w:r>
        <w:t xml:space="preserve"> </w:t>
      </w:r>
      <w:r>
        <w:rPr>
          <w:rStyle w:val="VerbatimChar"/>
        </w:rPr>
        <w:t xml:space="preserve">tutor_postgres</w:t>
      </w:r>
      <w:r>
        <w:t xml:space="preserve"> </w:t>
      </w:r>
      <w:r>
        <w:t xml:space="preserve">(pgvector),</w:t>
      </w:r>
      <w:r>
        <w:t xml:space="preserve"> </w:t>
      </w:r>
      <w:r>
        <w:rPr>
          <w:rStyle w:val="VerbatimChar"/>
        </w:rPr>
        <w:t xml:space="preserve">tutor_redis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tutor_backend</w:t>
      </w:r>
      <w:r>
        <w:t xml:space="preserve"> </w:t>
      </w:r>
      <w:r>
        <w:t xml:space="preserve">(FastAPI),</w:t>
      </w:r>
      <w:r>
        <w:t xml:space="preserve"> </w:t>
      </w:r>
      <w:r>
        <w:rPr>
          <w:rStyle w:val="VerbatimChar"/>
        </w:rPr>
        <w:t xml:space="preserve">tutor_caddy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TLS:</w:t>
      </w:r>
      <w:r>
        <w:t xml:space="preserve"> </w:t>
      </w:r>
      <w:r>
        <w:t xml:space="preserve">Caddy + Let’s Encrypt en</w:t>
      </w:r>
      <w:r>
        <w:t xml:space="preserve"> </w:t>
      </w:r>
      <w:r>
        <w:rPr>
          <w:rStyle w:val="VerbatimChar"/>
        </w:rPr>
        <w:t xml:space="preserve">api.tutoriesrfa.lat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Firebase Hosting —</w:t>
      </w:r>
      <w:r>
        <w:t xml:space="preserve"> </w:t>
      </w:r>
      <w:r>
        <w:rPr>
          <w:rStyle w:val="VerbatimChar"/>
        </w:rPr>
        <w:t xml:space="preserve">https://tutor-ia-rfa.web.app</w:t>
      </w:r>
      <w:r>
        <w:t xml:space="preserve"> </w:t>
      </w:r>
      <w:r>
        <w:t xml:space="preserve">(CDN + HTTPS).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Corpus:</w:t>
      </w:r>
      <w:r>
        <w:t xml:space="preserve"> </w:t>
      </w:r>
      <w:r>
        <w:t xml:space="preserve">3388 chunks indexados en pgvector (índice IVFFlat).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Trazabilidad:</w:t>
      </w:r>
      <w:r>
        <w:t xml:space="preserve"> </w:t>
      </w:r>
      <w:r>
        <w:t xml:space="preserve">logs JSON estructurados; respuestas RAG con citas a fuentes.</w:t>
      </w:r>
    </w:p>
    <w:p>
      <w:pPr>
        <w:pStyle w:val="FirstParagraph"/>
      </w:pPr>
      <w:r>
        <w:rPr>
          <w:b/>
          <w:bCs/>
        </w:rPr>
        <w:t xml:space="preserve">Rendimiento: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oe3-medicion.md</w:t>
      </w:r>
      <w:r>
        <w:t xml:space="preserve"> </w:t>
      </w:r>
      <w:r>
        <w:t xml:space="preserve">(re-medición 02-jun-2026).</w:t>
      </w:r>
      <w:r>
        <w:t xml:space="preserve"> </w:t>
      </w:r>
      <w:r>
        <w:rPr>
          <w:i/>
          <w:iCs/>
        </w:rPr>
        <w:t xml:space="preserve">Nota de límite:</w:t>
      </w:r>
      <w:r>
        <w:t xml:space="preserve"> </w:t>
      </w:r>
      <w:r>
        <w:t xml:space="preserve">la VM es</w:t>
      </w:r>
      <w:r>
        <w:t xml:space="preserve"> </w:t>
      </w:r>
      <w:r>
        <w:rPr>
          <w:b/>
          <w:bCs/>
        </w:rPr>
        <w:t xml:space="preserve">CPU-only</w:t>
      </w:r>
      <w:r>
        <w:t xml:space="preserve"> </w:t>
      </w:r>
      <w:r>
        <w:t xml:space="preserve">(sin GPU); los umbrales de TTFT/ITL/e2e fueron calibrados para hardware con GPU. El rendimiento bajo CPU es una</w:t>
      </w:r>
      <w:r>
        <w:t xml:space="preserve"> </w:t>
      </w:r>
      <w:r>
        <w:rPr>
          <w:b/>
          <w:bCs/>
        </w:rPr>
        <w:t xml:space="preserve">limitación documentada</w:t>
      </w:r>
      <w:r>
        <w:t xml:space="preserve">; la mejora vía instancia con GPU es</w:t>
      </w:r>
      <w:r>
        <w:t xml:space="preserve"> </w:t>
      </w:r>
      <w:r>
        <w:rPr>
          <w:b/>
          <w:bCs/>
        </w:rPr>
        <w:t xml:space="preserve">trabajo futuro</w:t>
      </w:r>
      <w:r>
        <w:t xml:space="preserve">. Disponibilidad y trazabilidad se cumplen.</w:t>
      </w:r>
    </w:p>
    <w:bookmarkEnd w:id="12"/>
    <w:bookmarkStart w:id="13" w:name="oe4-rendimiento-académico"/>
    <w:p>
      <w:pPr>
        <w:pStyle w:val="Heading2"/>
      </w:pPr>
      <w:r>
        <w:t xml:space="preserve">OE4 — Rendimiento académico ✅</w:t>
      </w:r>
    </w:p>
    <w:p>
      <w:pPr>
        <w:pStyle w:val="Compact"/>
        <w:numPr>
          <w:ilvl w:val="0"/>
          <w:numId w:val="1003"/>
        </w:numPr>
      </w:pPr>
      <w:r>
        <w:t xml:space="preserve">Diseño pre-experimental (un grupo,</w:t>
      </w:r>
      <w:r>
        <w:t xml:space="preserve"> </w:t>
      </w:r>
      <w:r>
        <w:rPr>
          <w:rStyle w:val="VerbatimChar"/>
        </w:rPr>
        <w:t xml:space="preserve">O1→X→O2</w:t>
      </w:r>
      <w:r>
        <w:t xml:space="preserve">), contraste</w:t>
      </w:r>
      <w:r>
        <w:t xml:space="preserve"> </w:t>
      </w:r>
      <w:r>
        <w:rPr>
          <w:b/>
          <w:bCs/>
        </w:rPr>
        <w:t xml:space="preserve">t de Student pareada (p&lt;0.05)</w:t>
      </w:r>
      <w:r>
        <w:t xml:space="preserve"> </w:t>
      </w:r>
      <w:r>
        <w:t xml:space="preserve">+ d de Cohen.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Aplicado a n=49</w:t>
      </w:r>
      <w:r>
        <w:t xml:space="preserve"> </w:t>
      </w:r>
      <w:r>
        <w:t xml:space="preserve">(censo cohorte 2026-I, secciones mañana M01–M24 + noche N01–N25), instrumento de 20 ítems (M1–M5), escala 0–20.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Resultados:</w:t>
      </w:r>
      <w:r>
        <w:t xml:space="preserve"> </w:t>
      </w:r>
      <w:r>
        <w:t xml:space="preserve">pretest 10.45±2.76 → postest 14.43±3.11; ganancia media</w:t>
      </w:r>
      <w:r>
        <w:t xml:space="preserve"> </w:t>
      </w:r>
      <w:r>
        <w:rPr>
          <w:b/>
          <w:bCs/>
        </w:rPr>
        <w:t xml:space="preserve">+3.98</w:t>
      </w:r>
      <w:r>
        <w:t xml:space="preserve"> </w:t>
      </w:r>
      <w:r>
        <w:t xml:space="preserve">(IC95% [3.44, 4.52]);</w:t>
      </w:r>
      <w:r>
        <w:t xml:space="preserve"> </w:t>
      </w:r>
      <w:r>
        <w:rPr>
          <w:b/>
          <w:bCs/>
        </w:rPr>
        <w:t xml:space="preserve">46/49 mejoraron (94%)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Estadístico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Decisión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 de Student pareada (oficial)</w:t>
            </w:r>
          </w:p>
        </w:tc>
        <w:tc>
          <w:tcPr/>
          <w:p>
            <w:pPr>
              <w:pStyle w:val="Compact"/>
            </w:pPr>
            <w:r>
              <w:t xml:space="preserve">t(48)=14.85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t xml:space="preserve">Rechaza H0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Wilcoxon (respaldo no paramétrico)</w:t>
            </w:r>
          </w:p>
        </w:tc>
        <w:tc>
          <w:tcPr/>
          <w:p>
            <w:pPr>
              <w:pStyle w:val="Compact"/>
            </w:pPr>
            <w:r>
              <w:t xml:space="preserve">W=1126.5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t xml:space="preserve">Rechaza H0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de Cohen</w:t>
            </w:r>
          </w:p>
        </w:tc>
        <w:tc>
          <w:tcPr/>
          <w:p>
            <w:pPr>
              <w:pStyle w:val="Compact"/>
            </w:pPr>
            <w:r>
              <w:t xml:space="preserve">2.12 (grande)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Supuesto: Shapiro-Wilk diferencias p=0.027 (leve no-normalidad) → respaldo con Wilcoxon, que confirma. t robusta a n=49 (TLC).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Limitación:</w:t>
      </w:r>
      <w:r>
        <w:t xml:space="preserve"> </w:t>
      </w:r>
      <w:r>
        <w:t xml:space="preserve">diseño sin grupo control → mejora significativa demostrada, pero</w:t>
      </w:r>
      <w:r>
        <w:t xml:space="preserve"> </w:t>
      </w:r>
      <w:r>
        <w:rPr>
          <w:b/>
          <w:bCs/>
        </w:rPr>
        <w:t xml:space="preserve">causalidad exclusiva no probable</w:t>
      </w:r>
      <w:r>
        <w:t xml:space="preserve"> </w:t>
      </w:r>
      <w:r>
        <w:t xml:space="preserve">(maduración/historia/testing). Cuasi-experimental con control = trabajo futuro. Detalle:</w:t>
      </w:r>
      <w:r>
        <w:t xml:space="preserve"> </w:t>
      </w:r>
      <w:r>
        <w:rPr>
          <w:rStyle w:val="VerbatimChar"/>
        </w:rPr>
        <w:t xml:space="preserve">reporte-rendimiento-academico.md</w:t>
      </w:r>
      <w:r>
        <w:t xml:space="preserve">.</w:t>
      </w:r>
    </w:p>
    <w:bookmarkEnd w:id="13"/>
    <w:bookmarkStart w:id="14" w:name="oe5-adecuación-funcional-isoiec-25010"/>
    <w:p>
      <w:pPr>
        <w:pStyle w:val="Heading2"/>
      </w:pPr>
      <w:r>
        <w:t xml:space="preserve">OE5 — Adecuación funcional ISO/IEC 25010 ⏳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Cobertura RF:</w:t>
      </w:r>
      <w:r>
        <w:t xml:space="preserve"> </w:t>
      </w:r>
      <w:r>
        <w:t xml:space="preserve">33/33 requisitos funcionales priorizados implementados.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Pruebas:</w:t>
      </w:r>
      <w:r>
        <w:t xml:space="preserve"> </w:t>
      </w:r>
      <w:r>
        <w:t xml:space="preserve">276/276 pass; cobertura de código 86%.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Matriz de trazabilidad:</w:t>
      </w:r>
      <w:r>
        <w:t xml:space="preserve"> </w:t>
      </w:r>
      <w:r>
        <w:t xml:space="preserve">caso de prueba ↔ RF ↔ subcaracterística ISO (</w:t>
      </w:r>
      <w:r>
        <w:rPr>
          <w:rStyle w:val="VerbatimChar"/>
        </w:rPr>
        <w:t xml:space="preserve">matriz-trazabilidad-ISO25010.md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Pendiente:</w:t>
      </w:r>
      <w:r>
        <w:t xml:space="preserve"> </w:t>
      </w:r>
      <w:r>
        <w:rPr>
          <w:b/>
          <w:bCs/>
        </w:rPr>
        <w:t xml:space="preserve">dictamen de ≥2 jueces expertos</w:t>
      </w:r>
      <w:r>
        <w:t xml:space="preserve"> </w:t>
      </w:r>
      <w:r>
        <w:t xml:space="preserve">sobre pertinencia funcional (≥0.90) para cerrar formalmente el OE5. Instrumento listo en</w:t>
      </w:r>
      <w:r>
        <w:t xml:space="preserve"> </w:t>
      </w:r>
      <w:r>
        <w:rPr>
          <w:rStyle w:val="VerbatimChar"/>
        </w:rPr>
        <w:t xml:space="preserve">instrumento-evaluacion-jueces-ISO25010.md</w:t>
      </w:r>
      <w:r>
        <w:t xml:space="preserve">.</w:t>
      </w:r>
      <w:r>
        <w:t xml:space="preserve"> </w:t>
      </w:r>
      <w:r>
        <w:rPr>
          <w:b/>
          <w:bCs/>
        </w:rPr>
        <w:t xml:space="preserve">Único objetivo pendiente.</w:t>
      </w:r>
    </w:p>
    <w:p>
      <w:r>
        <w:pict>
          <v:rect style="width:0;height:1.5pt" o:hralign="center" o:hrstd="t" o:hr="t"/>
        </w:pict>
      </w:r>
    </w:p>
    <w:bookmarkEnd w:id="14"/>
    <w:bookmarkStart w:id="15" w:name="despliegue-para-el-piloto-estado-actual"/>
    <w:p>
      <w:pPr>
        <w:pStyle w:val="Heading2"/>
      </w:pPr>
      <w:r>
        <w:t xml:space="preserve">Despliegue para el piloto — estado actual</w:t>
      </w:r>
    </w:p>
    <w:p>
      <w:pPr>
        <w:pStyle w:val="Compact"/>
        <w:numPr>
          <w:ilvl w:val="0"/>
          <w:numId w:val="1006"/>
        </w:numPr>
      </w:pPr>
      <w:r>
        <w:t xml:space="preserve">✅ 49 cuentas reales de estudiantes (secciones mañana + noche) aprovisionadas en producción.</w:t>
      </w:r>
    </w:p>
    <w:p>
      <w:pPr>
        <w:pStyle w:val="Compact"/>
        <w:numPr>
          <w:ilvl w:val="0"/>
          <w:numId w:val="1006"/>
        </w:numPr>
      </w:pPr>
      <w:r>
        <w:t xml:space="preserve">✅ Sistema accesible en</w:t>
      </w:r>
      <w:r>
        <w:t xml:space="preserve"> </w:t>
      </w:r>
      <w:r>
        <w:rPr>
          <w:rStyle w:val="VerbatimChar"/>
        </w:rPr>
        <w:t xml:space="preserve">https://tutor-ia-rfa.web.app</w:t>
      </w:r>
      <w:r>
        <w:t xml:space="preserve"> </w:t>
      </w:r>
      <w:r>
        <w:t xml:space="preserve">(login operativo, dashboards poblados con datos de demostración).</w:t>
      </w:r>
    </w:p>
    <w:p>
      <w:pPr>
        <w:pStyle w:val="Compact"/>
        <w:numPr>
          <w:ilvl w:val="0"/>
          <w:numId w:val="1006"/>
        </w:numPr>
      </w:pPr>
      <w:r>
        <w:t xml:space="preserve">⚠️ Los datos de actividad sembrados en los dashboards son</w:t>
      </w:r>
      <w:r>
        <w:t xml:space="preserve"> </w:t>
      </w:r>
      <w:r>
        <w:rPr>
          <w:b/>
          <w:bCs/>
        </w:rPr>
        <w:t xml:space="preserve">de demostración</w:t>
      </w:r>
      <w:r>
        <w:t xml:space="preserve">, no resultados empíricos. El</w:t>
      </w:r>
      <w:r>
        <w:t xml:space="preserve"> </w:t>
      </w:r>
      <w:r>
        <w:rPr>
          <w:b/>
          <w:bCs/>
        </w:rPr>
        <w:t xml:space="preserve">OE4 se computó con datos reales</w:t>
      </w:r>
      <w:r>
        <w:t xml:space="preserve"> </w:t>
      </w:r>
      <w:r>
        <w:t xml:space="preserve">de pretest/postest (n=49,</w:t>
      </w:r>
      <w:r>
        <w:t xml:space="preserve"> </w:t>
      </w:r>
      <w:r>
        <w:rPr>
          <w:rStyle w:val="VerbatimChar"/>
        </w:rPr>
        <w:t xml:space="preserve">datos-pretest-postest.csv</w:t>
      </w:r>
      <w:r>
        <w:t xml:space="preserve">), independientes de la data de demostración.</w:t>
      </w:r>
    </w:p>
    <w:p>
      <w:r>
        <w:pict>
          <v:rect style="width:0;height:1.5pt" o:hralign="center" o:hrstd="t" o:hr="t"/>
        </w:pict>
      </w:r>
    </w:p>
    <w:bookmarkEnd w:id="15"/>
    <w:bookmarkStart w:id="16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rPr>
          <w:b/>
          <w:bCs/>
        </w:rPr>
        <w:t xml:space="preserve">Cuatro de los cinco objetivos cuentan con validación cerrada:</w:t>
      </w:r>
      <w:r>
        <w:t xml:space="preserve"> </w:t>
      </w:r>
      <w:r>
        <w:t xml:space="preserve">cuantitativa (</w:t>
      </w:r>
      <w:r>
        <w:rPr>
          <w:b/>
          <w:bCs/>
        </w:rPr>
        <w:t xml:space="preserve">OE1, OE2, OE4</w:t>
      </w:r>
      <w:r>
        <w:t xml:space="preserve">) y despliegue operativo (</w:t>
      </w:r>
      <w:r>
        <w:rPr>
          <w:b/>
          <w:bCs/>
        </w:rPr>
        <w:t xml:space="preserve">OE3</w:t>
      </w:r>
      <w:r>
        <w:t xml:space="preserve">, con límite de hardware CPU documentado). Queda</w:t>
      </w:r>
      <w:r>
        <w:t xml:space="preserve"> </w:t>
      </w:r>
      <w:r>
        <w:rPr>
          <w:b/>
          <w:bCs/>
        </w:rPr>
        <w:t xml:space="preserve">un solo objetivo</w:t>
      </w:r>
      <w:r>
        <w:t xml:space="preserve"> </w:t>
      </w:r>
      <w:r>
        <w:t xml:space="preserve">a la espera de actividad de campo:</w:t>
      </w:r>
      <w:r>
        <w:t xml:space="preserve"> </w:t>
      </w:r>
      <w:r>
        <w:rPr>
          <w:b/>
          <w:bCs/>
        </w:rPr>
        <w:t xml:space="preserve">OE5</w:t>
      </w:r>
      <w:r>
        <w:t xml:space="preserve"> </w:t>
      </w:r>
      <w:r>
        <w:t xml:space="preserve">(dictamen de ≥2 jueces expertos sobre pertinencia funcional; instrumento listo). No se anticipan resultados antes de obtener la evidencia correspondiente.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de consolidación. Exportar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.docx</w:t>
      </w:r>
      <w:r>
        <w:rPr>
          <w:i/>
          <w:iCs/>
        </w:rPr>
        <w:t xml:space="preserve"> </w:t>
      </w:r>
      <w:r>
        <w:rPr>
          <w:i/>
          <w:iCs/>
        </w:rPr>
        <w:t xml:space="preserve">antes de la sustentación. Resta sustituir la sección OE5 con el dictamen del panel de jueces.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2026-06-04T14:41:54Z</dcterms:created>
  <dcterms:modified xsi:type="dcterms:W3CDTF">2026-06-04T14:41:54Z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