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UNIVERSIDAD CATÓLICA SANTO TORIBIO DE MOGROVEJO</w:t>
      </w:r>
    </w:p>
    <w:p>
      <w:pPr>
        <w:pStyle w:val="BodyText"/>
      </w:pPr>
      <w:r>
        <w:rPr>
          <w:b/>
          <w:bCs/>
        </w:rPr>
        <w:t xml:space="preserve">FACULTAD DE INGENIERÍA</w:t>
      </w:r>
    </w:p>
    <w:p>
      <w:pPr>
        <w:pStyle w:val="BodyText"/>
      </w:pPr>
      <w:r>
        <w:rPr>
          <w:b/>
          <w:bCs/>
        </w:rPr>
        <w:t xml:space="preserve">ESCUELA DE INGENIERÍA DE SISTEMAS Y COMPUTACIÓN</w:t>
      </w:r>
    </w:p>
    <w:p>
      <w:pPr>
        <w:pStyle w:val="BodyText"/>
      </w:pPr>
      <w:r>
        <w:rPr>
          <w:b/>
          <w:bCs/>
        </w:rPr>
        <w:t xml:space="preserve">TUTOR CON IA GENERATIVA EN LA ASIGNATURA APLICACIONES MÓVILES PARA</w:t>
      </w:r>
      <w:r>
        <w:rPr>
          <w:b/>
          <w:bCs/>
        </w:rPr>
        <w:t xml:space="preserve"> </w:t>
      </w:r>
      <w:r>
        <w:rPr>
          <w:b/>
          <w:bCs/>
        </w:rPr>
        <w:t xml:space="preserve">MEJORAR EL RENDIMIENTO ACADÉMICO DE ESTUDIANTES DEL IESTP</w:t>
      </w:r>
      <w:r>
        <w:rPr>
          <w:b/>
          <w:bCs/>
        </w:rPr>
        <w:t xml:space="preserve"> </w:t>
      </w:r>
      <w:r>
        <w:rPr>
          <w:b/>
          <w:bCs/>
        </w:rPr>
        <w:t xml:space="preserve">“RFA”</w:t>
      </w:r>
      <w:r>
        <w:rPr>
          <w:b/>
          <w:bCs/>
        </w:rPr>
        <w:t xml:space="preserve">,</w:t>
      </w:r>
      <w:r>
        <w:rPr>
          <w:b/>
          <w:bCs/>
        </w:rPr>
        <w:t xml:space="preserve"> </w:t>
      </w:r>
      <w:r>
        <w:rPr>
          <w:b/>
          <w:bCs/>
        </w:rPr>
        <w:t xml:space="preserve">CHICLAYO</w:t>
      </w:r>
    </w:p>
    <w:p>
      <w:pPr>
        <w:pStyle w:val="BodyText"/>
      </w:pPr>
      <w:r>
        <w:rPr>
          <w:b/>
          <w:bCs/>
        </w:rPr>
        <w:t xml:space="preserve">PRE-INFORME DE TESIS</w:t>
      </w:r>
    </w:p>
    <w:p>
      <w:pPr>
        <w:pStyle w:val="BodyText"/>
      </w:pPr>
      <w:r>
        <w:t xml:space="preserve">PARA EVIDENCIAR LA EJECUCIÓN DE TESIS</w:t>
      </w:r>
    </w:p>
    <w:p>
      <w:pPr>
        <w:pStyle w:val="BodyText"/>
      </w:pPr>
      <w:r>
        <w:t xml:space="preserve">EN EL CURSO DE SEMINARIO DE TESIS I</w:t>
      </w:r>
    </w:p>
    <w:p>
      <w:pPr>
        <w:pStyle w:val="BodyText"/>
      </w:pPr>
      <w:r>
        <w:rPr>
          <w:b/>
          <w:bCs/>
        </w:rPr>
        <w:t xml:space="preserve">AUTOR</w:t>
      </w:r>
    </w:p>
    <w:p>
      <w:pPr>
        <w:pStyle w:val="BodyText"/>
      </w:pPr>
      <w:r>
        <w:t xml:space="preserve">Zavaleta Marcelo, Roger Alessandro</w:t>
      </w:r>
    </w:p>
    <w:p>
      <w:pPr>
        <w:pStyle w:val="BodyText"/>
      </w:pPr>
      <w:r>
        <w:t xml:space="preserve">DNI: 70469567</w:t>
      </w:r>
    </w:p>
    <w:p>
      <w:pPr>
        <w:pStyle w:val="BodyText"/>
      </w:pPr>
      <w:r>
        <w:rPr>
          <w:b/>
          <w:bCs/>
        </w:rPr>
        <w:t xml:space="preserve">ASESORA</w:t>
      </w:r>
    </w:p>
    <w:p>
      <w:pPr>
        <w:pStyle w:val="BodyText"/>
      </w:pPr>
      <w:r>
        <w:t xml:space="preserve">Mg. Reyes Burgos, Karla</w:t>
      </w:r>
    </w:p>
    <w:p>
      <w:pPr>
        <w:pStyle w:val="BodyText"/>
      </w:pPr>
      <w:r>
        <w:t xml:space="preserve">https://orcid.org/0000-0002-9650-4427</w:t>
      </w:r>
    </w:p>
    <w:p>
      <w:pPr>
        <w:pStyle w:val="BodyText"/>
      </w:pPr>
      <w:r>
        <w:t xml:space="preserve">Chiclayo, 2026</w:t>
      </w:r>
    </w:p>
    <w:bookmarkStart w:id="9" w:name="información-general"/>
    <w:p>
      <w:pPr>
        <w:pStyle w:val="Heading1"/>
      </w:pPr>
      <w:r>
        <w:t xml:space="preserve">INFORMACIÓN GENERAL</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Campo</w:t>
            </w:r>
          </w:p>
        </w:tc>
        <w:tc>
          <w:tcPr/>
          <w:p>
            <w:pPr>
              <w:pStyle w:val="Compact"/>
              <w:jc w:val="left"/>
            </w:pPr>
            <w:r>
              <w:rPr>
                <w:b/>
                <w:bCs/>
              </w:rPr>
              <w:t xml:space="preserve">Detalle</w:t>
            </w:r>
          </w:p>
        </w:tc>
      </w:tr>
      <w:tr>
        <w:tc>
          <w:tcPr/>
          <w:p>
            <w:pPr>
              <w:pStyle w:val="Compact"/>
              <w:jc w:val="left"/>
            </w:pPr>
            <w:r>
              <w:t xml:space="preserve">1. Facultad y Escuela</w:t>
            </w:r>
          </w:p>
        </w:tc>
        <w:tc>
          <w:tcPr/>
          <w:p>
            <w:pPr>
              <w:pStyle w:val="Compact"/>
              <w:jc w:val="left"/>
            </w:pPr>
            <w:r>
              <w:t xml:space="preserve">Facultad de Ingeniería – Escuela</w:t>
            </w:r>
            <w:r>
              <w:t xml:space="preserve"> </w:t>
            </w:r>
            <w:r>
              <w:t xml:space="preserve">de Ingeniería de Sistemas y</w:t>
            </w:r>
            <w:r>
              <w:t xml:space="preserve"> </w:t>
            </w:r>
            <w:r>
              <w:t xml:space="preserve">Computación</w:t>
            </w:r>
          </w:p>
        </w:tc>
      </w:tr>
      <w:tr>
        <w:tc>
          <w:tcPr/>
          <w:p>
            <w:pPr>
              <w:pStyle w:val="Compact"/>
              <w:jc w:val="left"/>
            </w:pPr>
            <w:r>
              <w:t xml:space="preserve">2. Título del informe de tesis</w:t>
            </w:r>
          </w:p>
        </w:tc>
        <w:tc>
          <w:tcPr/>
          <w:p>
            <w:pPr>
              <w:pStyle w:val="Compact"/>
              <w:jc w:val="left"/>
            </w:pPr>
            <w:r>
              <w:t xml:space="preserve">Tutor con IA generativa en la</w:t>
            </w:r>
            <w:r>
              <w:t xml:space="preserve"> </w:t>
            </w:r>
            <w:r>
              <w:t xml:space="preserve">asignatura aplicaciones móviles</w:t>
            </w:r>
            <w:r>
              <w:t xml:space="preserve"> </w:t>
            </w:r>
            <w:r>
              <w:t xml:space="preserve">para mejorar el rendimiento</w:t>
            </w:r>
            <w:r>
              <w:t xml:space="preserve"> </w:t>
            </w:r>
            <w:r>
              <w:t xml:space="preserve">académico de estudiantes del IESTP</w:t>
            </w:r>
            <w:r>
              <w:t xml:space="preserve"> </w:t>
            </w:r>
            <w:r>
              <w:t xml:space="preserve">“RFA”</w:t>
            </w:r>
            <w:r>
              <w:t xml:space="preserve">, Chiclayo</w:t>
            </w:r>
          </w:p>
        </w:tc>
      </w:tr>
      <w:tr>
        <w:tc>
          <w:tcPr/>
          <w:p>
            <w:pPr>
              <w:pStyle w:val="Compact"/>
              <w:jc w:val="left"/>
            </w:pPr>
            <w:r>
              <w:t xml:space="preserve">3. Autor y firma</w:t>
            </w:r>
          </w:p>
        </w:tc>
        <w:tc>
          <w:tcPr/>
          <w:p>
            <w:pPr>
              <w:pStyle w:val="Compact"/>
              <w:jc w:val="left"/>
            </w:pPr>
            <w:r>
              <w:t xml:space="preserve">Zavaleta Marcelo, Roger Alessandro</w:t>
            </w:r>
            <w:r>
              <w:t xml:space="preserve"> </w:t>
            </w:r>
            <w:r>
              <w:t xml:space="preserve">— DNI 70469567</w:t>
            </w:r>
          </w:p>
        </w:tc>
      </w:tr>
      <w:tr>
        <w:tc>
          <w:tcPr/>
          <w:p>
            <w:pPr>
              <w:pStyle w:val="Compact"/>
              <w:jc w:val="left"/>
            </w:pPr>
            <w:r>
              <w:t xml:space="preserve">4. Asesora y firma</w:t>
            </w:r>
          </w:p>
        </w:tc>
        <w:tc>
          <w:tcPr/>
          <w:p>
            <w:pPr>
              <w:pStyle w:val="Compact"/>
              <w:jc w:val="left"/>
            </w:pPr>
            <w:r>
              <w:t xml:space="preserve">Mg. Reyes Burgos, Karla — ORCID</w:t>
            </w:r>
            <w:r>
              <w:t xml:space="preserve"> </w:t>
            </w:r>
            <w:r>
              <w:t xml:space="preserve">0000-0002-9650-4427</w:t>
            </w:r>
          </w:p>
        </w:tc>
      </w:tr>
      <w:tr>
        <w:tc>
          <w:tcPr/>
          <w:p>
            <w:pPr>
              <w:pStyle w:val="Compact"/>
              <w:jc w:val="left"/>
            </w:pPr>
            <w:r>
              <w:t xml:space="preserve">5. Línea y área de la</w:t>
            </w:r>
            <w:r>
              <w:t xml:space="preserve"> </w:t>
            </w:r>
            <w:r>
              <w:t xml:space="preserve">investigación</w:t>
            </w:r>
          </w:p>
        </w:tc>
        <w:tc>
          <w:tcPr/>
          <w:p>
            <w:pPr>
              <w:pStyle w:val="Compact"/>
              <w:jc w:val="left"/>
            </w:pPr>
            <w:r>
              <w:t xml:space="preserve">Desarrollo e innovación tecnológica</w:t>
            </w:r>
            <w:r>
              <w:t xml:space="preserve"> </w:t>
            </w:r>
            <w:r>
              <w:t xml:space="preserve">– Inteligencia artificial</w:t>
            </w:r>
          </w:p>
        </w:tc>
      </w:tr>
      <w:tr>
        <w:tc>
          <w:tcPr/>
          <w:p>
            <w:pPr>
              <w:pStyle w:val="Compact"/>
              <w:jc w:val="left"/>
            </w:pPr>
            <w:r>
              <w:t xml:space="preserve">6. Fecha de presentación</w:t>
            </w:r>
          </w:p>
        </w:tc>
        <w:tc>
          <w:tcPr/>
          <w:p>
            <w:pPr>
              <w:pStyle w:val="Compact"/>
              <w:jc w:val="left"/>
            </w:pPr>
            <w:r>
              <w:t xml:space="preserve">21 de junio de 2026</w:t>
            </w:r>
          </w:p>
        </w:tc>
      </w:tr>
    </w:tbl>
    <w:bookmarkEnd w:id="9"/>
    <w:bookmarkStart w:id="10" w:name="índice"/>
    <w:p>
      <w:pPr>
        <w:pStyle w:val="Heading1"/>
      </w:pPr>
      <w:r>
        <w:t xml:space="preserve">ÍNDICE</w:t>
      </w:r>
    </w:p>
    <w:bookmarkEnd w:id="10"/>
    <w:bookmarkStart w:id="34" w:name="i.-resultados"/>
    <w:p>
      <w:pPr>
        <w:pStyle w:val="Heading1"/>
      </w:pPr>
      <w:r>
        <w:t xml:space="preserve">I. RESULTADOS</w:t>
      </w:r>
    </w:p>
    <w:p>
      <w:pPr>
        <w:pStyle w:val="FirstParagraph"/>
      </w:pPr>
      <w:r>
        <w:t xml:space="preserve">Los resultados se presentan exponiendo los hallazgos y productos del</w:t>
      </w:r>
      <w:r>
        <w:t xml:space="preserve"> </w:t>
      </w:r>
      <w:r>
        <w:t xml:space="preserve">desarrollo del tutor con IA generativa para la asignatura Aplicaciones</w:t>
      </w:r>
      <w:r>
        <w:t xml:space="preserve"> </w:t>
      </w:r>
      <w:r>
        <w:t xml:space="preserve">Móviles del IESTP</w:t>
      </w:r>
      <w:r>
        <w:t xml:space="preserve"> </w:t>
      </w:r>
      <w:r>
        <w:t xml:space="preserve">“República Federal de Alemania”</w:t>
      </w:r>
      <w:r>
        <w:t xml:space="preserve"> </w:t>
      </w:r>
      <w:r>
        <w:t xml:space="preserve">(RFA), estructurado</w:t>
      </w:r>
      <w:r>
        <w:t xml:space="preserve"> </w:t>
      </w:r>
      <w:r>
        <w:t xml:space="preserve">con la metodología ágil SCRUM como marco principal de gestión,</w:t>
      </w:r>
      <w:r>
        <w:t xml:space="preserve"> </w:t>
      </w:r>
      <w:r>
        <w:t xml:space="preserve">complementada con CRISP-DM exclusivamente para las fases asociadas al</w:t>
      </w:r>
      <w:r>
        <w:t xml:space="preserve"> </w:t>
      </w:r>
      <w:r>
        <w:t xml:space="preserve">componente de aprendizaje de máquina del pipeline de Recuperación</w:t>
      </w:r>
      <w:r>
        <w:t xml:space="preserve"> </w:t>
      </w:r>
      <w:r>
        <w:t xml:space="preserve">Aumentada por Generación (RAG). El proyecto se organiza en doce sprints</w:t>
      </w:r>
      <w:r>
        <w:t xml:space="preserve"> </w:t>
      </w:r>
      <w:r>
        <w:t xml:space="preserve">distribuidos en seis iteraciones del modelo CRISP-DM. La presentación se</w:t>
      </w:r>
      <w:r>
        <w:t xml:space="preserve"> </w:t>
      </w:r>
      <w:r>
        <w:t xml:space="preserve">ordena en dos planos complementarios: el plano metodológico (apartado</w:t>
      </w:r>
      <w:r>
        <w:t xml:space="preserve"> </w:t>
      </w:r>
      <w:r>
        <w:t xml:space="preserve">1.1), que recorre las seis iteraciones del cronograma y los sprints que</w:t>
      </w:r>
      <w:r>
        <w:t xml:space="preserve"> </w:t>
      </w:r>
      <w:r>
        <w:t xml:space="preserve">las componen; y el plano de objetivos (apartado 1.2), que evidencia el</w:t>
      </w:r>
      <w:r>
        <w:t xml:space="preserve"> </w:t>
      </w:r>
      <w:r>
        <w:t xml:space="preserve">cumplimiento de cada uno de los cinco objetivos específicos frente a sus</w:t>
      </w:r>
      <w:r>
        <w:t xml:space="preserve"> </w:t>
      </w:r>
      <w:r>
        <w:t xml:space="preserve">indicadores objetivamente verificables.</w:t>
      </w:r>
    </w:p>
    <w:bookmarkStart w:id="26" w:name="en-base-a-la-metodología-utilizada"/>
    <w:p>
      <w:pPr>
        <w:pStyle w:val="Heading2"/>
      </w:pPr>
      <w:r>
        <w:t xml:space="preserve">1.1. En base a la metodología utilizada</w:t>
      </w:r>
    </w:p>
    <w:p>
      <w:pPr>
        <w:pStyle w:val="FirstParagraph"/>
      </w:pPr>
      <w:r>
        <w:t xml:space="preserve">El sistema se desarrolla empleando SCRUM para la gestión general del</w:t>
      </w:r>
      <w:r>
        <w:t xml:space="preserve"> </w:t>
      </w:r>
      <w:r>
        <w:t xml:space="preserve">proyecto y CRISP-DM como marco que estructura el ciclo de vida del</w:t>
      </w:r>
      <w:r>
        <w:t xml:space="preserve"> </w:t>
      </w:r>
      <w:r>
        <w:t xml:space="preserve">componente de aprendizaje de máquina del pipeline RAG. Los doce sprints</w:t>
      </w:r>
      <w:r>
        <w:t xml:space="preserve"> </w:t>
      </w:r>
      <w:r>
        <w:t xml:space="preserve">se distribuyen en seis iteraciones CRISP-DM: Iteración #1 Comprensión</w:t>
      </w:r>
      <w:r>
        <w:t xml:space="preserve"> </w:t>
      </w:r>
      <w:r>
        <w:t xml:space="preserve">del negocio (Sprint 1); Iteración #2 Comprensión de los datos (Sprint</w:t>
      </w:r>
      <w:r>
        <w:t xml:space="preserve"> </w:t>
      </w:r>
      <w:r>
        <w:t xml:space="preserve">2); Iteración #3 Preparación de los datos y modelado (Sprints 3–6);</w:t>
      </w:r>
      <w:r>
        <w:t xml:space="preserve"> </w:t>
      </w:r>
      <w:r>
        <w:t xml:space="preserve">Iteración #4 Evaluación (Sprint 7); Iteración #5 Despliegue (Sprints</w:t>
      </w:r>
      <w:r>
        <w:t xml:space="preserve"> </w:t>
      </w:r>
      <w:r>
        <w:t xml:space="preserve">8–10); e Iteración #6 Validación con usuarios y pilotaje (Sprints</w:t>
      </w:r>
      <w:r>
        <w:t xml:space="preserve"> </w:t>
      </w:r>
      <w:r>
        <w:t xml:space="preserve">11–12). SCRUM permite entregas funcionales incrementales y la revisión</w:t>
      </w:r>
      <w:r>
        <w:t xml:space="preserve"> </w:t>
      </w:r>
      <w:r>
        <w:t xml:space="preserve">continua; CRISP-DM aporta el marco que justifica las fases del pipeline</w:t>
      </w:r>
      <w:r>
        <w:t xml:space="preserve"> </w:t>
      </w:r>
      <w:r>
        <w:t xml:space="preserve">RAG y la lógica de validación de los modelos seleccionados (RAGAS) y del</w:t>
      </w:r>
      <w:r>
        <w:t xml:space="preserve"> </w:t>
      </w:r>
      <w:r>
        <w:t xml:space="preserve">sistema integrado (ISO/IEC 25010:2023 y diseño preexperimental con</w:t>
      </w:r>
      <w:r>
        <w:t xml:space="preserve"> </w:t>
      </w:r>
      <w:r>
        <w:t xml:space="preserve">pretest/postest).</w:t>
      </w:r>
    </w:p>
    <w:bookmarkStart w:id="11" w:name="X134b80aacdd0886f8a847deb208cc941b2aa94d"/>
    <w:p>
      <w:pPr>
        <w:pStyle w:val="Heading3"/>
      </w:pPr>
      <w:r>
        <w:t xml:space="preserve">1.1.1. Iteración #1: Comprensión del negocio (Sprint 1)</w:t>
      </w:r>
    </w:p>
    <w:p>
      <w:pPr>
        <w:pStyle w:val="FirstParagraph"/>
      </w:pPr>
      <w:r>
        <w:t xml:space="preserve">La Iteración #1 (Sprint 1, 23 – 29 de marzo de 2026) estableció la base</w:t>
      </w:r>
      <w:r>
        <w:t xml:space="preserve"> </w:t>
      </w:r>
      <w:r>
        <w:t xml:space="preserve">documental y técnica del proyecto. Se formalizó la Especificación de</w:t>
      </w:r>
      <w:r>
        <w:t xml:space="preserve"> </w:t>
      </w:r>
      <w:r>
        <w:t xml:space="preserve">Requisitos del Software (ERS), se analizó el contexto educativo del</w:t>
      </w:r>
      <w:r>
        <w:t xml:space="preserve"> </w:t>
      </w:r>
      <w:r>
        <w:t xml:space="preserve">IESTP</w:t>
      </w:r>
      <w:r>
        <w:t xml:space="preserve"> </w:t>
      </w:r>
      <w:r>
        <w:t xml:space="preserve">“RFA”</w:t>
      </w:r>
      <w:r>
        <w:t xml:space="preserve">, se diseñó la arquitectura de microservicios</w:t>
      </w:r>
      <w:r>
        <w:t xml:space="preserve"> </w:t>
      </w:r>
      <w:r>
        <w:t xml:space="preserve">contenedorizados y se construyeron los dos primeros modelos del Sistema</w:t>
      </w:r>
      <w:r>
        <w:t xml:space="preserve"> </w:t>
      </w:r>
      <w:r>
        <w:t xml:space="preserve">de Tutoría Inteligente (dominio y pedagógico), insumo para la selección</w:t>
      </w:r>
      <w:r>
        <w:t xml:space="preserve"> </w:t>
      </w:r>
      <w:r>
        <w:t xml:space="preserve">de modelos del OE1 y para la operacionalización del corpus instruccional</w:t>
      </w:r>
      <w:r>
        <w:t xml:space="preserve"> </w:t>
      </w:r>
      <w:r>
        <w:t xml:space="preserve">de OE3 y OE4.</w:t>
      </w:r>
    </w:p>
    <w:p>
      <w:pPr>
        <w:pStyle w:val="BodyText"/>
      </w:pPr>
      <w:r>
        <w:rPr>
          <w:b/>
          <w:bCs/>
        </w:rPr>
        <w:t xml:space="preserve">Actividades y técnicas</w:t>
      </w:r>
    </w:p>
    <w:p>
      <w:pPr>
        <w:numPr>
          <w:ilvl w:val="0"/>
          <w:numId w:val="1001"/>
        </w:numPr>
      </w:pPr>
      <w:r>
        <w:t xml:space="preserve">Configuración del entorno de desarrollo: inicialización del</w:t>
      </w:r>
      <w:r>
        <w:t xml:space="preserve"> </w:t>
      </w:r>
      <w:r>
        <w:t xml:space="preserve">repositorio Git, Docker Desktop, Python 3.11 y Node.js 20.</w:t>
      </w:r>
    </w:p>
    <w:p>
      <w:pPr>
        <w:numPr>
          <w:ilvl w:val="0"/>
          <w:numId w:val="1001"/>
        </w:numPr>
      </w:pPr>
      <w:r>
        <w:t xml:space="preserve">Redacción de la ERS con 52 requisitos (33 RF priorizados y 19 RNF) en</w:t>
      </w:r>
      <w:r>
        <w:t xml:space="preserve"> </w:t>
      </w:r>
      <w:r>
        <w:t xml:space="preserve">8 módulos del sistema, alineados con ISO/IEC 25010:2023 y trazables a</w:t>
      </w:r>
      <w:r>
        <w:t xml:space="preserve"> </w:t>
      </w:r>
      <w:r>
        <w:t xml:space="preserve">los objetivos específicos OE1–OE5.</w:t>
      </w:r>
    </w:p>
    <w:p>
      <w:pPr>
        <w:numPr>
          <w:ilvl w:val="0"/>
          <w:numId w:val="1001"/>
        </w:numPr>
      </w:pPr>
      <w:r>
        <w:t xml:space="preserve">Diseño de la arquitectura de microservicios bajo notación C4 (niveles</w:t>
      </w:r>
      <w:r>
        <w:t xml:space="preserve"> </w:t>
      </w:r>
      <w:r>
        <w:t xml:space="preserve">1, 2 y 3): backend FastAPI, motor Ollama (LLM), PostgreSQL con</w:t>
      </w:r>
      <w:r>
        <w:t xml:space="preserve"> </w:t>
      </w:r>
      <w:r>
        <w:t xml:space="preserve">extensión pgvector, caché Redis y reverse proxy Caddy con TLS,</w:t>
      </w:r>
      <w:r>
        <w:t xml:space="preserve"> </w:t>
      </w:r>
      <w:r>
        <w:t xml:space="preserve">orquestados con Docker Compose.</w:t>
      </w:r>
    </w:p>
    <w:p>
      <w:pPr>
        <w:numPr>
          <w:ilvl w:val="0"/>
          <w:numId w:val="1001"/>
        </w:numPr>
      </w:pPr>
      <w:r>
        <w:t xml:space="preserve">Definición del esquema relacional y vectorial: modelos SQLAlchemy 2.x</w:t>
      </w:r>
      <w:r>
        <w:t xml:space="preserve"> </w:t>
      </w:r>
      <w:r>
        <w:t xml:space="preserve">asíncronos para users, modules, lessons, exercises, progress,</w:t>
      </w:r>
      <w:r>
        <w:t xml:space="preserve"> </w:t>
      </w:r>
      <w:r>
        <w:t xml:space="preserve">chat_sessions y document_chunks.</w:t>
      </w:r>
    </w:p>
    <w:p>
      <w:pPr>
        <w:numPr>
          <w:ilvl w:val="0"/>
          <w:numId w:val="1001"/>
        </w:numPr>
      </w:pPr>
      <w:r>
        <w:t xml:space="preserve">Construcción del modelo de dominio: estructura jerárquica en tres</w:t>
      </w:r>
      <w:r>
        <w:t xml:space="preserve"> </w:t>
      </w:r>
      <w:r>
        <w:t xml:space="preserve">niveles (módulo, tema y subtema) que cubre el 100 % del sílabo oficial</w:t>
      </w:r>
      <w:r>
        <w:t xml:space="preserve"> </w:t>
      </w:r>
      <w:r>
        <w:t xml:space="preserve">2026-I, con relaciones explícitas de prerrequisito entre nodos.</w:t>
      </w:r>
    </w:p>
    <w:p>
      <w:pPr>
        <w:numPr>
          <w:ilvl w:val="0"/>
          <w:numId w:val="1001"/>
        </w:numPr>
      </w:pPr>
      <w:r>
        <w:t xml:space="preserve">Formalización del modelo pedagógico: tres estrategias de tutoría</w:t>
      </w:r>
      <w:r>
        <w:t xml:space="preserve"> </w:t>
      </w:r>
      <w:r>
        <w:t xml:space="preserve">diferenciadas (pistas graduales, ejemplos resueltos y</w:t>
      </w:r>
      <w:r>
        <w:t xml:space="preserve"> </w:t>
      </w:r>
      <w:r>
        <w:t xml:space="preserve">retroalimentación inmediata o diferida) con criterios de adaptación</w:t>
      </w:r>
      <w:r>
        <w:t xml:space="preserve"> </w:t>
      </w:r>
      <w:r>
        <w:t xml:space="preserve">por nivel del estudiante.</w:t>
      </w:r>
    </w:p>
    <w:p>
      <w:pPr>
        <w:pStyle w:val="FirstParagraph"/>
      </w:pPr>
      <w:r>
        <w:rPr>
          <w:i/>
          <w:iCs/>
        </w:rPr>
        <w:t xml:space="preserve">Evidencia 1: distribución de requisitos por categoría y prioridad (ERS</w:t>
      </w:r>
      <w:r>
        <w:rPr>
          <w:i/>
          <w:iCs/>
        </w:rPr>
        <w:t xml:space="preserve"> </w:t>
      </w:r>
      <w:r>
        <w:rPr>
          <w:i/>
          <w:iCs/>
        </w:rPr>
        <w:t xml:space="preserve">v1.0)</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left"/>
            </w:pPr>
            <w:r>
              <w:rPr>
                <w:b/>
                <w:bCs/>
              </w:rPr>
              <w:t xml:space="preserve">Categoría</w:t>
            </w:r>
          </w:p>
        </w:tc>
        <w:tc>
          <w:tcPr/>
          <w:p>
            <w:pPr>
              <w:pStyle w:val="Compact"/>
              <w:jc w:val="left"/>
            </w:pPr>
            <w:r>
              <w:rPr>
                <w:b/>
                <w:bCs/>
              </w:rPr>
              <w:t xml:space="preserve">Total</w:t>
            </w:r>
          </w:p>
        </w:tc>
        <w:tc>
          <w:tcPr/>
          <w:p>
            <w:pPr>
              <w:pStyle w:val="Compact"/>
              <w:jc w:val="left"/>
            </w:pPr>
            <w:r>
              <w:rPr>
                <w:b/>
                <w:bCs/>
              </w:rPr>
              <w:t xml:space="preserve">Prioridad</w:t>
            </w:r>
            <w:r>
              <w:rPr>
                <w:b/>
                <w:bCs/>
              </w:rPr>
              <w:t xml:space="preserve"> </w:t>
            </w:r>
            <w:r>
              <w:rPr>
                <w:b/>
                <w:bCs/>
              </w:rPr>
              <w:t xml:space="preserve">alta</w:t>
            </w:r>
          </w:p>
        </w:tc>
        <w:tc>
          <w:tcPr/>
          <w:p>
            <w:pPr>
              <w:pStyle w:val="Compact"/>
              <w:jc w:val="left"/>
            </w:pPr>
            <w:r>
              <w:rPr>
                <w:b/>
                <w:bCs/>
              </w:rPr>
              <w:t xml:space="preserve">Prioridad</w:t>
            </w:r>
            <w:r>
              <w:rPr>
                <w:b/>
                <w:bCs/>
              </w:rPr>
              <w:t xml:space="preserve"> </w:t>
            </w:r>
            <w:r>
              <w:rPr>
                <w:b/>
                <w:bCs/>
              </w:rPr>
              <w:t xml:space="preserve">media</w:t>
            </w:r>
          </w:p>
        </w:tc>
        <w:tc>
          <w:tcPr/>
          <w:p>
            <w:pPr>
              <w:pStyle w:val="Compact"/>
              <w:jc w:val="left"/>
            </w:pPr>
            <w:r>
              <w:rPr>
                <w:b/>
                <w:bCs/>
              </w:rPr>
              <w:t xml:space="preserve">Prioridad</w:t>
            </w:r>
            <w:r>
              <w:rPr>
                <w:b/>
                <w:bCs/>
              </w:rPr>
              <w:t xml:space="preserve"> </w:t>
            </w:r>
            <w:r>
              <w:rPr>
                <w:b/>
                <w:bCs/>
              </w:rPr>
              <w:t xml:space="preserve">baja</w:t>
            </w:r>
          </w:p>
        </w:tc>
      </w:tr>
      <w:tr>
        <w:tc>
          <w:tcPr/>
          <w:p>
            <w:pPr>
              <w:pStyle w:val="Compact"/>
              <w:jc w:val="left"/>
            </w:pPr>
            <w:r>
              <w:t xml:space="preserve">Requisitos</w:t>
            </w:r>
            <w:r>
              <w:t xml:space="preserve"> </w:t>
            </w:r>
            <w:r>
              <w:t xml:space="preserve">Funcionales</w:t>
            </w:r>
            <w:r>
              <w:t xml:space="preserve"> </w:t>
            </w:r>
            <w:r>
              <w:t xml:space="preserve">(RF)</w:t>
            </w:r>
          </w:p>
        </w:tc>
        <w:tc>
          <w:tcPr/>
          <w:p>
            <w:pPr>
              <w:pStyle w:val="Compact"/>
              <w:jc w:val="left"/>
            </w:pPr>
            <w:r>
              <w:t xml:space="preserve">33</w:t>
            </w:r>
          </w:p>
        </w:tc>
        <w:tc>
          <w:tcPr/>
          <w:p>
            <w:pPr>
              <w:pStyle w:val="Compact"/>
              <w:jc w:val="left"/>
            </w:pPr>
            <w:r>
              <w:t xml:space="preserve">22</w:t>
            </w:r>
          </w:p>
        </w:tc>
        <w:tc>
          <w:tcPr/>
          <w:p>
            <w:pPr>
              <w:pStyle w:val="Compact"/>
              <w:jc w:val="left"/>
            </w:pPr>
            <w:r>
              <w:t xml:space="preserve">10</w:t>
            </w:r>
          </w:p>
        </w:tc>
        <w:tc>
          <w:tcPr/>
          <w:p>
            <w:pPr>
              <w:pStyle w:val="Compact"/>
              <w:jc w:val="left"/>
            </w:pPr>
            <w:r>
              <w:t xml:space="preserve">1</w:t>
            </w:r>
          </w:p>
        </w:tc>
      </w:tr>
      <w:tr>
        <w:tc>
          <w:tcPr/>
          <w:p>
            <w:pPr>
              <w:pStyle w:val="Compact"/>
              <w:jc w:val="left"/>
            </w:pPr>
            <w:r>
              <w:t xml:space="preserve">Requisitos No</w:t>
            </w:r>
            <w:r>
              <w:t xml:space="preserve"> </w:t>
            </w:r>
            <w:r>
              <w:t xml:space="preserve">Funcionales</w:t>
            </w:r>
            <w:r>
              <w:t xml:space="preserve"> </w:t>
            </w:r>
            <w:r>
              <w:t xml:space="preserve">(RNF)</w:t>
            </w:r>
          </w:p>
        </w:tc>
        <w:tc>
          <w:tcPr/>
          <w:p>
            <w:pPr>
              <w:pStyle w:val="Compact"/>
              <w:jc w:val="left"/>
            </w:pPr>
            <w:r>
              <w:t xml:space="preserve">19</w:t>
            </w:r>
          </w:p>
        </w:tc>
        <w:tc>
          <w:tcPr/>
          <w:p>
            <w:pPr>
              <w:pStyle w:val="Compact"/>
              <w:jc w:val="left"/>
            </w:pPr>
            <w:r>
              <w:t xml:space="preserve">13</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TOTAL</w:t>
            </w:r>
          </w:p>
        </w:tc>
        <w:tc>
          <w:tcPr/>
          <w:p>
            <w:pPr>
              <w:pStyle w:val="Compact"/>
              <w:jc w:val="left"/>
            </w:pPr>
            <w:r>
              <w:t xml:space="preserve">52</w:t>
            </w:r>
          </w:p>
        </w:tc>
        <w:tc>
          <w:tcPr/>
          <w:p>
            <w:pPr>
              <w:pStyle w:val="Compact"/>
              <w:jc w:val="left"/>
            </w:pPr>
            <w:r>
              <w:t xml:space="preserve">35</w:t>
            </w:r>
          </w:p>
        </w:tc>
        <w:tc>
          <w:tcPr/>
          <w:p>
            <w:pPr>
              <w:pStyle w:val="Compact"/>
              <w:jc w:val="left"/>
            </w:pPr>
            <w:r>
              <w:t xml:space="preserve">16</w:t>
            </w:r>
          </w:p>
        </w:tc>
        <w:tc>
          <w:tcPr/>
          <w:p>
            <w:pPr>
              <w:pStyle w:val="Compact"/>
              <w:jc w:val="left"/>
            </w:pPr>
            <w:r>
              <w:t xml:space="preserve">1</w:t>
            </w:r>
          </w:p>
        </w:tc>
      </w:tr>
    </w:tbl>
    <w:p>
      <w:pPr>
        <w:pStyle w:val="BodyText"/>
      </w:pPr>
      <w:r>
        <w:rPr>
          <w:i/>
          <w:iCs/>
        </w:rPr>
        <w:t xml:space="preserve">Tabla 1. Síntesis de requisitos especificados en la ERS v1.0.</w:t>
      </w:r>
    </w:p>
    <w:p>
      <w:pPr>
        <w:pStyle w:val="BodyText"/>
      </w:pPr>
      <w:r>
        <w:rPr>
          <w:i/>
          <w:iCs/>
        </w:rPr>
        <w:t xml:space="preserve">Evidencia 2: trazabilidad ERS → objetivos específicos (matriz V.2.1)</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Objetivo específico</w:t>
            </w:r>
            <w:r>
              <w:rPr>
                <w:b/>
                <w:bCs/>
              </w:rPr>
              <w:t xml:space="preserve"> </w:t>
            </w:r>
            <w:r>
              <w:rPr>
                <w:b/>
                <w:bCs/>
              </w:rPr>
              <w:t xml:space="preserve">(V.2.1)</w:t>
            </w:r>
          </w:p>
        </w:tc>
        <w:tc>
          <w:tcPr/>
          <w:p>
            <w:pPr>
              <w:pStyle w:val="Compact"/>
              <w:jc w:val="left"/>
            </w:pPr>
            <w:r>
              <w:rPr>
                <w:b/>
                <w:bCs/>
              </w:rPr>
              <w:t xml:space="preserve">RF asociados</w:t>
            </w:r>
          </w:p>
        </w:tc>
        <w:tc>
          <w:tcPr/>
          <w:p>
            <w:pPr>
              <w:pStyle w:val="Compact"/>
              <w:jc w:val="left"/>
            </w:pPr>
            <w:r>
              <w:rPr>
                <w:b/>
                <w:bCs/>
              </w:rPr>
              <w:t xml:space="preserve">RNF asociados</w:t>
            </w:r>
          </w:p>
        </w:tc>
      </w:tr>
      <w:tr>
        <w:tc>
          <w:tcPr/>
          <w:p>
            <w:pPr>
              <w:pStyle w:val="Compact"/>
              <w:jc w:val="left"/>
            </w:pPr>
            <w:r>
              <w:t xml:space="preserve">OE1: Selección de LLM y</w:t>
            </w:r>
            <w:r>
              <w:t xml:space="preserve"> </w:t>
            </w:r>
            <w:r>
              <w:t xml:space="preserve">de embeddings</w:t>
            </w:r>
          </w:p>
        </w:tc>
        <w:tc>
          <w:tcPr/>
          <w:p>
            <w:pPr>
              <w:pStyle w:val="Compact"/>
              <w:jc w:val="left"/>
            </w:pPr>
            <w:r>
              <w:t xml:space="preserve">Estudio comparativo</w:t>
            </w:r>
            <w:r>
              <w:t xml:space="preserve"> </w:t>
            </w:r>
            <w:r>
              <w:t xml:space="preserve">externo al software</w:t>
            </w:r>
          </w:p>
        </w:tc>
        <w:tc>
          <w:tcPr/>
          <w:p>
            <w:pPr>
              <w:pStyle w:val="Compact"/>
              <w:jc w:val="left"/>
            </w:pPr>
            <w:r>
              <w:t xml:space="preserve">RNF-02.3, RNF-03.6,</w:t>
            </w:r>
            <w:r>
              <w:t xml:space="preserve"> </w:t>
            </w:r>
            <w:r>
              <w:t xml:space="preserve">RNF-07.2</w:t>
            </w:r>
          </w:p>
        </w:tc>
      </w:tr>
      <w:tr>
        <w:tc>
          <w:tcPr/>
          <w:p>
            <w:pPr>
              <w:pStyle w:val="Compact"/>
              <w:jc w:val="left"/>
            </w:pPr>
            <w:r>
              <w:t xml:space="preserve">OE2: Validación RAGAS</w:t>
            </w:r>
            <w:r>
              <w:t xml:space="preserve"> </w:t>
            </w:r>
            <w:r>
              <w:t xml:space="preserve">del pipeline RAG</w:t>
            </w:r>
          </w:p>
        </w:tc>
        <w:tc>
          <w:tcPr/>
          <w:p>
            <w:pPr>
              <w:pStyle w:val="Compact"/>
              <w:jc w:val="left"/>
            </w:pPr>
            <w:r>
              <w:t xml:space="preserve">RF-19, RF-20, RF-21,</w:t>
            </w:r>
            <w:r>
              <w:t xml:space="preserve"> </w:t>
            </w:r>
            <w:r>
              <w:t xml:space="preserve">RF-22</w:t>
            </w:r>
          </w:p>
        </w:tc>
        <w:tc>
          <w:tcPr/>
          <w:p>
            <w:pPr>
              <w:pStyle w:val="Compact"/>
              <w:jc w:val="left"/>
            </w:pPr>
            <w:r>
              <w:t xml:space="preserve">RNF-02.3, RNF-02.5</w:t>
            </w:r>
          </w:p>
        </w:tc>
      </w:tr>
      <w:tr>
        <w:tc>
          <w:tcPr/>
          <w:p>
            <w:pPr>
              <w:pStyle w:val="Compact"/>
              <w:jc w:val="left"/>
            </w:pPr>
            <w:r>
              <w:t xml:space="preserve">OE3: Despliegue en GCE</w:t>
            </w:r>
            <w:r>
              <w:t xml:space="preserve"> </w:t>
            </w:r>
            <w:r>
              <w:t xml:space="preserve">con trazabilidad</w:t>
            </w:r>
          </w:p>
        </w:tc>
        <w:tc>
          <w:tcPr/>
          <w:p>
            <w:pPr>
              <w:pStyle w:val="Compact"/>
              <w:jc w:val="left"/>
            </w:pPr>
            <w:r>
              <w:t xml:space="preserve">RF-07 a RF-29, RF-33</w:t>
            </w:r>
          </w:p>
        </w:tc>
        <w:tc>
          <w:tcPr/>
          <w:p>
            <w:pPr>
              <w:pStyle w:val="Compact"/>
              <w:jc w:val="left"/>
            </w:pPr>
            <w:r>
              <w:t xml:space="preserve">RNF-01, RNF-02, RNF-05,</w:t>
            </w:r>
            <w:r>
              <w:t xml:space="preserve"> </w:t>
            </w:r>
            <w:r>
              <w:t xml:space="preserve">RNF-06</w:t>
            </w:r>
          </w:p>
        </w:tc>
      </w:tr>
      <w:tr>
        <w:tc>
          <w:tcPr/>
          <w:p>
            <w:pPr>
              <w:pStyle w:val="Compact"/>
              <w:jc w:val="left"/>
            </w:pPr>
            <w:r>
              <w:t xml:space="preserve">OE4: Mejora del</w:t>
            </w:r>
            <w:r>
              <w:t xml:space="preserve"> </w:t>
            </w:r>
            <w:r>
              <w:t xml:space="preserve">rendimiento</w:t>
            </w:r>
            <w:r>
              <w:t xml:space="preserve"> </w:t>
            </w:r>
            <w:r>
              <w:t xml:space="preserve">(pretest/postest)</w:t>
            </w:r>
          </w:p>
        </w:tc>
        <w:tc>
          <w:tcPr/>
          <w:p>
            <w:pPr>
              <w:pStyle w:val="Compact"/>
              <w:jc w:val="left"/>
            </w:pPr>
            <w:r>
              <w:t xml:space="preserve">Instrumento externo al</w:t>
            </w:r>
            <w:r>
              <w:t xml:space="preserve"> </w:t>
            </w:r>
            <w:r>
              <w:t xml:space="preserve">software</w:t>
            </w:r>
          </w:p>
        </w:tc>
        <w:tc>
          <w:tcPr/>
          <w:p>
            <w:pPr>
              <w:pStyle w:val="Compact"/>
              <w:jc w:val="left"/>
            </w:pPr>
            <w:r>
              <w:t xml:space="preserve">—</w:t>
            </w:r>
          </w:p>
        </w:tc>
      </w:tr>
      <w:tr>
        <w:tc>
          <w:tcPr/>
          <w:p>
            <w:pPr>
              <w:pStyle w:val="Compact"/>
              <w:jc w:val="left"/>
            </w:pPr>
            <w:r>
              <w:t xml:space="preserve">OE5: Adecuación</w:t>
            </w:r>
            <w:r>
              <w:t xml:space="preserve"> </w:t>
            </w:r>
            <w:r>
              <w:t xml:space="preserve">funcional ISO/IEC 25010</w:t>
            </w:r>
          </w:p>
        </w:tc>
        <w:tc>
          <w:tcPr/>
          <w:p>
            <w:pPr>
              <w:pStyle w:val="Compact"/>
              <w:jc w:val="left"/>
            </w:pPr>
            <w:r>
              <w:t xml:space="preserve">RF-18, RF-25, RF-27,</w:t>
            </w:r>
            <w:r>
              <w:t xml:space="preserve"> </w:t>
            </w:r>
            <w:r>
              <w:t xml:space="preserve">RF-29, RF-32</w:t>
            </w:r>
          </w:p>
        </w:tc>
        <w:tc>
          <w:tcPr/>
          <w:p>
            <w:pPr>
              <w:pStyle w:val="Compact"/>
              <w:jc w:val="left"/>
            </w:pPr>
            <w:r>
              <w:t xml:space="preserve">RNF-01, RNF-02, RNF-03,</w:t>
            </w:r>
            <w:r>
              <w:t xml:space="preserve"> </w:t>
            </w:r>
            <w:r>
              <w:t xml:space="preserve">RNF-04</w:t>
            </w:r>
          </w:p>
        </w:tc>
      </w:tr>
    </w:tbl>
    <w:p>
      <w:pPr>
        <w:pStyle w:val="BodyText"/>
      </w:pPr>
      <w:r>
        <w:rPr>
          <w:i/>
          <w:iCs/>
        </w:rPr>
        <w:t xml:space="preserve">Tabla 2. Trazabilidad de requisitos a los cinco objetivos específicos</w:t>
      </w:r>
      <w:r>
        <w:rPr>
          <w:i/>
          <w:iCs/>
        </w:rPr>
        <w:t xml:space="preserve"> </w:t>
      </w:r>
      <w:r>
        <w:rPr>
          <w:i/>
          <w:iCs/>
        </w:rPr>
        <w:t xml:space="preserve">vigentes (matriz V.2.1).</w:t>
      </w:r>
    </w:p>
    <w:p>
      <w:pPr>
        <w:pStyle w:val="BodyText"/>
      </w:pPr>
      <w:r>
        <w:rPr>
          <w:b/>
          <w:bCs/>
        </w:rPr>
        <w:t xml:space="preserve">Herramientas</w:t>
      </w:r>
    </w:p>
    <w:p>
      <w:pPr>
        <w:pStyle w:val="BodyText"/>
      </w:pPr>
      <w:r>
        <w:t xml:space="preserve">Docker 24.0 + Docker Compose 2.20 (orquestación), PostgreSQL 16 +</w:t>
      </w:r>
      <w:r>
        <w:t xml:space="preserve"> </w:t>
      </w:r>
      <w:r>
        <w:t xml:space="preserve">pgvector (base relacional y vectorial), SQLAlchemy 2.x async + asyncpg</w:t>
      </w:r>
      <w:r>
        <w:t xml:space="preserve"> </w:t>
      </w:r>
      <w:r>
        <w:t xml:space="preserve">(ORM y driver asíncrono), Alembic (versionado del esquema) y Git</w:t>
      </w:r>
      <w:r>
        <w:t xml:space="preserve"> </w:t>
      </w:r>
      <w:r>
        <w:t xml:space="preserve">(control de versiones).</w:t>
      </w:r>
    </w:p>
    <w:p>
      <w:pPr>
        <w:pStyle w:val="BodyText"/>
      </w:pPr>
      <w:r>
        <w:rPr>
          <w:b/>
          <w:bCs/>
        </w:rPr>
        <w:t xml:space="preserve">Artefactos / entregables</w:t>
      </w:r>
    </w:p>
    <w:p>
      <w:pPr>
        <w:numPr>
          <w:ilvl w:val="0"/>
          <w:numId w:val="1002"/>
        </w:numPr>
      </w:pPr>
      <w:r>
        <w:t xml:space="preserve">Especificación de Requisitos del Software con 52 requisitos.</w:t>
      </w:r>
    </w:p>
    <w:p>
      <w:pPr>
        <w:numPr>
          <w:ilvl w:val="0"/>
          <w:numId w:val="1002"/>
        </w:numPr>
      </w:pPr>
      <w:r>
        <w:t xml:space="preserve">Archivos docker-compose.yml y .env.example con la orquestación inicial</w:t>
      </w:r>
      <w:r>
        <w:t xml:space="preserve"> </w:t>
      </w:r>
      <w:r>
        <w:t xml:space="preserve">del sistema.</w:t>
      </w:r>
    </w:p>
    <w:p>
      <w:pPr>
        <w:numPr>
          <w:ilvl w:val="0"/>
          <w:numId w:val="1002"/>
        </w:numPr>
      </w:pPr>
      <w:r>
        <w:t xml:space="preserve">Modelos ORM iniciales y migración inicial de Alembic</w:t>
      </w:r>
      <w:r>
        <w:t xml:space="preserve"> </w:t>
      </w:r>
      <w:r>
        <w:t xml:space="preserve">(alembic/versions/20260302_01_initial.py).</w:t>
      </w:r>
    </w:p>
    <w:bookmarkEnd w:id="11"/>
    <w:bookmarkStart w:id="12" w:name="X740a4aa4010ac8fdfde303bee2a29d49e397df2"/>
    <w:p>
      <w:pPr>
        <w:pStyle w:val="Heading3"/>
      </w:pPr>
      <w:r>
        <w:t xml:space="preserve">1.1.2. Iteración #2: Comprensión de los datos (Sprint 2)</w:t>
      </w:r>
    </w:p>
    <w:p>
      <w:pPr>
        <w:pStyle w:val="FirstParagraph"/>
      </w:pPr>
      <w:r>
        <w:t xml:space="preserve">La Iteración #2 (Sprint 2, 30 de marzo – 05 de abril de 2026) completó</w:t>
      </w:r>
      <w:r>
        <w:t xml:space="preserve"> </w:t>
      </w:r>
      <w:r>
        <w:t xml:space="preserve">los dos modelos restantes del STI (modelo del estudiante y modelo de</w:t>
      </w:r>
      <w:r>
        <w:t xml:space="preserve"> </w:t>
      </w:r>
      <w:r>
        <w:t xml:space="preserve">interacción) y ejecutó la evaluación comparativa de modelos LLM y de</w:t>
      </w:r>
      <w:r>
        <w:t xml:space="preserve"> </w:t>
      </w:r>
      <w:r>
        <w:t xml:space="preserve">embeddings, cerrando la selección técnica del OE1 (Resultados R1.1 y</w:t>
      </w:r>
      <w:r>
        <w:t xml:space="preserve"> </w:t>
      </w:r>
      <w:r>
        <w:t xml:space="preserve">R1.2).</w:t>
      </w:r>
    </w:p>
    <w:p>
      <w:pPr>
        <w:pStyle w:val="BodyText"/>
      </w:pPr>
      <w:r>
        <w:rPr>
          <w:b/>
          <w:bCs/>
        </w:rPr>
        <w:t xml:space="preserve">Actividades y técnicas</w:t>
      </w:r>
    </w:p>
    <w:p>
      <w:pPr>
        <w:numPr>
          <w:ilvl w:val="0"/>
          <w:numId w:val="1003"/>
        </w:numPr>
      </w:pPr>
      <w:r>
        <w:t xml:space="preserve">Especificación del modelo del estudiante: cinco atributos clave (nivel</w:t>
      </w:r>
      <w:r>
        <w:t xml:space="preserve"> </w:t>
      </w:r>
      <w:r>
        <w:t xml:space="preserve">actual, historial de evaluaciones, módulos completados, logros y</w:t>
      </w:r>
      <w:r>
        <w:t xml:space="preserve"> </w:t>
      </w:r>
      <w:r>
        <w:t xml:space="preserve">preferencias de interacción) con su diagrama entidad-relación.</w:t>
      </w:r>
    </w:p>
    <w:p>
      <w:pPr>
        <w:numPr>
          <w:ilvl w:val="0"/>
          <w:numId w:val="1003"/>
        </w:numPr>
      </w:pPr>
      <w:r>
        <w:t xml:space="preserve">Evaluación comparativa de tres LLM open-source sobre Ollama</w:t>
      </w:r>
      <w:r>
        <w:t xml:space="preserve"> </w:t>
      </w:r>
      <w:r>
        <w:t xml:space="preserve">(qwen2.5:7b-instruct-q4_K_M, llama3:8b-instruct-q4_K_M y</w:t>
      </w:r>
      <w:r>
        <w:t xml:space="preserve"> </w:t>
      </w:r>
      <w:r>
        <w:t xml:space="preserve">mistral:7b-instruct-q4_K_M) sobre un golden set de 50 prompts en</w:t>
      </w:r>
      <w:r>
        <w:t xml:space="preserve"> </w:t>
      </w:r>
      <w:r>
        <w:t xml:space="preserve">español, midiendo calidad con rúbrica Likert 1–5, consumo de memoria</w:t>
      </w:r>
      <w:r>
        <w:t xml:space="preserve"> </w:t>
      </w:r>
      <w:r>
        <w:t xml:space="preserve">y latencia.</w:t>
      </w:r>
    </w:p>
    <w:p>
      <w:pPr>
        <w:numPr>
          <w:ilvl w:val="0"/>
          <w:numId w:val="1003"/>
        </w:numPr>
      </w:pPr>
      <w:r>
        <w:t xml:space="preserve">Evaluación comparativa de dos modelos de embeddings (mxbai-embed-large</w:t>
      </w:r>
      <w:r>
        <w:t xml:space="preserve"> </w:t>
      </w:r>
      <w:r>
        <w:t xml:space="preserve">y nomic-embed-text) para similitud semántica en español sobre 20</w:t>
      </w:r>
      <w:r>
        <w:t xml:space="preserve"> </w:t>
      </w:r>
      <w:r>
        <w:t xml:space="preserve">queries representativas del corpus; mxbai-embed-large resultó superior</w:t>
      </w:r>
      <w:r>
        <w:t xml:space="preserve"> </w:t>
      </w:r>
      <w:r>
        <w:t xml:space="preserve">en precisión de recuperación.</w:t>
      </w:r>
    </w:p>
    <w:p>
      <w:pPr>
        <w:numPr>
          <w:ilvl w:val="0"/>
          <w:numId w:val="1003"/>
        </w:numPr>
      </w:pPr>
      <w:r>
        <w:t xml:space="preserve">Configuración del motor Ollama con qwen2.5:7b-instruct-q4_K_M y</w:t>
      </w:r>
      <w:r>
        <w:t xml:space="preserve"> </w:t>
      </w:r>
      <w:r>
        <w:t xml:space="preserve">definición de un Modelfile personalizado con el system prompt</w:t>
      </w:r>
      <w:r>
        <w:t xml:space="preserve"> </w:t>
      </w:r>
      <w:r>
        <w:t xml:space="preserve">pedagógico del tutor.</w:t>
      </w:r>
    </w:p>
    <w:p>
      <w:pPr>
        <w:pStyle w:val="FirstParagraph"/>
      </w:pPr>
      <w:r>
        <w:rPr>
          <w:i/>
          <w:iCs/>
        </w:rPr>
        <w:t xml:space="preserve">Evidencia 3: benchmark global de los tres modelos LLM evaluados (50</w:t>
      </w:r>
      <w:r>
        <w:rPr>
          <w:i/>
          <w:iCs/>
        </w:rPr>
        <w:t xml:space="preserve"> </w:t>
      </w:r>
      <w:r>
        <w:rPr>
          <w:i/>
          <w:iCs/>
        </w:rPr>
        <w:t xml:space="preserve">prompts c/u)</w:t>
      </w:r>
    </w:p>
    <w:tbl>
      <w:tblPr>
        <w:tblStyle w:val="Table"/>
        <w:tblW w:type="pct" w:w="4885"/>
        <w:tblLayout w:type="fixed"/>
        <w:tblLook w:firstRow="1" w:lastRow="0" w:firstColumn="0" w:lastColumn="0" w:noHBand="0" w:noVBand="0" w:val="0020"/>
      </w:tblPr>
      <w:tblGrid>
        <w:gridCol w:w="1183"/>
        <w:gridCol w:w="1001"/>
        <w:gridCol w:w="1001"/>
        <w:gridCol w:w="1001"/>
        <w:gridCol w:w="1365"/>
        <w:gridCol w:w="1092"/>
        <w:gridCol w:w="1092"/>
      </w:tblGrid>
      <w:tr>
        <w:trPr>
          <w:tblHeader w:val="on"/>
        </w:trPr>
        <w:tc>
          <w:tcPr/>
          <w:p>
            <w:pPr>
              <w:pStyle w:val="Compact"/>
              <w:jc w:val="left"/>
            </w:pPr>
            <w:r>
              <w:rPr>
                <w:b/>
                <w:bCs/>
              </w:rPr>
              <w:t xml:space="preserve">Modelo</w:t>
            </w:r>
          </w:p>
        </w:tc>
        <w:tc>
          <w:tcPr/>
          <w:p>
            <w:pPr>
              <w:pStyle w:val="Compact"/>
              <w:jc w:val="left"/>
            </w:pPr>
            <w:r>
              <w:rPr>
                <w:b/>
                <w:bCs/>
              </w:rPr>
              <w:t xml:space="preserve">Tamaño</w:t>
            </w:r>
            <w:r>
              <w:rPr>
                <w:b/>
                <w:bCs/>
              </w:rPr>
              <w:t xml:space="preserve"> </w:t>
            </w:r>
            <w:r>
              <w:rPr>
                <w:b/>
                <w:bCs/>
              </w:rPr>
              <w:t xml:space="preserve">(GB)</w:t>
            </w:r>
          </w:p>
        </w:tc>
        <w:tc>
          <w:tcPr/>
          <w:p>
            <w:pPr>
              <w:pStyle w:val="Compact"/>
              <w:jc w:val="left"/>
            </w:pPr>
            <w:r>
              <w:rPr>
                <w:b/>
                <w:bCs/>
              </w:rPr>
              <w:t xml:space="preserve">Lat. avg</w:t>
            </w:r>
            <w:r>
              <w:rPr>
                <w:b/>
                <w:bCs/>
              </w:rPr>
              <w:t xml:space="preserve"> </w:t>
            </w:r>
            <w:r>
              <w:rPr>
                <w:b/>
                <w:bCs/>
              </w:rPr>
              <w:t xml:space="preserve">(s)</w:t>
            </w:r>
          </w:p>
        </w:tc>
        <w:tc>
          <w:tcPr/>
          <w:p>
            <w:pPr>
              <w:pStyle w:val="Compact"/>
              <w:jc w:val="left"/>
            </w:pPr>
            <w:r>
              <w:rPr>
                <w:b/>
                <w:bCs/>
              </w:rPr>
              <w:t xml:space="preserve">Lat. p95</w:t>
            </w:r>
            <w:r>
              <w:rPr>
                <w:b/>
                <w:bCs/>
              </w:rPr>
              <w:t xml:space="preserve"> </w:t>
            </w:r>
            <w:r>
              <w:rPr>
                <w:b/>
                <w:bCs/>
              </w:rPr>
              <w:t xml:space="preserve">(s)</w:t>
            </w:r>
          </w:p>
        </w:tc>
        <w:tc>
          <w:tcPr/>
          <w:p>
            <w:pPr>
              <w:pStyle w:val="Compact"/>
              <w:jc w:val="left"/>
            </w:pPr>
            <w:r>
              <w:rPr>
                <w:b/>
                <w:bCs/>
              </w:rPr>
              <w:t xml:space="preserve">Tokens/s</w:t>
            </w:r>
          </w:p>
        </w:tc>
        <w:tc>
          <w:tcPr/>
          <w:p>
            <w:pPr>
              <w:pStyle w:val="Compact"/>
              <w:jc w:val="left"/>
            </w:pPr>
            <w:r>
              <w:rPr>
                <w:b/>
                <w:bCs/>
              </w:rPr>
              <w:t xml:space="preserve">Calidad</w:t>
            </w:r>
            <w:r>
              <w:rPr>
                <w:b/>
                <w:bCs/>
              </w:rPr>
              <w:t xml:space="preserve"> </w:t>
            </w:r>
            <w:r>
              <w:rPr>
                <w:b/>
                <w:bCs/>
              </w:rPr>
              <w:t xml:space="preserve">(1-5)</w:t>
            </w:r>
          </w:p>
        </w:tc>
        <w:tc>
          <w:tcPr/>
          <w:p>
            <w:pPr>
              <w:pStyle w:val="Compact"/>
              <w:jc w:val="left"/>
            </w:pPr>
            <w:r>
              <w:rPr>
                <w:b/>
                <w:bCs/>
              </w:rPr>
              <w:t xml:space="preserve">VRAM</w:t>
            </w:r>
            <w:r>
              <w:rPr>
                <w:b/>
                <w:bCs/>
              </w:rPr>
              <w:t xml:space="preserve"> </w:t>
            </w:r>
            <w:r>
              <w:rPr>
                <w:b/>
                <w:bCs/>
              </w:rPr>
              <w:t xml:space="preserve">(GB)</w:t>
            </w:r>
          </w:p>
        </w:tc>
      </w:tr>
      <w:tr>
        <w:tc>
          <w:tcPr/>
          <w:p>
            <w:pPr>
              <w:pStyle w:val="Compact"/>
              <w:jc w:val="left"/>
            </w:pPr>
            <w:r>
              <w:t xml:space="preserve">qwen2.5:7b</w:t>
            </w:r>
          </w:p>
        </w:tc>
        <w:tc>
          <w:tcPr/>
          <w:p>
            <w:pPr>
              <w:pStyle w:val="Compact"/>
              <w:jc w:val="left"/>
            </w:pPr>
            <w:r>
              <w:t xml:space="preserve">4.59</w:t>
            </w:r>
          </w:p>
        </w:tc>
        <w:tc>
          <w:tcPr/>
          <w:p>
            <w:pPr>
              <w:pStyle w:val="Compact"/>
              <w:jc w:val="left"/>
            </w:pPr>
            <w:r>
              <w:t xml:space="preserve">5.91</w:t>
            </w:r>
          </w:p>
        </w:tc>
        <w:tc>
          <w:tcPr/>
          <w:p>
            <w:pPr>
              <w:pStyle w:val="Compact"/>
              <w:jc w:val="left"/>
            </w:pPr>
            <w:r>
              <w:t xml:space="preserve">8.66</w:t>
            </w:r>
          </w:p>
        </w:tc>
        <w:tc>
          <w:tcPr/>
          <w:p>
            <w:pPr>
              <w:pStyle w:val="Compact"/>
              <w:jc w:val="left"/>
            </w:pPr>
            <w:r>
              <w:t xml:space="preserve">107.0</w:t>
            </w:r>
          </w:p>
        </w:tc>
        <w:tc>
          <w:tcPr/>
          <w:p>
            <w:pPr>
              <w:pStyle w:val="Compact"/>
              <w:jc w:val="left"/>
            </w:pPr>
            <w:r>
              <w:t xml:space="preserve">4.85</w:t>
            </w:r>
          </w:p>
        </w:tc>
        <w:tc>
          <w:tcPr/>
          <w:p>
            <w:pPr>
              <w:pStyle w:val="Compact"/>
              <w:jc w:val="left"/>
            </w:pPr>
            <w:r>
              <w:t xml:space="preserve">4.59</w:t>
            </w:r>
          </w:p>
        </w:tc>
      </w:tr>
      <w:tr>
        <w:tc>
          <w:tcPr/>
          <w:p>
            <w:pPr>
              <w:pStyle w:val="Compact"/>
              <w:jc w:val="left"/>
            </w:pPr>
            <w:r>
              <w:t xml:space="preserve">llama3:8b</w:t>
            </w:r>
          </w:p>
        </w:tc>
        <w:tc>
          <w:tcPr/>
          <w:p>
            <w:pPr>
              <w:pStyle w:val="Compact"/>
              <w:jc w:val="left"/>
            </w:pPr>
            <w:r>
              <w:t xml:space="preserve">5.09</w:t>
            </w:r>
          </w:p>
        </w:tc>
        <w:tc>
          <w:tcPr/>
          <w:p>
            <w:pPr>
              <w:pStyle w:val="Compact"/>
              <w:jc w:val="left"/>
            </w:pPr>
            <w:r>
              <w:t xml:space="preserve">4.71</w:t>
            </w:r>
          </w:p>
        </w:tc>
        <w:tc>
          <w:tcPr/>
          <w:p>
            <w:pPr>
              <w:pStyle w:val="Compact"/>
              <w:jc w:val="left"/>
            </w:pPr>
            <w:r>
              <w:t xml:space="preserve">7.40</w:t>
            </w:r>
          </w:p>
        </w:tc>
        <w:tc>
          <w:tcPr/>
          <w:p>
            <w:pPr>
              <w:pStyle w:val="Compact"/>
              <w:jc w:val="left"/>
            </w:pPr>
            <w:r>
              <w:t xml:space="preserve">109.6</w:t>
            </w:r>
          </w:p>
        </w:tc>
        <w:tc>
          <w:tcPr/>
          <w:p>
            <w:pPr>
              <w:pStyle w:val="Compact"/>
              <w:jc w:val="left"/>
            </w:pPr>
            <w:r>
              <w:t xml:space="preserve">4.84</w:t>
            </w:r>
          </w:p>
        </w:tc>
        <w:tc>
          <w:tcPr/>
          <w:p>
            <w:pPr>
              <w:pStyle w:val="Compact"/>
              <w:jc w:val="left"/>
            </w:pPr>
            <w:r>
              <w:t xml:space="preserve">5.09</w:t>
            </w:r>
          </w:p>
        </w:tc>
      </w:tr>
      <w:tr>
        <w:tc>
          <w:tcPr/>
          <w:p>
            <w:pPr>
              <w:pStyle w:val="Compact"/>
              <w:jc w:val="left"/>
            </w:pPr>
            <w:r>
              <w:t xml:space="preserve">mistral:7b</w:t>
            </w:r>
          </w:p>
        </w:tc>
        <w:tc>
          <w:tcPr/>
          <w:p>
            <w:pPr>
              <w:pStyle w:val="Compact"/>
              <w:jc w:val="left"/>
            </w:pPr>
            <w:r>
              <w:t xml:space="preserve">4.79</w:t>
            </w:r>
          </w:p>
        </w:tc>
        <w:tc>
          <w:tcPr/>
          <w:p>
            <w:pPr>
              <w:pStyle w:val="Compact"/>
              <w:jc w:val="left"/>
            </w:pPr>
            <w:r>
              <w:t xml:space="preserve">3.90</w:t>
            </w:r>
          </w:p>
        </w:tc>
        <w:tc>
          <w:tcPr/>
          <w:p>
            <w:pPr>
              <w:pStyle w:val="Compact"/>
              <w:jc w:val="left"/>
            </w:pPr>
            <w:r>
              <w:t xml:space="preserve">6.79</w:t>
            </w:r>
          </w:p>
        </w:tc>
        <w:tc>
          <w:tcPr/>
          <w:p>
            <w:pPr>
              <w:pStyle w:val="Compact"/>
              <w:jc w:val="left"/>
            </w:pPr>
            <w:r>
              <w:t xml:space="preserve">120.2</w:t>
            </w:r>
          </w:p>
        </w:tc>
        <w:tc>
          <w:tcPr/>
          <w:p>
            <w:pPr>
              <w:pStyle w:val="Compact"/>
              <w:jc w:val="left"/>
            </w:pPr>
            <w:r>
              <w:t xml:space="preserve">4.28</w:t>
            </w:r>
          </w:p>
        </w:tc>
        <w:tc>
          <w:tcPr/>
          <w:p>
            <w:pPr>
              <w:pStyle w:val="Compact"/>
              <w:jc w:val="left"/>
            </w:pPr>
            <w:r>
              <w:t xml:space="preserve">4.79</w:t>
            </w:r>
          </w:p>
        </w:tc>
      </w:tr>
    </w:tbl>
    <w:p>
      <w:pPr>
        <w:pStyle w:val="BodyText"/>
      </w:pPr>
      <w:r>
        <w:rPr>
          <w:i/>
          <w:iCs/>
        </w:rPr>
        <w:t xml:space="preserve">Tabla 3. Comparativa global de rendimiento de los tres LLM evaluados.</w:t>
      </w:r>
    </w:p>
    <w:p>
      <w:pPr>
        <w:pStyle w:val="BodyText"/>
      </w:pPr>
      <w:r>
        <w:rPr>
          <w:i/>
          <w:iCs/>
        </w:rPr>
        <w:t xml:space="preserve">Evidencia 4: desglose por criterio de la rúbrica Likert (1–5)</w:t>
      </w:r>
    </w:p>
    <w:tbl>
      <w:tblPr>
        <w:tblStyle w:val="Table"/>
        <w:tblW w:type="pct" w:w="4895"/>
        <w:tblLayout w:type="fixed"/>
        <w:tblLook w:firstRow="1" w:lastRow="0" w:firstColumn="0" w:lastColumn="0" w:noHBand="0" w:noVBand="0" w:val="0020"/>
      </w:tblPr>
      <w:tblGrid>
        <w:gridCol w:w="1083"/>
        <w:gridCol w:w="1333"/>
        <w:gridCol w:w="1167"/>
        <w:gridCol w:w="1500"/>
        <w:gridCol w:w="1333"/>
        <w:gridCol w:w="1333"/>
      </w:tblGrid>
      <w:tr>
        <w:trPr>
          <w:tblHeader w:val="on"/>
        </w:trPr>
        <w:tc>
          <w:tcPr/>
          <w:p>
            <w:pPr>
              <w:pStyle w:val="Compact"/>
              <w:jc w:val="left"/>
            </w:pPr>
            <w:r>
              <w:rPr>
                <w:b/>
                <w:bCs/>
              </w:rPr>
              <w:t xml:space="preserve">Modelo</w:t>
            </w:r>
          </w:p>
        </w:tc>
        <w:tc>
          <w:tcPr/>
          <w:p>
            <w:pPr>
              <w:pStyle w:val="Compact"/>
              <w:jc w:val="left"/>
            </w:pPr>
            <w:r>
              <w:rPr>
                <w:b/>
                <w:bCs/>
              </w:rPr>
              <w:t xml:space="preserve">Exactitud</w:t>
            </w:r>
          </w:p>
        </w:tc>
        <w:tc>
          <w:tcPr/>
          <w:p>
            <w:pPr>
              <w:pStyle w:val="Compact"/>
              <w:jc w:val="left"/>
            </w:pPr>
            <w:r>
              <w:rPr>
                <w:b/>
                <w:bCs/>
              </w:rPr>
              <w:t xml:space="preserve">Fluidez</w:t>
            </w:r>
          </w:p>
        </w:tc>
        <w:tc>
          <w:tcPr/>
          <w:p>
            <w:pPr>
              <w:pStyle w:val="Compact"/>
              <w:jc w:val="left"/>
            </w:pPr>
            <w:r>
              <w:rPr>
                <w:b/>
                <w:bCs/>
              </w:rPr>
              <w:t xml:space="preserve">Sin</w:t>
            </w:r>
            <w:r>
              <w:rPr>
                <w:b/>
                <w:bCs/>
              </w:rPr>
              <w:t xml:space="preserve"> </w:t>
            </w:r>
            <w:r>
              <w:rPr>
                <w:b/>
                <w:bCs/>
              </w:rPr>
              <w:t xml:space="preserve">alucinaciones</w:t>
            </w:r>
          </w:p>
        </w:tc>
        <w:tc>
          <w:tcPr/>
          <w:p>
            <w:pPr>
              <w:pStyle w:val="Compact"/>
              <w:jc w:val="left"/>
            </w:pPr>
            <w:r>
              <w:rPr>
                <w:b/>
                <w:bCs/>
              </w:rPr>
              <w:t xml:space="preserve">Pedagogía</w:t>
            </w:r>
          </w:p>
        </w:tc>
        <w:tc>
          <w:tcPr/>
          <w:p>
            <w:pPr>
              <w:pStyle w:val="Compact"/>
              <w:jc w:val="left"/>
            </w:pPr>
            <w:r>
              <w:rPr>
                <w:b/>
                <w:bCs/>
              </w:rPr>
              <w:t xml:space="preserve">Promedio</w:t>
            </w:r>
          </w:p>
        </w:tc>
      </w:tr>
      <w:tr>
        <w:tc>
          <w:tcPr/>
          <w:p>
            <w:pPr>
              <w:pStyle w:val="Compact"/>
              <w:jc w:val="left"/>
            </w:pPr>
            <w:r>
              <w:t xml:space="preserve">qwen2.5:7b</w:t>
            </w:r>
          </w:p>
        </w:tc>
        <w:tc>
          <w:tcPr/>
          <w:p>
            <w:pPr>
              <w:pStyle w:val="Compact"/>
              <w:jc w:val="left"/>
            </w:pPr>
            <w:r>
              <w:t xml:space="preserve">4.72</w:t>
            </w:r>
          </w:p>
        </w:tc>
        <w:tc>
          <w:tcPr/>
          <w:p>
            <w:pPr>
              <w:pStyle w:val="Compact"/>
              <w:jc w:val="left"/>
            </w:pPr>
            <w:r>
              <w:t xml:space="preserve">4.86</w:t>
            </w:r>
          </w:p>
        </w:tc>
        <w:tc>
          <w:tcPr/>
          <w:p>
            <w:pPr>
              <w:pStyle w:val="Compact"/>
              <w:jc w:val="left"/>
            </w:pPr>
            <w:r>
              <w:t xml:space="preserve">5.00</w:t>
            </w:r>
          </w:p>
        </w:tc>
        <w:tc>
          <w:tcPr/>
          <w:p>
            <w:pPr>
              <w:pStyle w:val="Compact"/>
              <w:jc w:val="left"/>
            </w:pPr>
            <w:r>
              <w:t xml:space="preserve">4.82</w:t>
            </w:r>
          </w:p>
        </w:tc>
        <w:tc>
          <w:tcPr/>
          <w:p>
            <w:pPr>
              <w:pStyle w:val="Compact"/>
              <w:jc w:val="left"/>
            </w:pPr>
            <w:r>
              <w:t xml:space="preserve">4.85</w:t>
            </w:r>
          </w:p>
        </w:tc>
      </w:tr>
      <w:tr>
        <w:tc>
          <w:tcPr/>
          <w:p>
            <w:pPr>
              <w:pStyle w:val="Compact"/>
              <w:jc w:val="left"/>
            </w:pPr>
            <w:r>
              <w:t xml:space="preserve">llama3:8b</w:t>
            </w:r>
          </w:p>
        </w:tc>
        <w:tc>
          <w:tcPr/>
          <w:p>
            <w:pPr>
              <w:pStyle w:val="Compact"/>
              <w:jc w:val="left"/>
            </w:pPr>
            <w:r>
              <w:t xml:space="preserve">4.72</w:t>
            </w:r>
          </w:p>
        </w:tc>
        <w:tc>
          <w:tcPr/>
          <w:p>
            <w:pPr>
              <w:pStyle w:val="Compact"/>
              <w:jc w:val="left"/>
            </w:pPr>
            <w:r>
              <w:t xml:space="preserve">4.88</w:t>
            </w:r>
          </w:p>
        </w:tc>
        <w:tc>
          <w:tcPr/>
          <w:p>
            <w:pPr>
              <w:pStyle w:val="Compact"/>
              <w:jc w:val="left"/>
            </w:pPr>
            <w:r>
              <w:t xml:space="preserve">4.92</w:t>
            </w:r>
          </w:p>
        </w:tc>
        <w:tc>
          <w:tcPr/>
          <w:p>
            <w:pPr>
              <w:pStyle w:val="Compact"/>
              <w:jc w:val="left"/>
            </w:pPr>
            <w:r>
              <w:t xml:space="preserve">4.86</w:t>
            </w:r>
          </w:p>
        </w:tc>
        <w:tc>
          <w:tcPr/>
          <w:p>
            <w:pPr>
              <w:pStyle w:val="Compact"/>
              <w:jc w:val="left"/>
            </w:pPr>
            <w:r>
              <w:t xml:space="preserve">4.84</w:t>
            </w:r>
          </w:p>
        </w:tc>
      </w:tr>
      <w:tr>
        <w:tc>
          <w:tcPr/>
          <w:p>
            <w:pPr>
              <w:pStyle w:val="Compact"/>
              <w:jc w:val="left"/>
            </w:pPr>
            <w:r>
              <w:t xml:space="preserve">mistral:7b</w:t>
            </w:r>
          </w:p>
        </w:tc>
        <w:tc>
          <w:tcPr/>
          <w:p>
            <w:pPr>
              <w:pStyle w:val="Compact"/>
              <w:jc w:val="left"/>
            </w:pPr>
            <w:r>
              <w:t xml:space="preserve">3.90</w:t>
            </w:r>
          </w:p>
        </w:tc>
        <w:tc>
          <w:tcPr/>
          <w:p>
            <w:pPr>
              <w:pStyle w:val="Compact"/>
              <w:jc w:val="left"/>
            </w:pPr>
            <w:r>
              <w:t xml:space="preserve">4.56</w:t>
            </w:r>
          </w:p>
        </w:tc>
        <w:tc>
          <w:tcPr/>
          <w:p>
            <w:pPr>
              <w:pStyle w:val="Compact"/>
              <w:jc w:val="left"/>
            </w:pPr>
            <w:r>
              <w:t xml:space="preserve">4.60</w:t>
            </w:r>
          </w:p>
        </w:tc>
        <w:tc>
          <w:tcPr/>
          <w:p>
            <w:pPr>
              <w:pStyle w:val="Compact"/>
              <w:jc w:val="left"/>
            </w:pPr>
            <w:r>
              <w:t xml:space="preserve">4.04</w:t>
            </w:r>
          </w:p>
        </w:tc>
        <w:tc>
          <w:tcPr/>
          <w:p>
            <w:pPr>
              <w:pStyle w:val="Compact"/>
              <w:jc w:val="left"/>
            </w:pPr>
            <w:r>
              <w:t xml:space="preserve">4.28</w:t>
            </w:r>
          </w:p>
        </w:tc>
      </w:tr>
    </w:tbl>
    <w:p>
      <w:pPr>
        <w:pStyle w:val="BodyText"/>
      </w:pPr>
      <w:r>
        <w:rPr>
          <w:i/>
          <w:iCs/>
        </w:rPr>
        <w:t xml:space="preserve">Tabla 4. Promedios Likert por criterio de la rúbrica (juez LLM).</w:t>
      </w:r>
    </w:p>
    <w:p>
      <w:pPr>
        <w:pStyle w:val="BodyText"/>
      </w:pPr>
      <w:r>
        <w:rPr>
          <w:i/>
          <w:iCs/>
        </w:rPr>
        <w:t xml:space="preserve">Evidencia 5: benchmark de modelos de embeddings (20 queries / 163</w:t>
      </w:r>
      <w:r>
        <w:rPr>
          <w:i/>
          <w:iCs/>
        </w:rPr>
        <w:t xml:space="preserve"> </w:t>
      </w:r>
      <w:r>
        <w:rPr>
          <w:i/>
          <w:iCs/>
        </w:rPr>
        <w:t xml:space="preserve">chunks)</w:t>
      </w:r>
    </w:p>
    <w:tbl>
      <w:tblPr>
        <w:tblStyle w:val="Table"/>
        <w:tblW w:type="pct" w:w="4888"/>
        <w:tblLayout w:type="fixed"/>
        <w:tblLook w:firstRow="1" w:lastRow="0" w:firstColumn="0" w:lastColumn="0" w:noHBand="0" w:noVBand="0" w:val="0020"/>
      </w:tblPr>
      <w:tblGrid>
        <w:gridCol w:w="1779"/>
        <w:gridCol w:w="1601"/>
        <w:gridCol w:w="1334"/>
        <w:gridCol w:w="1334"/>
        <w:gridCol w:w="1690"/>
      </w:tblGrid>
      <w:tr>
        <w:trPr>
          <w:tblHeader w:val="on"/>
        </w:trPr>
        <w:tc>
          <w:tcPr/>
          <w:p>
            <w:pPr>
              <w:pStyle w:val="Compact"/>
              <w:jc w:val="left"/>
            </w:pPr>
            <w:r>
              <w:rPr>
                <w:b/>
                <w:bCs/>
              </w:rPr>
              <w:t xml:space="preserve">Modelo</w:t>
            </w:r>
          </w:p>
        </w:tc>
        <w:tc>
          <w:tcPr/>
          <w:p>
            <w:pPr>
              <w:pStyle w:val="Compact"/>
              <w:jc w:val="left"/>
            </w:pPr>
            <w:r>
              <w:rPr>
                <w:b/>
                <w:bCs/>
              </w:rPr>
              <w:t xml:space="preserve">Dimensiones</w:t>
            </w:r>
          </w:p>
        </w:tc>
        <w:tc>
          <w:tcPr/>
          <w:p>
            <w:pPr>
              <w:pStyle w:val="Compact"/>
              <w:jc w:val="left"/>
            </w:pPr>
            <w:r>
              <w:rPr>
                <w:b/>
                <w:bCs/>
              </w:rPr>
              <w:t xml:space="preserve">Recall@5</w:t>
            </w:r>
          </w:p>
        </w:tc>
        <w:tc>
          <w:tcPr/>
          <w:p>
            <w:pPr>
              <w:pStyle w:val="Compact"/>
              <w:jc w:val="left"/>
            </w:pPr>
            <w:r>
              <w:rPr>
                <w:b/>
                <w:bCs/>
              </w:rPr>
              <w:t xml:space="preserve">MRR</w:t>
            </w:r>
          </w:p>
        </w:tc>
        <w:tc>
          <w:tcPr/>
          <w:p>
            <w:pPr>
              <w:pStyle w:val="Compact"/>
              <w:jc w:val="left"/>
            </w:pPr>
            <w:r>
              <w:rPr>
                <w:b/>
                <w:bCs/>
              </w:rPr>
              <w:t xml:space="preserve">Latencia/query</w:t>
            </w:r>
            <w:r>
              <w:rPr>
                <w:b/>
                <w:bCs/>
              </w:rPr>
              <w:t xml:space="preserve"> </w:t>
            </w:r>
            <w:r>
              <w:rPr>
                <w:b/>
                <w:bCs/>
              </w:rPr>
              <w:t xml:space="preserve">(ms)</w:t>
            </w:r>
          </w:p>
        </w:tc>
      </w:tr>
      <w:tr>
        <w:tc>
          <w:tcPr/>
          <w:p>
            <w:pPr>
              <w:pStyle w:val="Compact"/>
              <w:jc w:val="left"/>
            </w:pPr>
            <w:r>
              <w:t xml:space="preserve">mxbai-embed-large</w:t>
            </w:r>
          </w:p>
        </w:tc>
        <w:tc>
          <w:tcPr/>
          <w:p>
            <w:pPr>
              <w:pStyle w:val="Compact"/>
              <w:jc w:val="left"/>
            </w:pPr>
            <w:r>
              <w:t xml:space="preserve">1024</w:t>
            </w:r>
          </w:p>
        </w:tc>
        <w:tc>
          <w:tcPr/>
          <w:p>
            <w:pPr>
              <w:pStyle w:val="Compact"/>
              <w:jc w:val="left"/>
            </w:pPr>
            <w:r>
              <w:t xml:space="preserve">0.550</w:t>
            </w:r>
          </w:p>
        </w:tc>
        <w:tc>
          <w:tcPr/>
          <w:p>
            <w:pPr>
              <w:pStyle w:val="Compact"/>
              <w:jc w:val="left"/>
            </w:pPr>
            <w:r>
              <w:t xml:space="preserve">0.453</w:t>
            </w:r>
          </w:p>
        </w:tc>
        <w:tc>
          <w:tcPr/>
          <w:p>
            <w:pPr>
              <w:pStyle w:val="Compact"/>
              <w:jc w:val="left"/>
            </w:pPr>
            <w:r>
              <w:t xml:space="preserve">173.4</w:t>
            </w:r>
          </w:p>
        </w:tc>
      </w:tr>
      <w:tr>
        <w:tc>
          <w:tcPr/>
          <w:p>
            <w:pPr>
              <w:pStyle w:val="Compact"/>
              <w:jc w:val="left"/>
            </w:pPr>
            <w:r>
              <w:t xml:space="preserve">nomic-embed-text</w:t>
            </w:r>
          </w:p>
        </w:tc>
        <w:tc>
          <w:tcPr/>
          <w:p>
            <w:pPr>
              <w:pStyle w:val="Compact"/>
              <w:jc w:val="left"/>
            </w:pPr>
            <w:r>
              <w:t xml:space="preserve">768</w:t>
            </w:r>
          </w:p>
        </w:tc>
        <w:tc>
          <w:tcPr/>
          <w:p>
            <w:pPr>
              <w:pStyle w:val="Compact"/>
              <w:jc w:val="left"/>
            </w:pPr>
            <w:r>
              <w:t xml:space="preserve">0.350</w:t>
            </w:r>
          </w:p>
        </w:tc>
        <w:tc>
          <w:tcPr/>
          <w:p>
            <w:pPr>
              <w:pStyle w:val="Compact"/>
              <w:jc w:val="left"/>
            </w:pPr>
            <w:r>
              <w:t xml:space="preserve">0.305</w:t>
            </w:r>
          </w:p>
        </w:tc>
        <w:tc>
          <w:tcPr/>
          <w:p>
            <w:pPr>
              <w:pStyle w:val="Compact"/>
              <w:jc w:val="left"/>
            </w:pPr>
            <w:r>
              <w:t xml:space="preserve">131.0</w:t>
            </w:r>
          </w:p>
        </w:tc>
      </w:tr>
    </w:tbl>
    <w:p>
      <w:pPr>
        <w:pStyle w:val="BodyText"/>
      </w:pPr>
      <w:r>
        <w:rPr>
          <w:i/>
          <w:iCs/>
        </w:rPr>
        <w:t xml:space="preserve">Tabla 5. Comparativa de modelos de embeddings sobre el corpus M1–M3.</w:t>
      </w:r>
    </w:p>
    <w:p>
      <w:pPr>
        <w:pStyle w:val="BodyText"/>
      </w:pPr>
      <w:r>
        <w:t xml:space="preserve">La selección final recayó en qwen2.5:7b-instruct-q4_K_M como LLM y</w:t>
      </w:r>
      <w:r>
        <w:t xml:space="preserve"> </w:t>
      </w:r>
      <w:r>
        <w:t xml:space="preserve">mxbai-embed-large como modelo de embeddings, por su desempeño superior</w:t>
      </w:r>
      <w:r>
        <w:t xml:space="preserve"> </w:t>
      </w:r>
      <w:r>
        <w:t xml:space="preserve">en español y su consumo razonable de recursos. La validación de estos</w:t>
      </w:r>
      <w:r>
        <w:t xml:space="preserve"> </w:t>
      </w:r>
      <w:r>
        <w:t xml:space="preserve">modelos contra los umbrales del OE1 (Accuracy, Likert, Recall@5, MRR@10,</w:t>
      </w:r>
      <w:r>
        <w:t xml:space="preserve"> </w:t>
      </w:r>
      <w:r>
        <w:t xml:space="preserve">nDCG@10) se ejecuta sobre el pipeline de producción y se reporta en el</w:t>
      </w:r>
      <w:r>
        <w:t xml:space="preserve"> </w:t>
      </w:r>
      <w:r>
        <w:t xml:space="preserve">apartado 1.2.1.</w:t>
      </w:r>
    </w:p>
    <w:p>
      <w:pPr>
        <w:pStyle w:val="BodyText"/>
      </w:pPr>
      <w:r>
        <w:rPr>
          <w:b/>
          <w:bCs/>
        </w:rPr>
        <w:t xml:space="preserve">Herramientas</w:t>
      </w:r>
    </w:p>
    <w:p>
      <w:pPr>
        <w:pStyle w:val="BodyText"/>
      </w:pPr>
      <w:r>
        <w:t xml:space="preserve">Figma (mockups UI/UX), PlantUML (diagramas de secuencia UML), Draw.io</w:t>
      </w:r>
      <w:r>
        <w:t xml:space="preserve"> </w:t>
      </w:r>
      <w:r>
        <w:t xml:space="preserve">(diagrama ER y grafo del modelo de dominio), Ollama (servidor local de</w:t>
      </w:r>
      <w:r>
        <w:t xml:space="preserve"> </w:t>
      </w:r>
      <w:r>
        <w:t xml:space="preserve">modelos), qwen2.5:7b-instruct-q4_K_M (LLM) y mxbai-embed-large</w:t>
      </w:r>
      <w:r>
        <w:t xml:space="preserve"> </w:t>
      </w:r>
      <w:r>
        <w:t xml:space="preserve">(embeddings de 1 024 dimensiones).</w:t>
      </w:r>
    </w:p>
    <w:p>
      <w:pPr>
        <w:pStyle w:val="BodyText"/>
      </w:pPr>
      <w:r>
        <w:rPr>
          <w:b/>
          <w:bCs/>
        </w:rPr>
        <w:t xml:space="preserve">Artefactos / entregables</w:t>
      </w:r>
    </w:p>
    <w:p>
      <w:pPr>
        <w:numPr>
          <w:ilvl w:val="0"/>
          <w:numId w:val="1004"/>
        </w:numPr>
      </w:pPr>
      <w:r>
        <w:t xml:space="preserve">Reporte comparativo de modelos LLM y embeddings.</w:t>
      </w:r>
    </w:p>
    <w:p>
      <w:pPr>
        <w:numPr>
          <w:ilvl w:val="0"/>
          <w:numId w:val="1004"/>
        </w:numPr>
      </w:pPr>
      <w:r>
        <w:t xml:space="preserve">Modelfile personalizado del LLM en ollama/modelfile-qwen2.5 con el</w:t>
      </w:r>
      <w:r>
        <w:t xml:space="preserve"> </w:t>
      </w:r>
      <w:r>
        <w:t xml:space="preserve">system prompt pedagógico.</w:t>
      </w:r>
    </w:p>
    <w:bookmarkEnd w:id="12"/>
    <w:bookmarkStart w:id="17" w:name="X32ff2cd8583e3e770b83c2e6ab1aee60e147fea"/>
    <w:p>
      <w:pPr>
        <w:pStyle w:val="Heading3"/>
      </w:pPr>
      <w:r>
        <w:t xml:space="preserve">1.1.3. Iteración #3: Preparación de los datos y modelado (Sprints 3–6)</w:t>
      </w:r>
    </w:p>
    <w:p>
      <w:pPr>
        <w:pStyle w:val="FirstParagraph"/>
      </w:pPr>
      <w:r>
        <w:t xml:space="preserve">La Iteración #3 (Sprints 3–6, 06 – 24 de abril de 2026) construyó el</w:t>
      </w:r>
      <w:r>
        <w:t xml:space="preserve"> </w:t>
      </w:r>
      <w:r>
        <w:t xml:space="preserve">núcleo funcional del sistema: el pipeline RAG operativo, el backend</w:t>
      </w:r>
      <w:r>
        <w:t xml:space="preserve"> </w:t>
      </w:r>
      <w:r>
        <w:t xml:space="preserve">REST, el frontend integrado de extremo a extremo y la primera validación</w:t>
      </w:r>
      <w:r>
        <w:t xml:space="preserve"> </w:t>
      </w:r>
      <w:r>
        <w:t xml:space="preserve">diagnóstica del pipeline con RAGAS. Cubre las fases CRISP-DM de</w:t>
      </w:r>
      <w:r>
        <w:t xml:space="preserve"> </w:t>
      </w:r>
      <w:r>
        <w:t xml:space="preserve">Preparación de los datos y Modelado del componente de IA.</w:t>
      </w:r>
    </w:p>
    <w:bookmarkStart w:id="13" w:name="X1b19bf5216eb1418ba5389d4cb8638f9ce99b6b"/>
    <w:p>
      <w:pPr>
        <w:pStyle w:val="Heading4"/>
      </w:pPr>
      <w:r>
        <w:t xml:space="preserve">1.1.3.1. Sprint 3: Pipeline RAG, ingesta, chunking e indexación vectorial</w:t>
      </w:r>
    </w:p>
    <w:p>
      <w:pPr>
        <w:pStyle w:val="FirstParagraph"/>
      </w:pPr>
      <w:r>
        <w:t xml:space="preserve">El Sprint 3 (06 – 12 de abril de 2026) construyó el pipeline RAG</w:t>
      </w:r>
      <w:r>
        <w:t xml:space="preserve"> </w:t>
      </w:r>
      <w:r>
        <w:t xml:space="preserve">operativo sobre el corpus de los Módulos 1–3 del sílabo.</w:t>
      </w:r>
    </w:p>
    <w:p>
      <w:pPr>
        <w:pStyle w:val="BodyText"/>
      </w:pPr>
      <w:r>
        <w:rPr>
          <w:b/>
          <w:bCs/>
        </w:rPr>
        <w:t xml:space="preserve">Actividades y técnicas</w:t>
      </w:r>
    </w:p>
    <w:p>
      <w:pPr>
        <w:numPr>
          <w:ilvl w:val="0"/>
          <w:numId w:val="1005"/>
        </w:numPr>
      </w:pPr>
      <w:r>
        <w:t xml:space="preserve">Módulo de chunking con RecursiveCharacterTextSplitter (chunks de 500</w:t>
      </w:r>
      <w:r>
        <w:t xml:space="preserve"> </w:t>
      </w:r>
      <w:r>
        <w:t xml:space="preserve">tokens, solapamiento de 50), preservando la jerarquía del sílabo</w:t>
      </w:r>
      <w:r>
        <w:t xml:space="preserve"> </w:t>
      </w:r>
      <w:r>
        <w:t xml:space="preserve">(id_modulo, id_tema, id_subtema) en los metadatos.</w:t>
      </w:r>
    </w:p>
    <w:p>
      <w:pPr>
        <w:numPr>
          <w:ilvl w:val="0"/>
          <w:numId w:val="1005"/>
        </w:numPr>
      </w:pPr>
      <w:r>
        <w:t xml:space="preserve">Cálculo de embeddings del corpus con mxbai-embed-large (1 024</w:t>
      </w:r>
      <w:r>
        <w:t xml:space="preserve"> </w:t>
      </w:r>
      <w:r>
        <w:t xml:space="preserve">dimensiones) y persistencia en PostgreSQL con pgvector, indexados con</w:t>
      </w:r>
      <w:r>
        <w:t xml:space="preserve"> </w:t>
      </w:r>
      <w:r>
        <w:t xml:space="preserve">índice IVFFlat para búsqueda por similitud coseno.</w:t>
      </w:r>
    </w:p>
    <w:p>
      <w:pPr>
        <w:numPr>
          <w:ilvl w:val="0"/>
          <w:numId w:val="1005"/>
        </w:numPr>
      </w:pPr>
      <w:r>
        <w:t xml:space="preserve">Orquestador RAG: recuperación por similitud coseno (top-k = 5),</w:t>
      </w:r>
      <w:r>
        <w:t xml:space="preserve"> </w:t>
      </w:r>
      <w:r>
        <w:t xml:space="preserve">construcción del prompt aumentado con contexto e historial, y</w:t>
      </w:r>
      <w:r>
        <w:t xml:space="preserve"> </w:t>
      </w:r>
      <w:r>
        <w:t xml:space="preserve">generación vía API de Ollama con trazabilidad explícita de fuentes.</w:t>
      </w:r>
    </w:p>
    <w:p>
      <w:pPr>
        <w:numPr>
          <w:ilvl w:val="0"/>
          <w:numId w:val="1005"/>
        </w:numPr>
      </w:pPr>
      <w:r>
        <w:t xml:space="preserve">Servicio de ingesta IngestService como BackgroundTask: parseo de PDF,</w:t>
      </w:r>
      <w:r>
        <w:t xml:space="preserve"> </w:t>
      </w:r>
      <w:r>
        <w:t xml:space="preserve">DOCX y Markdown con pypdf y python-docx, segmentación y upsert de</w:t>
      </w:r>
      <w:r>
        <w:t xml:space="preserve"> </w:t>
      </w:r>
      <w:r>
        <w:t xml:space="preserve">vectores en la tabla document_chunks.</w:t>
      </w:r>
    </w:p>
    <w:p>
      <w:pPr>
        <w:pStyle w:val="FirstParagraph"/>
      </w:pPr>
      <w:r>
        <w:rPr>
          <w:i/>
          <w:iCs/>
        </w:rPr>
        <w:t xml:space="preserve">Evidencia 6: parámetros del pipeline RAG — implementación inicial</w:t>
      </w:r>
      <w:r>
        <w:rPr>
          <w:i/>
          <w:iCs/>
        </w:rPr>
        <w:t xml:space="preserve"> </w:t>
      </w:r>
      <w:r>
        <w:rPr>
          <w:i/>
          <w:iCs/>
        </w:rPr>
        <w:t xml:space="preserve">(cierre del Sprint 3)</w:t>
      </w:r>
    </w:p>
    <w:tbl>
      <w:tblPr>
        <w:tblStyle w:val="Table"/>
        <w:tblW w:type="pct" w:w="4880"/>
        <w:tblLayout w:type="fixed"/>
        <w:tblLook w:firstRow="1" w:lastRow="0" w:firstColumn="0" w:lastColumn="0" w:noHBand="0" w:noVBand="0" w:val="0020"/>
      </w:tblPr>
      <w:tblGrid>
        <w:gridCol w:w="2290"/>
        <w:gridCol w:w="3148"/>
        <w:gridCol w:w="2290"/>
      </w:tblGrid>
      <w:tr>
        <w:trPr>
          <w:tblHeader w:val="on"/>
        </w:trPr>
        <w:tc>
          <w:tcPr/>
          <w:p>
            <w:pPr>
              <w:pStyle w:val="Compact"/>
              <w:jc w:val="left"/>
            </w:pPr>
            <w:r>
              <w:rPr>
                <w:b/>
                <w:bCs/>
              </w:rPr>
              <w:t xml:space="preserve">Parámetro</w:t>
            </w:r>
          </w:p>
        </w:tc>
        <w:tc>
          <w:tcPr/>
          <w:p>
            <w:pPr>
              <w:pStyle w:val="Compact"/>
              <w:jc w:val="left"/>
            </w:pPr>
            <w:r>
              <w:rPr>
                <w:b/>
                <w:bCs/>
              </w:rPr>
              <w:t xml:space="preserve">Implementación inicial</w:t>
            </w:r>
          </w:p>
        </w:tc>
        <w:tc>
          <w:tcPr/>
          <w:p>
            <w:pPr>
              <w:pStyle w:val="Compact"/>
              <w:jc w:val="left"/>
            </w:pPr>
            <w:r>
              <w:rPr>
                <w:b/>
                <w:bCs/>
              </w:rPr>
              <w:t xml:space="preserve">Comentario</w:t>
            </w:r>
          </w:p>
        </w:tc>
      </w:tr>
      <w:tr>
        <w:tc>
          <w:tcPr/>
          <w:p>
            <w:pPr>
              <w:pStyle w:val="Compact"/>
              <w:jc w:val="left"/>
            </w:pPr>
            <w:r>
              <w:t xml:space="preserve">Modelo LLM</w:t>
            </w:r>
          </w:p>
        </w:tc>
        <w:tc>
          <w:tcPr/>
          <w:p>
            <w:pPr>
              <w:pStyle w:val="Compact"/>
              <w:jc w:val="left"/>
            </w:pPr>
            <w:r>
              <w:t xml:space="preserve">qwen2.5:7b-instruct-q4_K_M</w:t>
            </w:r>
          </w:p>
        </w:tc>
        <w:tc>
          <w:tcPr/>
          <w:p>
            <w:pPr>
              <w:pStyle w:val="Compact"/>
              <w:jc w:val="left"/>
            </w:pPr>
            <w:r>
              <w:t xml:space="preserve">Confirmado en Sprint 2.</w:t>
            </w:r>
          </w:p>
        </w:tc>
      </w:tr>
      <w:tr>
        <w:tc>
          <w:tcPr/>
          <w:p>
            <w:pPr>
              <w:pStyle w:val="Compact"/>
              <w:jc w:val="left"/>
            </w:pPr>
            <w:r>
              <w:t xml:space="preserve">Modelo de embeddings</w:t>
            </w:r>
          </w:p>
        </w:tc>
        <w:tc>
          <w:tcPr/>
          <w:p>
            <w:pPr>
              <w:pStyle w:val="Compact"/>
              <w:jc w:val="left"/>
            </w:pPr>
            <w:r>
              <w:t xml:space="preserve">mxbai-embed-large (1 024 dim)</w:t>
            </w:r>
          </w:p>
        </w:tc>
        <w:tc>
          <w:tcPr/>
          <w:p>
            <w:pPr>
              <w:pStyle w:val="Compact"/>
              <w:jc w:val="left"/>
            </w:pPr>
            <w:r>
              <w:t xml:space="preserve">Confirmado en Sprint 2.</w:t>
            </w:r>
          </w:p>
        </w:tc>
      </w:tr>
      <w:tr>
        <w:tc>
          <w:tcPr/>
          <w:p>
            <w:pPr>
              <w:pStyle w:val="Compact"/>
              <w:jc w:val="left"/>
            </w:pPr>
            <w:r>
              <w:t xml:space="preserve">Estrategia de chunking</w:t>
            </w:r>
          </w:p>
        </w:tc>
        <w:tc>
          <w:tcPr/>
          <w:p>
            <w:pPr>
              <w:pStyle w:val="Compact"/>
              <w:jc w:val="left"/>
            </w:pPr>
            <w:r>
              <w:t xml:space="preserve">RecursiveCharacterTextSplitter</w:t>
            </w:r>
            <w:r>
              <w:t xml:space="preserve"> </w:t>
            </w:r>
            <w:r>
              <w:t xml:space="preserve">(500 / 50)</w:t>
            </w:r>
          </w:p>
        </w:tc>
        <w:tc>
          <w:tcPr/>
          <w:p>
            <w:pPr>
              <w:pStyle w:val="Compact"/>
              <w:jc w:val="left"/>
            </w:pPr>
            <w:r>
              <w:t xml:space="preserve">Iteración baseline.</w:t>
            </w:r>
          </w:p>
        </w:tc>
      </w:tr>
      <w:tr>
        <w:tc>
          <w:tcPr/>
          <w:p>
            <w:pPr>
              <w:pStyle w:val="Compact"/>
              <w:jc w:val="left"/>
            </w:pPr>
            <w:r>
              <w:t xml:space="preserve">Umbral de similitud</w:t>
            </w:r>
            <w:r>
              <w:t xml:space="preserve"> </w:t>
            </w:r>
            <w:r>
              <w:t xml:space="preserve">(coseno)</w:t>
            </w:r>
          </w:p>
        </w:tc>
        <w:tc>
          <w:tcPr/>
          <w:p>
            <w:pPr>
              <w:pStyle w:val="Compact"/>
              <w:jc w:val="left"/>
            </w:pPr>
            <w:r>
              <w:t xml:space="preserve">0.70</w:t>
            </w:r>
          </w:p>
        </w:tc>
        <w:tc>
          <w:tcPr/>
          <w:p>
            <w:pPr>
              <w:pStyle w:val="Compact"/>
              <w:jc w:val="left"/>
            </w:pPr>
            <w:r>
              <w:t xml:space="preserve">Iteración baseline; se</w:t>
            </w:r>
            <w:r>
              <w:t xml:space="preserve"> </w:t>
            </w:r>
            <w:r>
              <w:t xml:space="preserve">ajusta en Sprint 6.</w:t>
            </w:r>
          </w:p>
        </w:tc>
      </w:tr>
      <w:tr>
        <w:tc>
          <w:tcPr/>
          <w:p>
            <w:pPr>
              <w:pStyle w:val="Compact"/>
              <w:jc w:val="left"/>
            </w:pPr>
            <w:r>
              <w:t xml:space="preserve">Top-k del retrieval</w:t>
            </w:r>
          </w:p>
        </w:tc>
        <w:tc>
          <w:tcPr/>
          <w:p>
            <w:pPr>
              <w:pStyle w:val="Compact"/>
              <w:jc w:val="left"/>
            </w:pPr>
            <w:r>
              <w:t xml:space="preserve">5</w:t>
            </w:r>
          </w:p>
        </w:tc>
        <w:tc>
          <w:tcPr/>
          <w:p>
            <w:pPr>
              <w:pStyle w:val="Compact"/>
              <w:jc w:val="left"/>
            </w:pPr>
            <w:r>
              <w:t xml:space="preserve">Iteración baseline.</w:t>
            </w:r>
          </w:p>
        </w:tc>
      </w:tr>
      <w:tr>
        <w:tc>
          <w:tcPr/>
          <w:p>
            <w:pPr>
              <w:pStyle w:val="Compact"/>
              <w:jc w:val="left"/>
            </w:pPr>
            <w:r>
              <w:t xml:space="preserve">num_ctx del LLM</w:t>
            </w:r>
          </w:p>
        </w:tc>
        <w:tc>
          <w:tcPr/>
          <w:p>
            <w:pPr>
              <w:pStyle w:val="Compact"/>
              <w:jc w:val="left"/>
            </w:pPr>
            <w:r>
              <w:t xml:space="preserve">4 096</w:t>
            </w:r>
          </w:p>
        </w:tc>
        <w:tc>
          <w:tcPr/>
          <w:p>
            <w:pPr>
              <w:pStyle w:val="Compact"/>
              <w:jc w:val="left"/>
            </w:pPr>
            <w:r>
              <w:t xml:space="preserve">Iteración baseline.</w:t>
            </w:r>
          </w:p>
        </w:tc>
      </w:tr>
      <w:tr>
        <w:tc>
          <w:tcPr/>
          <w:p>
            <w:pPr>
              <w:pStyle w:val="Compact"/>
              <w:jc w:val="left"/>
            </w:pPr>
            <w:r>
              <w:t xml:space="preserve">Temperatura del LLM</w:t>
            </w:r>
          </w:p>
        </w:tc>
        <w:tc>
          <w:tcPr/>
          <w:p>
            <w:pPr>
              <w:pStyle w:val="Compact"/>
              <w:jc w:val="left"/>
            </w:pPr>
            <w:r>
              <w:t xml:space="preserve">0.3</w:t>
            </w:r>
          </w:p>
        </w:tc>
        <w:tc>
          <w:tcPr/>
          <w:p>
            <w:pPr>
              <w:pStyle w:val="Compact"/>
              <w:jc w:val="left"/>
            </w:pPr>
            <w:r>
              <w:t xml:space="preserve">Iteración baseline.</w:t>
            </w:r>
          </w:p>
        </w:tc>
      </w:tr>
      <w:tr>
        <w:tc>
          <w:tcPr/>
          <w:p>
            <w:pPr>
              <w:pStyle w:val="Compact"/>
              <w:jc w:val="left"/>
            </w:pPr>
            <w:r>
              <w:t xml:space="preserve">TTL de la caché RAG</w:t>
            </w:r>
          </w:p>
        </w:tc>
        <w:tc>
          <w:tcPr/>
          <w:p>
            <w:pPr>
              <w:pStyle w:val="Compact"/>
              <w:jc w:val="left"/>
            </w:pPr>
            <w:r>
              <w:t xml:space="preserve">3 600 s (1 h)</w:t>
            </w:r>
          </w:p>
        </w:tc>
        <w:tc>
          <w:tcPr/>
          <w:p>
            <w:pPr>
              <w:pStyle w:val="Compact"/>
              <w:jc w:val="left"/>
            </w:pPr>
            <w:r>
              <w:t xml:space="preserve">Confirmado.</w:t>
            </w:r>
          </w:p>
        </w:tc>
      </w:tr>
    </w:tbl>
    <w:p>
      <w:pPr>
        <w:pStyle w:val="BodyText"/>
      </w:pPr>
      <w:r>
        <w:rPr>
          <w:i/>
          <w:iCs/>
        </w:rPr>
        <w:t xml:space="preserve">Tabla 6. Parámetros del pipeline RAG al cierre del Sprint 3.</w:t>
      </w:r>
    </w:p>
    <w:p>
      <w:pPr>
        <w:pStyle w:val="BodyText"/>
      </w:pPr>
      <w:r>
        <w:t xml:space="preserve">La Figura 1 representa el flujo del pipeline RAG para una consulta del</w:t>
      </w:r>
      <w:r>
        <w:t xml:space="preserve"> </w:t>
      </w:r>
      <w:r>
        <w:t xml:space="preserve">estudiante (vectorización de la consulta, recuperación en pgvector,</w:t>
      </w:r>
      <w:r>
        <w:t xml:space="preserve"> </w:t>
      </w:r>
      <w:r>
        <w:t xml:space="preserve">construcción del prompt aumentado, generación con qwen2.5:7b y retorno</w:t>
      </w:r>
      <w:r>
        <w:t xml:space="preserve"> </w:t>
      </w:r>
      <w:r>
        <w:t xml:space="preserve">con citas).</w:t>
      </w:r>
    </w:p>
    <w:p>
      <w:pPr>
        <w:pStyle w:val="BodyText"/>
      </w:pPr>
      <w:r>
        <w:rPr>
          <w:i/>
          <w:iCs/>
        </w:rPr>
        <w:t xml:space="preserve">Figura 1. Flujo del pipeline RAG para una consulta del estudiante.</w:t>
      </w:r>
    </w:p>
    <w:p>
      <w:pPr>
        <w:pStyle w:val="BodyText"/>
      </w:pPr>
      <w:r>
        <w:rPr>
          <w:b/>
          <w:bCs/>
        </w:rPr>
        <w:t xml:space="preserve">Artefactos / entregables</w:t>
      </w:r>
    </w:p>
    <w:p>
      <w:pPr>
        <w:numPr>
          <w:ilvl w:val="0"/>
          <w:numId w:val="1006"/>
        </w:numPr>
      </w:pPr>
      <w:r>
        <w:t xml:space="preserve">Módulos del pipeline RAG: backend/app/rag/{ingestor.py, retriever.py,</w:t>
      </w:r>
      <w:r>
        <w:t xml:space="preserve"> </w:t>
      </w:r>
      <w:r>
        <w:t xml:space="preserve">generator.py, orchestrator.py}.</w:t>
      </w:r>
    </w:p>
    <w:p>
      <w:pPr>
        <w:numPr>
          <w:ilvl w:val="0"/>
          <w:numId w:val="1006"/>
        </w:numPr>
      </w:pPr>
      <w:r>
        <w:t xml:space="preserve">Servicios de dominio: IngestService, LLMService, RAGService.</w:t>
      </w:r>
    </w:p>
    <w:p>
      <w:pPr>
        <w:numPr>
          <w:ilvl w:val="0"/>
          <w:numId w:val="1006"/>
        </w:numPr>
      </w:pPr>
      <w:r>
        <w:t xml:space="preserve">Corpus de los Módulos 1–3 indexado en PostgreSQL + pgvector (tabla</w:t>
      </w:r>
      <w:r>
        <w:t xml:space="preserve"> </w:t>
      </w:r>
      <w:r>
        <w:t xml:space="preserve">document_chunks con índice IVFFlat).</w:t>
      </w:r>
    </w:p>
    <w:bookmarkEnd w:id="13"/>
    <w:bookmarkStart w:id="14" w:name="X77cfc86e13c1062861ff7ad775e437525c0d49d"/>
    <w:p>
      <w:pPr>
        <w:pStyle w:val="Heading4"/>
      </w:pPr>
      <w:r>
        <w:t xml:space="preserve">1.1.3.2. Sprint 4: Backend FastAPI con autenticación JWT y endpoints REST</w:t>
      </w:r>
    </w:p>
    <w:p>
      <w:pPr>
        <w:pStyle w:val="FirstParagraph"/>
      </w:pPr>
      <w:r>
        <w:t xml:space="preserve">El Sprint 4 (13 – 17 de abril de 2026) implementó el backend completo:</w:t>
      </w:r>
      <w:r>
        <w:t xml:space="preserve"> </w:t>
      </w:r>
      <w:r>
        <w:t xml:space="preserve">autenticación JWT, control de acceso por roles, diez routers REST con</w:t>
      </w:r>
      <w:r>
        <w:t xml:space="preserve"> </w:t>
      </w:r>
      <w:r>
        <w:t xml:space="preserve">más de veinticinco endpoints, middlewares transversales y la integración</w:t>
      </w:r>
      <w:r>
        <w:t xml:space="preserve"> </w:t>
      </w:r>
      <w:r>
        <w:t xml:space="preserve">del backend con el orquestador RAG del sprint anterior.</w:t>
      </w:r>
    </w:p>
    <w:p>
      <w:pPr>
        <w:pStyle w:val="BodyText"/>
      </w:pPr>
      <w:r>
        <w:rPr>
          <w:i/>
          <w:iCs/>
        </w:rPr>
        <w:t xml:space="preserve">Evidencia 7: routers REST implementados en el backend</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Router</w:t>
            </w:r>
          </w:p>
        </w:tc>
        <w:tc>
          <w:tcPr/>
          <w:p>
            <w:pPr>
              <w:pStyle w:val="Compact"/>
              <w:jc w:val="left"/>
            </w:pPr>
            <w:r>
              <w:rPr>
                <w:b/>
                <w:bCs/>
              </w:rPr>
              <w:t xml:space="preserve">Endpoints</w:t>
            </w:r>
            <w:r>
              <w:rPr>
                <w:b/>
                <w:bCs/>
              </w:rPr>
              <w:t xml:space="preserve"> </w:t>
            </w:r>
            <w:r>
              <w:rPr>
                <w:b/>
                <w:bCs/>
              </w:rPr>
              <w:t xml:space="preserve">principales</w:t>
            </w:r>
          </w:p>
        </w:tc>
        <w:tc>
          <w:tcPr/>
          <w:p>
            <w:pPr>
              <w:pStyle w:val="Compact"/>
              <w:jc w:val="left"/>
            </w:pPr>
            <w:r>
              <w:rPr>
                <w:b/>
                <w:bCs/>
              </w:rPr>
              <w:t xml:space="preserve">Función</w:t>
            </w:r>
          </w:p>
        </w:tc>
      </w:tr>
      <w:tr>
        <w:tc>
          <w:tcPr/>
          <w:p>
            <w:pPr>
              <w:pStyle w:val="Compact"/>
              <w:jc w:val="left"/>
            </w:pPr>
            <w:r>
              <w:t xml:space="preserve">/auth</w:t>
            </w:r>
          </w:p>
        </w:tc>
        <w:tc>
          <w:tcPr/>
          <w:p>
            <w:pPr>
              <w:pStyle w:val="Compact"/>
              <w:jc w:val="left"/>
            </w:pPr>
            <w:r>
              <w:t xml:space="preserve">POST /register · /login</w:t>
            </w:r>
            <w:r>
              <w:t xml:space="preserve"> </w:t>
            </w:r>
            <w:r>
              <w:t xml:space="preserve">· /refresh · /logout</w:t>
            </w:r>
          </w:p>
        </w:tc>
        <w:tc>
          <w:tcPr/>
          <w:p>
            <w:pPr>
              <w:pStyle w:val="Compact"/>
              <w:jc w:val="left"/>
            </w:pPr>
            <w:r>
              <w:t xml:space="preserve">Registro, autenticación</w:t>
            </w:r>
            <w:r>
              <w:t xml:space="preserve"> </w:t>
            </w:r>
            <w:r>
              <w:t xml:space="preserve">y ciclo de vida de</w:t>
            </w:r>
            <w:r>
              <w:t xml:space="preserve"> </w:t>
            </w:r>
            <w:r>
              <w:t xml:space="preserve">tokens.</w:t>
            </w:r>
          </w:p>
        </w:tc>
      </w:tr>
      <w:tr>
        <w:tc>
          <w:tcPr/>
          <w:p>
            <w:pPr>
              <w:pStyle w:val="Compact"/>
              <w:jc w:val="left"/>
            </w:pPr>
            <w:r>
              <w:t xml:space="preserve">/users</w:t>
            </w:r>
          </w:p>
        </w:tc>
        <w:tc>
          <w:tcPr/>
          <w:p>
            <w:pPr>
              <w:pStyle w:val="Compact"/>
              <w:jc w:val="left"/>
            </w:pPr>
            <w:r>
              <w:t xml:space="preserve">GET /me · PUT /me · GET</w:t>
            </w:r>
            <w:r>
              <w:t xml:space="preserve"> </w:t>
            </w:r>
            <w:r>
              <w:t xml:space="preserve">/me/level</w:t>
            </w:r>
          </w:p>
        </w:tc>
        <w:tc>
          <w:tcPr/>
          <w:p>
            <w:pPr>
              <w:pStyle w:val="Compact"/>
              <w:jc w:val="left"/>
            </w:pPr>
            <w:r>
              <w:t xml:space="preserve">Perfil y nivel asignado</w:t>
            </w:r>
            <w:r>
              <w:t xml:space="preserve"> </w:t>
            </w:r>
            <w:r>
              <w:t xml:space="preserve">por la evaluación de</w:t>
            </w:r>
            <w:r>
              <w:t xml:space="preserve"> </w:t>
            </w:r>
            <w:r>
              <w:t xml:space="preserve">entrada.</w:t>
            </w:r>
          </w:p>
        </w:tc>
      </w:tr>
      <w:tr>
        <w:tc>
          <w:tcPr/>
          <w:p>
            <w:pPr>
              <w:pStyle w:val="Compact"/>
              <w:jc w:val="left"/>
            </w:pPr>
            <w:r>
              <w:t xml:space="preserve">/modules</w:t>
            </w:r>
          </w:p>
        </w:tc>
        <w:tc>
          <w:tcPr/>
          <w:p>
            <w:pPr>
              <w:pStyle w:val="Compact"/>
              <w:jc w:val="left"/>
            </w:pPr>
            <w:r>
              <w:t xml:space="preserve">GET / · GET /{id}</w:t>
            </w:r>
          </w:p>
        </w:tc>
        <w:tc>
          <w:tcPr/>
          <w:p>
            <w:pPr>
              <w:pStyle w:val="Compact"/>
              <w:jc w:val="left"/>
            </w:pPr>
            <w:r>
              <w:t xml:space="preserve">Listado y detalle de</w:t>
            </w:r>
            <w:r>
              <w:t xml:space="preserve"> </w:t>
            </w:r>
            <w:r>
              <w:t xml:space="preserve">módulos con estado de</w:t>
            </w:r>
            <w:r>
              <w:t xml:space="preserve"> </w:t>
            </w:r>
            <w:r>
              <w:t xml:space="preserve">desbloqueo.</w:t>
            </w:r>
          </w:p>
        </w:tc>
      </w:tr>
      <w:tr>
        <w:tc>
          <w:tcPr/>
          <w:p>
            <w:pPr>
              <w:pStyle w:val="Compact"/>
              <w:jc w:val="left"/>
            </w:pPr>
            <w:r>
              <w:t xml:space="preserve">/topics</w:t>
            </w:r>
          </w:p>
        </w:tc>
        <w:tc>
          <w:tcPr/>
          <w:p>
            <w:pPr>
              <w:pStyle w:val="Compact"/>
              <w:jc w:val="left"/>
            </w:pPr>
            <w:r>
              <w:t xml:space="preserve">GET /{id} · POST</w:t>
            </w:r>
            <w:r>
              <w:t xml:space="preserve"> </w:t>
            </w:r>
            <w:r>
              <w:t xml:space="preserve">/{id}/complete</w:t>
            </w:r>
          </w:p>
        </w:tc>
        <w:tc>
          <w:tcPr/>
          <w:p>
            <w:pPr>
              <w:pStyle w:val="Compact"/>
              <w:jc w:val="left"/>
            </w:pPr>
            <w:r>
              <w:t xml:space="preserve">Contenido Markdown,</w:t>
            </w:r>
            <w:r>
              <w:t xml:space="preserve"> </w:t>
            </w:r>
            <w:r>
              <w:t xml:space="preserve">video y marcado de</w:t>
            </w:r>
            <w:r>
              <w:t xml:space="preserve"> </w:t>
            </w:r>
            <w:r>
              <w:t xml:space="preserve">completitud.</w:t>
            </w:r>
          </w:p>
        </w:tc>
      </w:tr>
      <w:tr>
        <w:tc>
          <w:tcPr/>
          <w:p>
            <w:pPr>
              <w:pStyle w:val="Compact"/>
              <w:jc w:val="left"/>
            </w:pPr>
            <w:r>
              <w:t xml:space="preserve">/quiz</w:t>
            </w:r>
          </w:p>
        </w:tc>
        <w:tc>
          <w:tcPr/>
          <w:p>
            <w:pPr>
              <w:pStyle w:val="Compact"/>
              <w:jc w:val="left"/>
            </w:pPr>
            <w:r>
              <w:t xml:space="preserve">GET /{topic_id} · POST</w:t>
            </w:r>
            <w:r>
              <w:t xml:space="preserve"> </w:t>
            </w:r>
            <w:r>
              <w:t xml:space="preserve">/submit</w:t>
            </w:r>
          </w:p>
        </w:tc>
        <w:tc>
          <w:tcPr/>
          <w:p>
            <w:pPr>
              <w:pStyle w:val="Compact"/>
              <w:jc w:val="left"/>
            </w:pPr>
            <w:r>
              <w:t xml:space="preserve">Preguntas generadas por</w:t>
            </w:r>
            <w:r>
              <w:t xml:space="preserve"> </w:t>
            </w:r>
            <w:r>
              <w:t xml:space="preserve">IA y cálculo de</w:t>
            </w:r>
            <w:r>
              <w:t xml:space="preserve"> </w:t>
            </w:r>
            <w:r>
              <w:t xml:space="preserve">puntaje.</w:t>
            </w:r>
          </w:p>
        </w:tc>
      </w:tr>
      <w:tr>
        <w:tc>
          <w:tcPr/>
          <w:p>
            <w:pPr>
              <w:pStyle w:val="Compact"/>
              <w:jc w:val="left"/>
            </w:pPr>
            <w:r>
              <w:t xml:space="preserve">/chat</w:t>
            </w:r>
          </w:p>
        </w:tc>
        <w:tc>
          <w:tcPr/>
          <w:p>
            <w:pPr>
              <w:pStyle w:val="Compact"/>
              <w:jc w:val="left"/>
            </w:pPr>
            <w:r>
              <w:t xml:space="preserve">POST /sessions ·</w:t>
            </w:r>
            <w:r>
              <w:t xml:space="preserve"> </w:t>
            </w:r>
            <w:r>
              <w:t xml:space="preserve">/messages · GET</w:t>
            </w:r>
            <w:r>
              <w:t xml:space="preserve"> </w:t>
            </w:r>
            <w:r>
              <w:t xml:space="preserve">/remaining</w:t>
            </w:r>
          </w:p>
        </w:tc>
        <w:tc>
          <w:tcPr/>
          <w:p>
            <w:pPr>
              <w:pStyle w:val="Compact"/>
              <w:jc w:val="left"/>
            </w:pPr>
            <w:r>
              <w:t xml:space="preserve">Tutor conversacional</w:t>
            </w:r>
            <w:r>
              <w:t xml:space="preserve"> </w:t>
            </w:r>
            <w:r>
              <w:t xml:space="preserve">con RAG y rate</w:t>
            </w:r>
            <w:r>
              <w:t xml:space="preserve"> </w:t>
            </w:r>
            <w:r>
              <w:t xml:space="preserve">limiting.</w:t>
            </w:r>
          </w:p>
        </w:tc>
      </w:tr>
      <w:tr>
        <w:tc>
          <w:tcPr/>
          <w:p>
            <w:pPr>
              <w:pStyle w:val="Compact"/>
              <w:jc w:val="left"/>
            </w:pPr>
            <w:r>
              <w:t xml:space="preserve">/dashboard</w:t>
            </w:r>
          </w:p>
        </w:tc>
        <w:tc>
          <w:tcPr/>
          <w:p>
            <w:pPr>
              <w:pStyle w:val="Compact"/>
              <w:jc w:val="left"/>
            </w:pPr>
            <w:r>
              <w:t xml:space="preserve">GET /</w:t>
            </w:r>
          </w:p>
        </w:tc>
        <w:tc>
          <w:tcPr/>
          <w:p>
            <w:pPr>
              <w:pStyle w:val="Compact"/>
              <w:jc w:val="left"/>
            </w:pPr>
            <w:r>
              <w:t xml:space="preserve">Nivel, progreso global,</w:t>
            </w:r>
            <w:r>
              <w:t xml:space="preserve"> </w:t>
            </w:r>
            <w:r>
              <w:t xml:space="preserve">logros y</w:t>
            </w:r>
            <w:r>
              <w:t xml:space="preserve"> </w:t>
            </w:r>
            <w:r>
              <w:t xml:space="preserve">recomendaciones.</w:t>
            </w:r>
          </w:p>
        </w:tc>
      </w:tr>
      <w:tr>
        <w:tc>
          <w:tcPr/>
          <w:p>
            <w:pPr>
              <w:pStyle w:val="Compact"/>
              <w:jc w:val="left"/>
            </w:pPr>
            <w:r>
              <w:t xml:space="preserve">/coding</w:t>
            </w:r>
          </w:p>
        </w:tc>
        <w:tc>
          <w:tcPr/>
          <w:p>
            <w:pPr>
              <w:pStyle w:val="Compact"/>
              <w:jc w:val="left"/>
            </w:pPr>
            <w:r>
              <w:t xml:space="preserve">GET /topic/{id} · POST</w:t>
            </w:r>
            <w:r>
              <w:t xml:space="preserve"> </w:t>
            </w:r>
            <w:r>
              <w:t xml:space="preserve">/{id}/submit</w:t>
            </w:r>
          </w:p>
        </w:tc>
        <w:tc>
          <w:tcPr/>
          <w:p>
            <w:pPr>
              <w:pStyle w:val="Compact"/>
              <w:jc w:val="left"/>
            </w:pPr>
            <w:r>
              <w:t xml:space="preserve">Desafíos de código</w:t>
            </w:r>
            <w:r>
              <w:t xml:space="preserve"> </w:t>
            </w:r>
            <w:r>
              <w:t xml:space="preserve">adaptados y feedback de</w:t>
            </w:r>
            <w:r>
              <w:t xml:space="preserve"> </w:t>
            </w:r>
            <w:r>
              <w:t xml:space="preserve">la IA.</w:t>
            </w:r>
          </w:p>
        </w:tc>
      </w:tr>
      <w:tr>
        <w:tc>
          <w:tcPr/>
          <w:p>
            <w:pPr>
              <w:pStyle w:val="Compact"/>
              <w:jc w:val="left"/>
            </w:pPr>
            <w:r>
              <w:t xml:space="preserve">/assessment</w:t>
            </w:r>
          </w:p>
        </w:tc>
        <w:tc>
          <w:tcPr/>
          <w:p>
            <w:pPr>
              <w:pStyle w:val="Compact"/>
              <w:jc w:val="left"/>
            </w:pPr>
            <w:r>
              <w:t xml:space="preserve">POST /start · /submit</w:t>
            </w:r>
          </w:p>
        </w:tc>
        <w:tc>
          <w:tcPr/>
          <w:p>
            <w:pPr>
              <w:pStyle w:val="Compact"/>
              <w:jc w:val="left"/>
            </w:pPr>
            <w:r>
              <w:t xml:space="preserve">Evaluación de entrada</w:t>
            </w:r>
            <w:r>
              <w:t xml:space="preserve"> </w:t>
            </w:r>
            <w:r>
              <w:t xml:space="preserve">que clasifica en un</w:t>
            </w:r>
            <w:r>
              <w:t xml:space="preserve"> </w:t>
            </w:r>
            <w:r>
              <w:t xml:space="preserve">nivel.</w:t>
            </w:r>
          </w:p>
        </w:tc>
      </w:tr>
      <w:tr>
        <w:tc>
          <w:tcPr/>
          <w:p>
            <w:pPr>
              <w:pStyle w:val="Compact"/>
              <w:jc w:val="left"/>
            </w:pPr>
            <w:r>
              <w:t xml:space="preserve">/admin</w:t>
            </w:r>
          </w:p>
        </w:tc>
        <w:tc>
          <w:tcPr/>
          <w:p>
            <w:pPr>
              <w:pStyle w:val="Compact"/>
              <w:jc w:val="left"/>
            </w:pPr>
            <w:r>
              <w:t xml:space="preserve">POST /corpus/upload ·</w:t>
            </w:r>
            <w:r>
              <w:t xml:space="preserve"> </w:t>
            </w:r>
            <w:r>
              <w:t xml:space="preserve">GET /users</w:t>
            </w:r>
          </w:p>
        </w:tc>
        <w:tc>
          <w:tcPr/>
          <w:p>
            <w:pPr>
              <w:pStyle w:val="Compact"/>
              <w:jc w:val="left"/>
            </w:pPr>
            <w:r>
              <w:t xml:space="preserve">Gestión del corpus y</w:t>
            </w:r>
            <w:r>
              <w:t xml:space="preserve"> </w:t>
            </w:r>
            <w:r>
              <w:t xml:space="preserve">supervisión de</w:t>
            </w:r>
            <w:r>
              <w:t xml:space="preserve"> </w:t>
            </w:r>
            <w:r>
              <w:t xml:space="preserve">estudiantes.</w:t>
            </w:r>
          </w:p>
        </w:tc>
      </w:tr>
    </w:tbl>
    <w:p>
      <w:pPr>
        <w:pStyle w:val="BodyText"/>
      </w:pPr>
      <w:r>
        <w:rPr>
          <w:i/>
          <w:iCs/>
        </w:rPr>
        <w:t xml:space="preserve">Tabla 7. Routers REST del backend y su función.</w:t>
      </w:r>
    </w:p>
    <w:p>
      <w:pPr>
        <w:pStyle w:val="BodyText"/>
      </w:pPr>
      <w:r>
        <w:t xml:space="preserve">Características de seguridad: autenticación JWT con access token (60</w:t>
      </w:r>
      <w:r>
        <w:t xml:space="preserve"> </w:t>
      </w:r>
      <w:r>
        <w:t xml:space="preserve">min) y refresh token (7 días), contraseñas con bcrypt vía passlib,</w:t>
      </w:r>
      <w:r>
        <w:t xml:space="preserve"> </w:t>
      </w:r>
      <w:r>
        <w:t xml:space="preserve">control de acceso por roles (estudiante y administrador), rate limiting</w:t>
      </w:r>
      <w:r>
        <w:t xml:space="preserve"> </w:t>
      </w:r>
      <w:r>
        <w:t xml:space="preserve">con slowapi (20 consultas/hora por usuario en el chat) y logging</w:t>
      </w:r>
      <w:r>
        <w:t xml:space="preserve"> </w:t>
      </w:r>
      <w:r>
        <w:t xml:space="preserve">estructurado en JSON con loguru.</w:t>
      </w:r>
    </w:p>
    <w:p>
      <w:pPr>
        <w:pStyle w:val="BodyText"/>
      </w:pPr>
      <w:r>
        <w:rPr>
          <w:b/>
          <w:bCs/>
        </w:rPr>
        <w:t xml:space="preserve">Artefactos / entregables</w:t>
      </w:r>
    </w:p>
    <w:p>
      <w:pPr>
        <w:numPr>
          <w:ilvl w:val="0"/>
          <w:numId w:val="1007"/>
        </w:numPr>
      </w:pPr>
      <w:r>
        <w:t xml:space="preserve">Backend FastAPI con 10 routers y más de 25 endpoints REST operativos</w:t>
      </w:r>
      <w:r>
        <w:t xml:space="preserve"> </w:t>
      </w:r>
      <w:r>
        <w:t xml:space="preserve">en backend/app/api/v1/.</w:t>
      </w:r>
    </w:p>
    <w:p>
      <w:pPr>
        <w:numPr>
          <w:ilvl w:val="0"/>
          <w:numId w:val="1007"/>
        </w:numPr>
      </w:pPr>
      <w:r>
        <w:t xml:space="preserve">Servicios de dominio: AuthService, ProgressService, LevelingService,</w:t>
      </w:r>
      <w:r>
        <w:t xml:space="preserve"> </w:t>
      </w:r>
      <w:r>
        <w:t xml:space="preserve">ChallengeGenerator.</w:t>
      </w:r>
    </w:p>
    <w:p>
      <w:pPr>
        <w:numPr>
          <w:ilvl w:val="0"/>
          <w:numId w:val="1007"/>
        </w:numPr>
      </w:pPr>
      <w:r>
        <w:t xml:space="preserve">Módulos de seguridad: core/security.py (JWT), core/rate_limit.py</w:t>
      </w:r>
      <w:r>
        <w:t xml:space="preserve"> </w:t>
      </w:r>
      <w:r>
        <w:t xml:space="preserve">(slowapi), core/logging.py (loguru).</w:t>
      </w:r>
    </w:p>
    <w:bookmarkEnd w:id="14"/>
    <w:bookmarkStart w:id="15" w:name="X700fa924e88f55158f58df2e10814245d53dc10"/>
    <w:p>
      <w:pPr>
        <w:pStyle w:val="Heading4"/>
      </w:pPr>
      <w:r>
        <w:t xml:space="preserve">1.1.3.3. Sprint 5: Frontend React SPA e integración end-to-end</w:t>
      </w:r>
    </w:p>
    <w:p>
      <w:pPr>
        <w:pStyle w:val="FirstParagraph"/>
      </w:pPr>
      <w:r>
        <w:t xml:space="preserve">El Sprint 5 (18 – 22 de abril de 2026) desarrolló el frontend de página</w:t>
      </w:r>
      <w:r>
        <w:t xml:space="preserve"> </w:t>
      </w:r>
      <w:r>
        <w:t xml:space="preserve">única (SPA) con React 18, TypeScript estricto y shadcn/ui, integrándolo</w:t>
      </w:r>
      <w:r>
        <w:t xml:space="preserve"> </w:t>
      </w:r>
      <w:r>
        <w:t xml:space="preserve">con el backend REST. Al cierre del sprint el sistema funciona de extremo</w:t>
      </w:r>
      <w:r>
        <w:t xml:space="preserve"> </w:t>
      </w:r>
      <w:r>
        <w:t xml:space="preserve">a extremo en entorno de desarrollo: el flujo estudiante → consulta →</w:t>
      </w:r>
      <w:r>
        <w:t xml:space="preserve"> </w:t>
      </w:r>
      <w:r>
        <w:t xml:space="preserve">respuesta con citas opera correctamente.</w:t>
      </w:r>
    </w:p>
    <w:p>
      <w:pPr>
        <w:pStyle w:val="BodyText"/>
      </w:pPr>
      <w:r>
        <w:rPr>
          <w:i/>
          <w:iCs/>
        </w:rPr>
        <w:t xml:space="preserve">Evidencia 8: vista de contenedores del sistema (C4 — Nivel 2)</w:t>
      </w:r>
    </w:p>
    <w:tbl>
      <w:tblPr>
        <w:tblStyle w:val="Table"/>
        <w:tblW w:type="pct" w:w="4872"/>
        <w:tblLayout w:type="fixed"/>
        <w:tblLook w:firstRow="1" w:lastRow="0" w:firstColumn="0" w:lastColumn="0" w:noHBand="0" w:noVBand="0" w:val="0020"/>
      </w:tblPr>
      <w:tblGrid>
        <w:gridCol w:w="1827"/>
        <w:gridCol w:w="1827"/>
        <w:gridCol w:w="2030"/>
        <w:gridCol w:w="2030"/>
      </w:tblGrid>
      <w:tr>
        <w:trPr>
          <w:tblHeader w:val="on"/>
        </w:trPr>
        <w:tc>
          <w:tcPr/>
          <w:p>
            <w:pPr>
              <w:pStyle w:val="Compact"/>
              <w:jc w:val="left"/>
            </w:pPr>
            <w:r>
              <w:rPr>
                <w:b/>
                <w:bCs/>
              </w:rPr>
              <w:t xml:space="preserve">Contenedor</w:t>
            </w:r>
          </w:p>
        </w:tc>
        <w:tc>
          <w:tcPr/>
          <w:p>
            <w:pPr>
              <w:pStyle w:val="Compact"/>
              <w:jc w:val="left"/>
            </w:pPr>
            <w:r>
              <w:rPr>
                <w:b/>
                <w:bCs/>
              </w:rPr>
              <w:t xml:space="preserve">Tecnología</w:t>
            </w:r>
          </w:p>
        </w:tc>
        <w:tc>
          <w:tcPr/>
          <w:p>
            <w:pPr>
              <w:pStyle w:val="Compact"/>
              <w:jc w:val="left"/>
            </w:pPr>
            <w:r>
              <w:rPr>
                <w:b/>
                <w:bCs/>
              </w:rPr>
              <w:t xml:space="preserve">Responsabilidad</w:t>
            </w:r>
            <w:r>
              <w:rPr>
                <w:b/>
                <w:bCs/>
              </w:rPr>
              <w:t xml:space="preserve"> </w:t>
            </w:r>
            <w:r>
              <w:rPr>
                <w:b/>
                <w:bCs/>
              </w:rPr>
              <w:t xml:space="preserve">principal</w:t>
            </w:r>
          </w:p>
        </w:tc>
        <w:tc>
          <w:tcPr/>
          <w:p>
            <w:pPr>
              <w:pStyle w:val="Compact"/>
              <w:jc w:val="left"/>
            </w:pPr>
            <w:r>
              <w:rPr>
                <w:b/>
                <w:bCs/>
              </w:rPr>
              <w:t xml:space="preserve">Puerto</w:t>
            </w:r>
          </w:p>
        </w:tc>
      </w:tr>
      <w:tr>
        <w:tc>
          <w:tcPr/>
          <w:p>
            <w:pPr>
              <w:pStyle w:val="Compact"/>
              <w:jc w:val="left"/>
            </w:pPr>
            <w:r>
              <w:t xml:space="preserve">SPA Frontend</w:t>
            </w:r>
          </w:p>
        </w:tc>
        <w:tc>
          <w:tcPr/>
          <w:p>
            <w:pPr>
              <w:pStyle w:val="Compact"/>
              <w:jc w:val="left"/>
            </w:pPr>
            <w:r>
              <w:t xml:space="preserve">React 18 + Vite +</w:t>
            </w:r>
            <w:r>
              <w:t xml:space="preserve"> </w:t>
            </w:r>
            <w:r>
              <w:t xml:space="preserve">TS + shadcn/ui</w:t>
            </w:r>
          </w:p>
        </w:tc>
        <w:tc>
          <w:tcPr/>
          <w:p>
            <w:pPr>
              <w:pStyle w:val="Compact"/>
              <w:jc w:val="left"/>
            </w:pPr>
            <w:r>
              <w:t xml:space="preserve">Interfaz web;</w:t>
            </w:r>
            <w:r>
              <w:t xml:space="preserve"> </w:t>
            </w:r>
            <w:r>
              <w:t xml:space="preserve">sesión JWT y</w:t>
            </w:r>
            <w:r>
              <w:t xml:space="preserve"> </w:t>
            </w:r>
            <w:r>
              <w:t xml:space="preserve">consumo de la API.</w:t>
            </w:r>
          </w:p>
        </w:tc>
        <w:tc>
          <w:tcPr/>
          <w:p>
            <w:pPr>
              <w:pStyle w:val="Compact"/>
              <w:jc w:val="left"/>
            </w:pPr>
            <w:r>
              <w:t xml:space="preserve">443</w:t>
            </w:r>
          </w:p>
        </w:tc>
      </w:tr>
      <w:tr>
        <w:tc>
          <w:tcPr/>
          <w:p>
            <w:pPr>
              <w:pStyle w:val="Compact"/>
              <w:jc w:val="left"/>
            </w:pPr>
            <w:r>
              <w:t xml:space="preserve">Reverse Proxy</w:t>
            </w:r>
          </w:p>
        </w:tc>
        <w:tc>
          <w:tcPr/>
          <w:p>
            <w:pPr>
              <w:pStyle w:val="Compact"/>
              <w:jc w:val="left"/>
            </w:pPr>
            <w:r>
              <w:t xml:space="preserve">Caddy + Let’s</w:t>
            </w:r>
            <w:r>
              <w:t xml:space="preserve"> </w:t>
            </w:r>
            <w:r>
              <w:t xml:space="preserve">Encrypt</w:t>
            </w:r>
          </w:p>
        </w:tc>
        <w:tc>
          <w:tcPr/>
          <w:p>
            <w:pPr>
              <w:pStyle w:val="Compact"/>
              <w:jc w:val="left"/>
            </w:pPr>
            <w:r>
              <w:t xml:space="preserve">Termina TLS, rutea</w:t>
            </w:r>
            <w:r>
              <w:t xml:space="preserve"> </w:t>
            </w:r>
            <w:r>
              <w:t xml:space="preserve">al backend, renueva</w:t>
            </w:r>
            <w:r>
              <w:t xml:space="preserve"> </w:t>
            </w:r>
            <w:r>
              <w:t xml:space="preserve">certificados.</w:t>
            </w:r>
          </w:p>
        </w:tc>
        <w:tc>
          <w:tcPr/>
          <w:p>
            <w:pPr>
              <w:pStyle w:val="Compact"/>
              <w:jc w:val="left"/>
            </w:pPr>
            <w:r>
              <w:t xml:space="preserve">443→80</w:t>
            </w:r>
          </w:p>
        </w:tc>
      </w:tr>
      <w:tr>
        <w:tc>
          <w:tcPr/>
          <w:p>
            <w:pPr>
              <w:pStyle w:val="Compact"/>
              <w:jc w:val="left"/>
            </w:pPr>
            <w:r>
              <w:t xml:space="preserve">Backend API</w:t>
            </w:r>
          </w:p>
        </w:tc>
        <w:tc>
          <w:tcPr/>
          <w:p>
            <w:pPr>
              <w:pStyle w:val="Compact"/>
              <w:jc w:val="left"/>
            </w:pPr>
            <w:r>
              <w:t xml:space="preserve">FastAPI + Python</w:t>
            </w:r>
            <w:r>
              <w:t xml:space="preserve"> </w:t>
            </w:r>
            <w:r>
              <w:t xml:space="preserve">3.11</w:t>
            </w:r>
          </w:p>
        </w:tc>
        <w:tc>
          <w:tcPr/>
          <w:p>
            <w:pPr>
              <w:pStyle w:val="Compact"/>
              <w:jc w:val="left"/>
            </w:pPr>
            <w:r>
              <w:t xml:space="preserve">API REST, JWT,</w:t>
            </w:r>
            <w:r>
              <w:t xml:space="preserve"> </w:t>
            </w:r>
            <w:r>
              <w:t xml:space="preserve">orquestación RAG y</w:t>
            </w:r>
            <w:r>
              <w:t xml:space="preserve"> </w:t>
            </w:r>
            <w:r>
              <w:t xml:space="preserve">BackgroundTasks.</w:t>
            </w:r>
          </w:p>
        </w:tc>
        <w:tc>
          <w:tcPr/>
          <w:p>
            <w:pPr>
              <w:pStyle w:val="Compact"/>
              <w:jc w:val="left"/>
            </w:pPr>
            <w:r>
              <w:t xml:space="preserve">8000</w:t>
            </w:r>
          </w:p>
        </w:tc>
      </w:tr>
      <w:tr>
        <w:tc>
          <w:tcPr/>
          <w:p>
            <w:pPr>
              <w:pStyle w:val="Compact"/>
              <w:jc w:val="left"/>
            </w:pPr>
            <w:r>
              <w:t xml:space="preserve">Motor LLM</w:t>
            </w:r>
          </w:p>
        </w:tc>
        <w:tc>
          <w:tcPr/>
          <w:p>
            <w:pPr>
              <w:pStyle w:val="Compact"/>
              <w:jc w:val="left"/>
            </w:pPr>
            <w:r>
              <w:t xml:space="preserve">Ollama +</w:t>
            </w:r>
            <w:r>
              <w:t xml:space="preserve"> </w:t>
            </w:r>
            <w:r>
              <w:t xml:space="preserve">qwen2.5:7b</w:t>
            </w:r>
          </w:p>
        </w:tc>
        <w:tc>
          <w:tcPr/>
          <w:p>
            <w:pPr>
              <w:pStyle w:val="Compact"/>
              <w:jc w:val="left"/>
            </w:pPr>
            <w:r>
              <w:t xml:space="preserve">Genera respuestas y</w:t>
            </w:r>
            <w:r>
              <w:t xml:space="preserve"> </w:t>
            </w:r>
            <w:r>
              <w:t xml:space="preserve">embeddings. No</w:t>
            </w:r>
            <w:r>
              <w:t xml:space="preserve"> </w:t>
            </w:r>
            <w:r>
              <w:t xml:space="preserve">expuesto.</w:t>
            </w:r>
          </w:p>
        </w:tc>
        <w:tc>
          <w:tcPr/>
          <w:p>
            <w:pPr>
              <w:pStyle w:val="Compact"/>
              <w:jc w:val="left"/>
            </w:pPr>
            <w:r>
              <w:t xml:space="preserve">11434</w:t>
            </w:r>
          </w:p>
        </w:tc>
      </w:tr>
      <w:tr>
        <w:tc>
          <w:tcPr/>
          <w:p>
            <w:pPr>
              <w:pStyle w:val="Compact"/>
              <w:jc w:val="left"/>
            </w:pPr>
            <w:r>
              <w:t xml:space="preserve">Base de datos</w:t>
            </w:r>
          </w:p>
        </w:tc>
        <w:tc>
          <w:tcPr/>
          <w:p>
            <w:pPr>
              <w:pStyle w:val="Compact"/>
              <w:jc w:val="left"/>
            </w:pPr>
            <w:r>
              <w:t xml:space="preserve">PostgreSQL 16 +</w:t>
            </w:r>
            <w:r>
              <w:t xml:space="preserve"> </w:t>
            </w:r>
            <w:r>
              <w:t xml:space="preserve">pgvector</w:t>
            </w:r>
          </w:p>
        </w:tc>
        <w:tc>
          <w:tcPr/>
          <w:p>
            <w:pPr>
              <w:pStyle w:val="Compact"/>
              <w:jc w:val="left"/>
            </w:pPr>
            <w:r>
              <w:t xml:space="preserve">Persistencia</w:t>
            </w:r>
            <w:r>
              <w:t xml:space="preserve"> </w:t>
            </w:r>
            <w:r>
              <w:t xml:space="preserve">relacional y</w:t>
            </w:r>
            <w:r>
              <w:t xml:space="preserve"> </w:t>
            </w:r>
            <w:r>
              <w:t xml:space="preserve">vectorial</w:t>
            </w:r>
            <w:r>
              <w:t xml:space="preserve"> </w:t>
            </w:r>
            <w:r>
              <w:t xml:space="preserve">(IVFFlat).</w:t>
            </w:r>
          </w:p>
        </w:tc>
        <w:tc>
          <w:tcPr/>
          <w:p>
            <w:pPr>
              <w:pStyle w:val="Compact"/>
              <w:jc w:val="left"/>
            </w:pPr>
            <w:r>
              <w:t xml:space="preserve">5432</w:t>
            </w:r>
          </w:p>
        </w:tc>
      </w:tr>
      <w:tr>
        <w:tc>
          <w:tcPr/>
          <w:p>
            <w:pPr>
              <w:pStyle w:val="Compact"/>
              <w:jc w:val="left"/>
            </w:pPr>
            <w:r>
              <w:t xml:space="preserve">Caché</w:t>
            </w:r>
          </w:p>
        </w:tc>
        <w:tc>
          <w:tcPr/>
          <w:p>
            <w:pPr>
              <w:pStyle w:val="Compact"/>
              <w:jc w:val="left"/>
            </w:pPr>
            <w:r>
              <w:t xml:space="preserve">Redis 7</w:t>
            </w:r>
          </w:p>
        </w:tc>
        <w:tc>
          <w:tcPr/>
          <w:p>
            <w:pPr>
              <w:pStyle w:val="Compact"/>
              <w:jc w:val="left"/>
            </w:pPr>
            <w:r>
              <w:t xml:space="preserve">Caché de respuestas</w:t>
            </w:r>
            <w:r>
              <w:t xml:space="preserve"> </w:t>
            </w:r>
            <w:r>
              <w:t xml:space="preserve">RAG (TTL 3 600 s) y</w:t>
            </w:r>
            <w:r>
              <w:t xml:space="preserve"> </w:t>
            </w:r>
            <w:r>
              <w:t xml:space="preserve">rate limit.</w:t>
            </w:r>
          </w:p>
        </w:tc>
        <w:tc>
          <w:tcPr/>
          <w:p>
            <w:pPr>
              <w:pStyle w:val="Compact"/>
              <w:jc w:val="left"/>
            </w:pPr>
            <w:r>
              <w:t xml:space="preserve">6379</w:t>
            </w:r>
          </w:p>
        </w:tc>
      </w:tr>
      <w:tr>
        <w:tc>
          <w:tcPr/>
          <w:p>
            <w:pPr>
              <w:pStyle w:val="Compact"/>
              <w:jc w:val="left"/>
            </w:pPr>
            <w:r>
              <w:t xml:space="preserve">Corpus y backups</w:t>
            </w:r>
          </w:p>
        </w:tc>
        <w:tc>
          <w:tcPr/>
          <w:p>
            <w:pPr>
              <w:pStyle w:val="Compact"/>
              <w:jc w:val="left"/>
            </w:pPr>
            <w:r>
              <w:t xml:space="preserve">Volumen /data en</w:t>
            </w:r>
            <w:r>
              <w:t xml:space="preserve"> </w:t>
            </w:r>
            <w:r>
              <w:t xml:space="preserve">la VM</w:t>
            </w:r>
          </w:p>
        </w:tc>
        <w:tc>
          <w:tcPr/>
          <w:p>
            <w:pPr>
              <w:pStyle w:val="Compact"/>
              <w:jc w:val="left"/>
            </w:pPr>
            <w:r>
              <w:t xml:space="preserve">Documentos fuente y</w:t>
            </w:r>
            <w:r>
              <w:t xml:space="preserve"> </w:t>
            </w:r>
            <w:r>
              <w:t xml:space="preserve">respaldos de</w:t>
            </w:r>
            <w:r>
              <w:t xml:space="preserve"> </w:t>
            </w:r>
            <w:r>
              <w:t xml:space="preserve">PostgreSQL.</w:t>
            </w:r>
          </w:p>
        </w:tc>
        <w:tc>
          <w:tcPr/>
          <w:p>
            <w:pPr>
              <w:pStyle w:val="Compact"/>
              <w:jc w:val="left"/>
            </w:pPr>
            <w:r>
              <w:t xml:space="preserve">—</w:t>
            </w:r>
          </w:p>
        </w:tc>
      </w:tr>
    </w:tbl>
    <w:p>
      <w:pPr>
        <w:pStyle w:val="BodyText"/>
      </w:pPr>
      <w:r>
        <w:rPr>
          <w:i/>
          <w:iCs/>
        </w:rPr>
        <w:t xml:space="preserve">Tabla 8. Inventario de contenedores del sistema.</w:t>
      </w:r>
    </w:p>
    <w:p>
      <w:pPr>
        <w:pStyle w:val="BodyText"/>
      </w:pPr>
      <w:r>
        <w:rPr>
          <w:i/>
          <w:iCs/>
        </w:rPr>
        <w:t xml:space="preserve">Figura 2. Diagrama de contenedores del sistema (C4 · Nivel 2).</w:t>
      </w:r>
    </w:p>
    <w:p>
      <w:pPr>
        <w:pStyle w:val="BodyText"/>
      </w:pPr>
      <w:r>
        <w:rPr>
          <w:b/>
          <w:bCs/>
        </w:rPr>
        <w:t xml:space="preserve">Artefactos / entregables</w:t>
      </w:r>
    </w:p>
    <w:p>
      <w:pPr>
        <w:numPr>
          <w:ilvl w:val="0"/>
          <w:numId w:val="1008"/>
        </w:numPr>
      </w:pPr>
      <w:r>
        <w:t xml:space="preserve">Frontend React con páginas operativas: Login, Dashboard, Modules,</w:t>
      </w:r>
      <w:r>
        <w:t xml:space="preserve"> </w:t>
      </w:r>
      <w:r>
        <w:t xml:space="preserve">Lesson y Progress.</w:t>
      </w:r>
    </w:p>
    <w:p>
      <w:pPr>
        <w:numPr>
          <w:ilvl w:val="0"/>
          <w:numId w:val="1008"/>
        </w:numPr>
      </w:pPr>
      <w:r>
        <w:t xml:space="preserve">Componentes de chat: ChatInterface, MessageBubble, SourceCitation</w:t>
      </w:r>
      <w:r>
        <w:t xml:space="preserve"> </w:t>
      </w:r>
      <w:r>
        <w:t xml:space="preserve">(muestra fuentes y % de similitud).</w:t>
      </w:r>
    </w:p>
    <w:p>
      <w:pPr>
        <w:numPr>
          <w:ilvl w:val="0"/>
          <w:numId w:val="1008"/>
        </w:numPr>
      </w:pPr>
      <w:r>
        <w:t xml:space="preserve">Cliente HTTP centralizado con interceptor de tokens; sistema funcional</w:t>
      </w:r>
      <w:r>
        <w:t xml:space="preserve"> </w:t>
      </w:r>
      <w:r>
        <w:t xml:space="preserve">end-to-end verificado por pruebas manuales del flujo completo.</w:t>
      </w:r>
    </w:p>
    <w:bookmarkEnd w:id="15"/>
    <w:bookmarkStart w:id="16" w:name="X30aa6395f58cebfd23877d452d8aebe5b26ea9d"/>
    <w:p>
      <w:pPr>
        <w:pStyle w:val="Heading4"/>
      </w:pPr>
      <w:r>
        <w:t xml:space="preserve">1.1.3.4. Sprint 6: Validación preliminar del pipeline RAG con RAGAS</w:t>
      </w:r>
    </w:p>
    <w:p>
      <w:pPr>
        <w:pStyle w:val="FirstParagraph"/>
      </w:pPr>
      <w:r>
        <w:t xml:space="preserve">El Sprint 6 (23 – 24 de abril de 2026) ejecutó la validación preliminar</w:t>
      </w:r>
      <w:r>
        <w:t xml:space="preserve"> </w:t>
      </w:r>
      <w:r>
        <w:t xml:space="preserve">del pipeline RAG mediante el framework RAGAS sobre un golden set inicial</w:t>
      </w:r>
      <w:r>
        <w:t xml:space="preserve"> </w:t>
      </w:r>
      <w:r>
        <w:t xml:space="preserve">de 30 preguntas con ground-truth. Esta iteración diagnóstica fue</w:t>
      </w:r>
      <w:r>
        <w:t xml:space="preserve"> </w:t>
      </w:r>
      <w:r>
        <w:t xml:space="preserve">determinante: reveló una precisión de contexto (context_precision) baja,</w:t>
      </w:r>
      <w:r>
        <w:t xml:space="preserve"> </w:t>
      </w:r>
      <w:r>
        <w:t xml:space="preserve">del orden de 0.29, con recuperación por similitud coseno simple, lo que</w:t>
      </w:r>
      <w:r>
        <w:t xml:space="preserve"> </w:t>
      </w:r>
      <w:r>
        <w:t xml:space="preserve">motivó la incorporación de una etapa de reranking con cross-encoder en</w:t>
      </w:r>
      <w:r>
        <w:t xml:space="preserve"> </w:t>
      </w:r>
      <w:r>
        <w:t xml:space="preserve">el pipeline.</w:t>
      </w:r>
    </w:p>
    <w:p>
      <w:pPr>
        <w:pStyle w:val="BodyText"/>
      </w:pPr>
      <w:r>
        <w:rPr>
          <w:i/>
          <w:iCs/>
        </w:rPr>
        <w:t xml:space="preserve">Evidencia 9: resultados RAGAS preliminares baseline vs. v2 (30</w:t>
      </w:r>
      <w:r>
        <w:rPr>
          <w:i/>
          <w:iCs/>
        </w:rPr>
        <w:t xml:space="preserve"> </w:t>
      </w:r>
      <w:r>
        <w:rPr>
          <w:i/>
          <w:iCs/>
        </w:rPr>
        <w:t xml:space="preserve">preguntas)</w:t>
      </w:r>
    </w:p>
    <w:tbl>
      <w:tblPr>
        <w:tblStyle w:val="Table"/>
        <w:tblW w:type="pct" w:w="4868"/>
        <w:tblLayout w:type="fixed"/>
        <w:tblLook w:firstRow="1" w:lastRow="0" w:firstColumn="0" w:lastColumn="0" w:noHBand="0" w:noVBand="0" w:val="0020"/>
      </w:tblPr>
      <w:tblGrid>
        <w:gridCol w:w="2084"/>
        <w:gridCol w:w="1875"/>
        <w:gridCol w:w="1875"/>
        <w:gridCol w:w="1875"/>
      </w:tblGrid>
      <w:tr>
        <w:trPr>
          <w:tblHeader w:val="on"/>
        </w:trPr>
        <w:tc>
          <w:tcPr/>
          <w:p>
            <w:pPr>
              <w:pStyle w:val="Compact"/>
              <w:jc w:val="left"/>
            </w:pPr>
            <w:r>
              <w:rPr>
                <w:b/>
                <w:bCs/>
              </w:rPr>
              <w:t xml:space="preserve">Métrica</w:t>
            </w:r>
          </w:p>
        </w:tc>
        <w:tc>
          <w:tcPr/>
          <w:p>
            <w:pPr>
              <w:pStyle w:val="Compact"/>
              <w:jc w:val="left"/>
            </w:pPr>
            <w:r>
              <w:rPr>
                <w:b/>
                <w:bCs/>
              </w:rPr>
              <w:t xml:space="preserve">Baseline</w:t>
            </w:r>
          </w:p>
        </w:tc>
        <w:tc>
          <w:tcPr/>
          <w:p>
            <w:pPr>
              <w:pStyle w:val="Compact"/>
              <w:jc w:val="left"/>
            </w:pPr>
            <w:r>
              <w:rPr>
                <w:b/>
                <w:bCs/>
              </w:rPr>
              <w:t xml:space="preserve">v2</w:t>
            </w:r>
          </w:p>
        </w:tc>
        <w:tc>
          <w:tcPr/>
          <w:p>
            <w:pPr>
              <w:pStyle w:val="Compact"/>
              <w:jc w:val="left"/>
            </w:pPr>
            <w:r>
              <w:rPr>
                <w:b/>
                <w:bCs/>
              </w:rPr>
              <w:t xml:space="preserve">Δ</w:t>
            </w:r>
          </w:p>
        </w:tc>
      </w:tr>
      <w:tr>
        <w:tc>
          <w:tcPr/>
          <w:p>
            <w:pPr>
              <w:pStyle w:val="Compact"/>
              <w:jc w:val="left"/>
            </w:pPr>
            <w:r>
              <w:t xml:space="preserve">faithfulness</w:t>
            </w:r>
          </w:p>
        </w:tc>
        <w:tc>
          <w:tcPr/>
          <w:p>
            <w:pPr>
              <w:pStyle w:val="Compact"/>
              <w:jc w:val="left"/>
            </w:pPr>
            <w:r>
              <w:t xml:space="preserve">0.663</w:t>
            </w:r>
          </w:p>
        </w:tc>
        <w:tc>
          <w:tcPr/>
          <w:p>
            <w:pPr>
              <w:pStyle w:val="Compact"/>
              <w:jc w:val="left"/>
            </w:pPr>
            <w:r>
              <w:t xml:space="preserve">0.716</w:t>
            </w:r>
          </w:p>
        </w:tc>
        <w:tc>
          <w:tcPr/>
          <w:p>
            <w:pPr>
              <w:pStyle w:val="Compact"/>
              <w:jc w:val="left"/>
            </w:pPr>
            <w:r>
              <w:t xml:space="preserve">+0.053</w:t>
            </w:r>
          </w:p>
        </w:tc>
      </w:tr>
      <w:tr>
        <w:tc>
          <w:tcPr/>
          <w:p>
            <w:pPr>
              <w:pStyle w:val="Compact"/>
              <w:jc w:val="left"/>
            </w:pPr>
            <w:r>
              <w:t xml:space="preserve">answer_relevancy</w:t>
            </w:r>
          </w:p>
        </w:tc>
        <w:tc>
          <w:tcPr/>
          <w:p>
            <w:pPr>
              <w:pStyle w:val="Compact"/>
              <w:jc w:val="left"/>
            </w:pPr>
            <w:r>
              <w:t xml:space="preserve">0.863</w:t>
            </w:r>
          </w:p>
        </w:tc>
        <w:tc>
          <w:tcPr/>
          <w:p>
            <w:pPr>
              <w:pStyle w:val="Compact"/>
              <w:jc w:val="left"/>
            </w:pPr>
            <w:r>
              <w:t xml:space="preserve">0.856</w:t>
            </w:r>
          </w:p>
        </w:tc>
        <w:tc>
          <w:tcPr/>
          <w:p>
            <w:pPr>
              <w:pStyle w:val="Compact"/>
              <w:jc w:val="left"/>
            </w:pPr>
            <w:r>
              <w:t xml:space="preserve">−0.007</w:t>
            </w:r>
          </w:p>
        </w:tc>
      </w:tr>
      <w:tr>
        <w:tc>
          <w:tcPr/>
          <w:p>
            <w:pPr>
              <w:pStyle w:val="Compact"/>
              <w:jc w:val="left"/>
            </w:pPr>
            <w:r>
              <w:t xml:space="preserve">context_precision</w:t>
            </w:r>
          </w:p>
        </w:tc>
        <w:tc>
          <w:tcPr/>
          <w:p>
            <w:pPr>
              <w:pStyle w:val="Compact"/>
              <w:jc w:val="left"/>
            </w:pPr>
            <w:r>
              <w:t xml:space="preserve">0.297</w:t>
            </w:r>
          </w:p>
        </w:tc>
        <w:tc>
          <w:tcPr/>
          <w:p>
            <w:pPr>
              <w:pStyle w:val="Compact"/>
              <w:jc w:val="left"/>
            </w:pPr>
            <w:r>
              <w:t xml:space="preserve">0.290</w:t>
            </w:r>
          </w:p>
        </w:tc>
        <w:tc>
          <w:tcPr/>
          <w:p>
            <w:pPr>
              <w:pStyle w:val="Compact"/>
              <w:jc w:val="left"/>
            </w:pPr>
            <w:r>
              <w:t xml:space="preserve">−0.007</w:t>
            </w:r>
          </w:p>
        </w:tc>
      </w:tr>
      <w:tr>
        <w:tc>
          <w:tcPr/>
          <w:p>
            <w:pPr>
              <w:pStyle w:val="Compact"/>
              <w:jc w:val="left"/>
            </w:pPr>
            <w:r>
              <w:t xml:space="preserve">context_recall</w:t>
            </w:r>
          </w:p>
        </w:tc>
        <w:tc>
          <w:tcPr/>
          <w:p>
            <w:pPr>
              <w:pStyle w:val="Compact"/>
              <w:jc w:val="left"/>
            </w:pPr>
            <w:r>
              <w:t xml:space="preserve">0.547</w:t>
            </w:r>
          </w:p>
        </w:tc>
        <w:tc>
          <w:tcPr/>
          <w:p>
            <w:pPr>
              <w:pStyle w:val="Compact"/>
              <w:jc w:val="left"/>
            </w:pPr>
            <w:r>
              <w:t xml:space="preserve">0.619</w:t>
            </w:r>
          </w:p>
        </w:tc>
        <w:tc>
          <w:tcPr/>
          <w:p>
            <w:pPr>
              <w:pStyle w:val="Compact"/>
              <w:jc w:val="left"/>
            </w:pPr>
            <w:r>
              <w:t xml:space="preserve">+0.072</w:t>
            </w:r>
          </w:p>
        </w:tc>
      </w:tr>
    </w:tbl>
    <w:p>
      <w:pPr>
        <w:pStyle w:val="BodyText"/>
      </w:pPr>
      <w:r>
        <w:rPr>
          <w:i/>
          <w:iCs/>
        </w:rPr>
        <w:t xml:space="preserve">Tabla 9. Resultados RAGAS preliminares (30 preguntas).</w:t>
      </w:r>
    </w:p>
    <w:p>
      <w:pPr>
        <w:pStyle w:val="BodyText"/>
      </w:pPr>
      <w:r>
        <w:t xml:space="preserve">Hallazgo metodológico: la recuperación por similitud coseno simple no</w:t>
      </w:r>
      <w:r>
        <w:t xml:space="preserve"> </w:t>
      </w:r>
      <w:r>
        <w:t xml:space="preserve">alcanza una precisión de contexto aceptable para el dominio. La</w:t>
      </w:r>
      <w:r>
        <w:t xml:space="preserve"> </w:t>
      </w:r>
      <w:r>
        <w:t xml:space="preserve">contribución técnica del proyecto —la incorporación de reranking con</w:t>
      </w:r>
      <w:r>
        <w:t xml:space="preserve"> </w:t>
      </w:r>
      <w:r>
        <w:t xml:space="preserve">cross-encoder y la ampliación del golden set a 50 ítems— se mide en el</w:t>
      </w:r>
      <w:r>
        <w:t xml:space="preserve"> </w:t>
      </w:r>
      <w:r>
        <w:t xml:space="preserve">Sprint 7 con la librería oficial de RAGAS y se reporta en el apartado</w:t>
      </w:r>
      <w:r>
        <w:t xml:space="preserve"> </w:t>
      </w:r>
      <w:r>
        <w:t xml:space="preserve">1.2.2, donde las cinco métricas superan sus umbrales.</w:t>
      </w:r>
    </w:p>
    <w:p>
      <w:pPr>
        <w:pStyle w:val="BodyText"/>
      </w:pPr>
      <w:r>
        <w:rPr>
          <w:b/>
          <w:bCs/>
        </w:rPr>
        <w:t xml:space="preserve">Artefactos / entregables</w:t>
      </w:r>
    </w:p>
    <w:p>
      <w:pPr>
        <w:numPr>
          <w:ilvl w:val="0"/>
          <w:numId w:val="1009"/>
        </w:numPr>
      </w:pPr>
      <w:r>
        <w:t xml:space="preserve">Golden set inicial: backend/tests/fixtures/golden_set.json (30</w:t>
      </w:r>
      <w:r>
        <w:t xml:space="preserve"> </w:t>
      </w:r>
      <w:r>
        <w:t xml:space="preserve">preguntas con ground-truth).</w:t>
      </w:r>
    </w:p>
    <w:p>
      <w:pPr>
        <w:numPr>
          <w:ilvl w:val="0"/>
          <w:numId w:val="1009"/>
        </w:numPr>
      </w:pPr>
      <w:r>
        <w:t xml:space="preserve">Notebook de evaluación RAGAS:</w:t>
      </w:r>
      <w:r>
        <w:t xml:space="preserve"> </w:t>
      </w:r>
      <w:r>
        <w:t xml:space="preserve">backend/notebooks/ragas_validation.ipynb.</w:t>
      </w:r>
    </w:p>
    <w:p>
      <w:pPr>
        <w:numPr>
          <w:ilvl w:val="0"/>
          <w:numId w:val="1009"/>
        </w:numPr>
      </w:pPr>
      <w:r>
        <w:t xml:space="preserve">Decisión de diseño documentada: incorporación de reranking con</w:t>
      </w:r>
      <w:r>
        <w:t xml:space="preserve"> </w:t>
      </w:r>
      <w:r>
        <w:t xml:space="preserve">cross-encoder al pipeline de producción.</w:t>
      </w:r>
    </w:p>
    <w:bookmarkEnd w:id="16"/>
    <w:bookmarkEnd w:id="17"/>
    <w:bookmarkStart w:id="18" w:name="iteración-4-evaluación-sprint-7"/>
    <w:p>
      <w:pPr>
        <w:pStyle w:val="Heading3"/>
      </w:pPr>
      <w:r>
        <w:t xml:space="preserve">1.1.4. Iteración #4: Evaluación (Sprint 7)</w:t>
      </w:r>
    </w:p>
    <w:p>
      <w:pPr>
        <w:pStyle w:val="FirstParagraph"/>
      </w:pPr>
      <w:r>
        <w:t xml:space="preserve">La Iteración #4 (Sprint 7, 25 – 29 de abril de 2026) materializó la</w:t>
      </w:r>
      <w:r>
        <w:t xml:space="preserve"> </w:t>
      </w:r>
      <w:r>
        <w:t xml:space="preserve">contribución técnica del proyecto: se incorporó una etapa de reranking</w:t>
      </w:r>
      <w:r>
        <w:t xml:space="preserve"> </w:t>
      </w:r>
      <w:r>
        <w:t xml:space="preserve">con cross-encoder sobre los chunks recuperados por similitud coseno, y</w:t>
      </w:r>
      <w:r>
        <w:t xml:space="preserve"> </w:t>
      </w:r>
      <w:r>
        <w:t xml:space="preserve">se ejecutó la validación formal del pipeline RAG con la librería oficial</w:t>
      </w:r>
      <w:r>
        <w:t xml:space="preserve"> </w:t>
      </w:r>
      <w:r>
        <w:t xml:space="preserve">de RAGAS (ragas==0.2.6) sobre un golden set ampliado a 50 preguntas. El</w:t>
      </w:r>
      <w:r>
        <w:t xml:space="preserve"> </w:t>
      </w:r>
      <w:r>
        <w:t xml:space="preserve">diseño experimental fue de tipo antes/después controlado: se midieron</w:t>
      </w:r>
      <w:r>
        <w:t xml:space="preserve"> </w:t>
      </w:r>
      <w:r>
        <w:t xml:space="preserve">las mismas métricas con recuperación coseno simple (línea base) y con</w:t>
      </w:r>
      <w:r>
        <w:t xml:space="preserve"> </w:t>
      </w:r>
      <w:r>
        <w:t xml:space="preserve">recuperación coseno + reranking, aislando el efecto de la mejora.</w:t>
      </w:r>
    </w:p>
    <w:p>
      <w:pPr>
        <w:pStyle w:val="BodyText"/>
      </w:pPr>
      <w:r>
        <w:rPr>
          <w:b/>
          <w:bCs/>
        </w:rPr>
        <w:t xml:space="preserve">Actividades y técnicas</w:t>
      </w:r>
    </w:p>
    <w:p>
      <w:pPr>
        <w:numPr>
          <w:ilvl w:val="0"/>
          <w:numId w:val="1010"/>
        </w:numPr>
      </w:pPr>
      <w:r>
        <w:t xml:space="preserve">Implementación del reranking con cross-encoder sobre los k chunks</w:t>
      </w:r>
      <w:r>
        <w:t xml:space="preserve"> </w:t>
      </w:r>
      <w:r>
        <w:t xml:space="preserve">recuperados, reordenando por relevancia consulta–pasaje antes de</w:t>
      </w:r>
      <w:r>
        <w:t xml:space="preserve"> </w:t>
      </w:r>
      <w:r>
        <w:t xml:space="preserve">construir el contexto del LLM.</w:t>
      </w:r>
    </w:p>
    <w:p>
      <w:pPr>
        <w:numPr>
          <w:ilvl w:val="0"/>
          <w:numId w:val="1010"/>
        </w:numPr>
      </w:pPr>
      <w:r>
        <w:t xml:space="preserve">Ampliación del golden set de 30 a 50 preguntas con ground-truth, con</w:t>
      </w:r>
      <w:r>
        <w:t xml:space="preserve"> </w:t>
      </w:r>
      <w:r>
        <w:t xml:space="preserve">cobertura de los cinco módulos del curso (M1–M5).</w:t>
      </w:r>
    </w:p>
    <w:p>
      <w:pPr>
        <w:numPr>
          <w:ilvl w:val="0"/>
          <w:numId w:val="1010"/>
        </w:numPr>
      </w:pPr>
      <w:r>
        <w:t xml:space="preserve">Migración a la librería oficial RAGAS 0.2.6 con un juez LLM</w:t>
      </w:r>
      <w:r>
        <w:t xml:space="preserve"> </w:t>
      </w:r>
      <w:r>
        <w:t xml:space="preserve">independiente (llama3.1:8b), distinto del modelo generador, para</w:t>
      </w:r>
      <w:r>
        <w:t xml:space="preserve"> </w:t>
      </w:r>
      <w:r>
        <w:t xml:space="preserve">evitar sesgo de autoevaluación.</w:t>
      </w:r>
    </w:p>
    <w:p>
      <w:pPr>
        <w:numPr>
          <w:ilvl w:val="0"/>
          <w:numId w:val="1010"/>
        </w:numPr>
      </w:pPr>
      <w:r>
        <w:t xml:space="preserve">Ejecución comparativa antes/después (coseno simple vs. coseno +</w:t>
      </w:r>
      <w:r>
        <w:t xml:space="preserve"> </w:t>
      </w:r>
      <w:r>
        <w:t xml:space="preserve">reranking) sobre el mismo golden set, registrando el delta por</w:t>
      </w:r>
      <w:r>
        <w:t xml:space="preserve"> </w:t>
      </w:r>
      <w:r>
        <w:t xml:space="preserve">métrica.</w:t>
      </w:r>
    </w:p>
    <w:p>
      <w:pPr>
        <w:pStyle w:val="FirstParagraph"/>
      </w:pPr>
      <w:r>
        <w:rPr>
          <w:i/>
          <w:iCs/>
        </w:rPr>
        <w:t xml:space="preserve">Evidencia 10: efecto del reranking sobre la recuperación (50</w:t>
      </w:r>
      <w:r>
        <w:rPr>
          <w:i/>
          <w:iCs/>
        </w:rPr>
        <w:t xml:space="preserve"> </w:t>
      </w:r>
      <w:r>
        <w:rPr>
          <w:i/>
          <w:iCs/>
        </w:rPr>
        <w:t xml:space="preserve">preguntas)</w:t>
      </w:r>
    </w:p>
    <w:tbl>
      <w:tblPr>
        <w:tblStyle w:val="Table"/>
        <w:tblW w:type="pct" w:w="4872"/>
        <w:tblLayout w:type="fixed"/>
        <w:tblLook w:firstRow="1" w:lastRow="0" w:firstColumn="0" w:lastColumn="0" w:noHBand="0" w:noVBand="0" w:val="0020"/>
      </w:tblPr>
      <w:tblGrid>
        <w:gridCol w:w="1827"/>
        <w:gridCol w:w="1827"/>
        <w:gridCol w:w="2030"/>
        <w:gridCol w:w="2030"/>
      </w:tblGrid>
      <w:tr>
        <w:trPr>
          <w:tblHeader w:val="on"/>
        </w:trPr>
        <w:tc>
          <w:tcPr/>
          <w:p>
            <w:pPr>
              <w:pStyle w:val="Compact"/>
              <w:jc w:val="left"/>
            </w:pPr>
            <w:r>
              <w:rPr>
                <w:b/>
                <w:bCs/>
              </w:rPr>
              <w:t xml:space="preserve">Métrica de</w:t>
            </w:r>
            <w:r>
              <w:rPr>
                <w:b/>
                <w:bCs/>
              </w:rPr>
              <w:t xml:space="preserve"> </w:t>
            </w:r>
            <w:r>
              <w:rPr>
                <w:b/>
                <w:bCs/>
              </w:rPr>
              <w:t xml:space="preserve">recuperación</w:t>
            </w:r>
          </w:p>
        </w:tc>
        <w:tc>
          <w:tcPr/>
          <w:p>
            <w:pPr>
              <w:pStyle w:val="Compact"/>
              <w:jc w:val="left"/>
            </w:pPr>
            <w:r>
              <w:rPr>
                <w:b/>
                <w:bCs/>
              </w:rPr>
              <w:t xml:space="preserve">Sin rerank</w:t>
            </w:r>
            <w:r>
              <w:rPr>
                <w:b/>
                <w:bCs/>
              </w:rPr>
              <w:t xml:space="preserve"> </w:t>
            </w:r>
            <w:r>
              <w:rPr>
                <w:b/>
                <w:bCs/>
              </w:rPr>
              <w:t xml:space="preserve">(coseno)</w:t>
            </w:r>
          </w:p>
        </w:tc>
        <w:tc>
          <w:tcPr/>
          <w:p>
            <w:pPr>
              <w:pStyle w:val="Compact"/>
              <w:jc w:val="left"/>
            </w:pPr>
            <w:r>
              <w:rPr>
                <w:b/>
                <w:bCs/>
              </w:rPr>
              <w:t xml:space="preserve">Con rerank</w:t>
            </w:r>
            <w:r>
              <w:rPr>
                <w:b/>
                <w:bCs/>
              </w:rPr>
              <w:t xml:space="preserve"> </w:t>
            </w:r>
            <w:r>
              <w:rPr>
                <w:b/>
                <w:bCs/>
              </w:rPr>
              <w:t xml:space="preserve">(cross-encoder)</w:t>
            </w:r>
          </w:p>
        </w:tc>
        <w:tc>
          <w:tcPr/>
          <w:p>
            <w:pPr>
              <w:pStyle w:val="Compact"/>
              <w:jc w:val="left"/>
            </w:pPr>
            <w:r>
              <w:rPr>
                <w:b/>
                <w:bCs/>
              </w:rPr>
              <w:t xml:space="preserve">Δ</w:t>
            </w:r>
          </w:p>
        </w:tc>
      </w:tr>
      <w:tr>
        <w:tc>
          <w:tcPr/>
          <w:p>
            <w:pPr>
              <w:pStyle w:val="Compact"/>
              <w:jc w:val="left"/>
            </w:pPr>
            <w:r>
              <w:t xml:space="preserve">Recall@5</w:t>
            </w:r>
          </w:p>
        </w:tc>
        <w:tc>
          <w:tcPr/>
          <w:p>
            <w:pPr>
              <w:pStyle w:val="Compact"/>
              <w:jc w:val="left"/>
            </w:pPr>
            <w:r>
              <w:t xml:space="preserve">0.620</w:t>
            </w:r>
          </w:p>
        </w:tc>
        <w:tc>
          <w:tcPr/>
          <w:p>
            <w:pPr>
              <w:pStyle w:val="Compact"/>
              <w:jc w:val="left"/>
            </w:pPr>
            <w:r>
              <w:t xml:space="preserve">0.720</w:t>
            </w:r>
          </w:p>
        </w:tc>
        <w:tc>
          <w:tcPr/>
          <w:p>
            <w:pPr>
              <w:pStyle w:val="Compact"/>
              <w:jc w:val="left"/>
            </w:pPr>
            <w:r>
              <w:t xml:space="preserve">+0.100</w:t>
            </w:r>
          </w:p>
        </w:tc>
      </w:tr>
      <w:tr>
        <w:tc>
          <w:tcPr/>
          <w:p>
            <w:pPr>
              <w:pStyle w:val="Compact"/>
              <w:jc w:val="left"/>
            </w:pPr>
            <w:r>
              <w:t xml:space="preserve">MRR@10</w:t>
            </w:r>
          </w:p>
        </w:tc>
        <w:tc>
          <w:tcPr/>
          <w:p>
            <w:pPr>
              <w:pStyle w:val="Compact"/>
              <w:jc w:val="left"/>
            </w:pPr>
            <w:r>
              <w:t xml:space="preserve">0.535</w:t>
            </w:r>
          </w:p>
        </w:tc>
        <w:tc>
          <w:tcPr/>
          <w:p>
            <w:pPr>
              <w:pStyle w:val="Compact"/>
              <w:jc w:val="left"/>
            </w:pPr>
            <w:r>
              <w:t xml:space="preserve">0.684</w:t>
            </w:r>
          </w:p>
        </w:tc>
        <w:tc>
          <w:tcPr/>
          <w:p>
            <w:pPr>
              <w:pStyle w:val="Compact"/>
              <w:jc w:val="left"/>
            </w:pPr>
            <w:r>
              <w:t xml:space="preserve">+0.149</w:t>
            </w:r>
          </w:p>
        </w:tc>
      </w:tr>
      <w:tr>
        <w:tc>
          <w:tcPr/>
          <w:p>
            <w:pPr>
              <w:pStyle w:val="Compact"/>
              <w:jc w:val="left"/>
            </w:pPr>
            <w:r>
              <w:t xml:space="preserve">nDCG@10</w:t>
            </w:r>
          </w:p>
        </w:tc>
        <w:tc>
          <w:tcPr/>
          <w:p>
            <w:pPr>
              <w:pStyle w:val="Compact"/>
              <w:jc w:val="left"/>
            </w:pPr>
            <w:r>
              <w:t xml:space="preserve">0.568</w:t>
            </w:r>
          </w:p>
        </w:tc>
        <w:tc>
          <w:tcPr/>
          <w:p>
            <w:pPr>
              <w:pStyle w:val="Compact"/>
              <w:jc w:val="left"/>
            </w:pPr>
            <w:r>
              <w:t xml:space="preserve">0.686</w:t>
            </w:r>
          </w:p>
        </w:tc>
        <w:tc>
          <w:tcPr/>
          <w:p>
            <w:pPr>
              <w:pStyle w:val="Compact"/>
              <w:jc w:val="left"/>
            </w:pPr>
            <w:r>
              <w:t xml:space="preserve">+0.118</w:t>
            </w:r>
          </w:p>
        </w:tc>
      </w:tr>
    </w:tbl>
    <w:p>
      <w:pPr>
        <w:pStyle w:val="BodyText"/>
      </w:pPr>
      <w:r>
        <w:rPr>
          <w:i/>
          <w:iCs/>
        </w:rPr>
        <w:t xml:space="preserve">Tabla 10. Mejora medible de la recuperación atribuible al reranking con</w:t>
      </w:r>
      <w:r>
        <w:rPr>
          <w:i/>
          <w:iCs/>
        </w:rPr>
        <w:t xml:space="preserve"> </w:t>
      </w:r>
      <w:r>
        <w:rPr>
          <w:i/>
          <w:iCs/>
        </w:rPr>
        <w:t xml:space="preserve">cross-encoder (antes/después controlado, golden set de 50 ítems).</w:t>
      </w:r>
    </w:p>
    <w:p>
      <w:pPr>
        <w:pStyle w:val="BodyText"/>
      </w:pPr>
      <w:r>
        <w:t xml:space="preserve">La mejora consistente en las tres métricas de ordenamiento (Recall@5</w:t>
      </w:r>
      <w:r>
        <w:t xml:space="preserve"> </w:t>
      </w:r>
      <w:r>
        <w:t xml:space="preserve">+0.100, MRR@10 +0.149, nDCG@10 +0.118) constituye la evidencia</w:t>
      </w:r>
      <w:r>
        <w:t xml:space="preserve"> </w:t>
      </w:r>
      <w:r>
        <w:t xml:space="preserve">cuantitativa de la contribución técnica: el reranking eleva la calidad</w:t>
      </w:r>
      <w:r>
        <w:t xml:space="preserve"> </w:t>
      </w:r>
      <w:r>
        <w:t xml:space="preserve">de la recuperación por encima de la línea base de similitud coseno</w:t>
      </w:r>
      <w:r>
        <w:t xml:space="preserve"> </w:t>
      </w:r>
      <w:r>
        <w:t xml:space="preserve">simple. Este incremento es el que permite que la context_precision pase</w:t>
      </w:r>
      <w:r>
        <w:t xml:space="preserve"> </w:t>
      </w:r>
      <w:r>
        <w:t xml:space="preserve">de ≈ 0.29 (Sprint 6) a 0.876 en la validación formal (apartado 1.2.2).</w:t>
      </w:r>
    </w:p>
    <w:p>
      <w:pPr>
        <w:pStyle w:val="BodyText"/>
      </w:pPr>
      <w:r>
        <w:rPr>
          <w:b/>
          <w:bCs/>
        </w:rPr>
        <w:t xml:space="preserve">Artefactos / entregables</w:t>
      </w:r>
    </w:p>
    <w:p>
      <w:pPr>
        <w:numPr>
          <w:ilvl w:val="0"/>
          <w:numId w:val="1011"/>
        </w:numPr>
      </w:pPr>
      <w:r>
        <w:t xml:space="preserve">Etapa de reranking integrada en el servicio de recuperación del</w:t>
      </w:r>
      <w:r>
        <w:t xml:space="preserve"> </w:t>
      </w:r>
      <w:r>
        <w:t xml:space="preserve">backend (pipeline de producción).</w:t>
      </w:r>
    </w:p>
    <w:p>
      <w:pPr>
        <w:numPr>
          <w:ilvl w:val="0"/>
          <w:numId w:val="1011"/>
        </w:numPr>
      </w:pPr>
      <w:r>
        <w:t xml:space="preserve">Golden set ampliado: backend/tests/fixtures/golden_set.json (50</w:t>
      </w:r>
      <w:r>
        <w:t xml:space="preserve"> </w:t>
      </w:r>
      <w:r>
        <w:t xml:space="preserve">preguntas, cobertura M1–M5).</w:t>
      </w:r>
    </w:p>
    <w:p>
      <w:pPr>
        <w:numPr>
          <w:ilvl w:val="0"/>
          <w:numId w:val="1011"/>
        </w:numPr>
      </w:pPr>
      <w:r>
        <w:t xml:space="preserve">Reporte formal de validación RAGAS con las cinco métricas oficiales y</w:t>
      </w:r>
      <w:r>
        <w:t xml:space="preserve"> </w:t>
      </w:r>
      <w:r>
        <w:t xml:space="preserve">el comparativo antes/después del reranking (apartado 1.2.2).</w:t>
      </w:r>
    </w:p>
    <w:bookmarkEnd w:id="18"/>
    <w:bookmarkStart w:id="22" w:name="iteración-5-despliegue-sprints-810"/>
    <w:p>
      <w:pPr>
        <w:pStyle w:val="Heading3"/>
      </w:pPr>
      <w:r>
        <w:t xml:space="preserve">1.1.5. Iteración #5: Despliegue (Sprints 8–10)</w:t>
      </w:r>
    </w:p>
    <w:p>
      <w:pPr>
        <w:pStyle w:val="FirstParagraph"/>
      </w:pPr>
      <w:r>
        <w:t xml:space="preserve">La Iteración #5 (Sprints 8–10, 30 de abril – 20 de mayo de 2026)</w:t>
      </w:r>
      <w:r>
        <w:t xml:space="preserve"> </w:t>
      </w:r>
      <w:r>
        <w:t xml:space="preserve">consolidó los servicios de soporte, desplegó el sistema en producción</w:t>
      </w:r>
      <w:r>
        <w:t xml:space="preserve"> </w:t>
      </w:r>
      <w:r>
        <w:t xml:space="preserve">sobre Google Compute Engine y produjo los insumos pedagógicos del</w:t>
      </w:r>
      <w:r>
        <w:t xml:space="preserve"> </w:t>
      </w:r>
      <w:r>
        <w:t xml:space="preserve">estudio de campo.</w:t>
      </w:r>
    </w:p>
    <w:bookmarkStart w:id="19" w:name="X97aac7fade91c1b4e2ec7bde8c3b507cba53572"/>
    <w:p>
      <w:pPr>
        <w:pStyle w:val="Heading4"/>
      </w:pPr>
      <w:r>
        <w:t xml:space="preserve">1.1.5.1. Sprint 8: Tareas en segundo plano, caché y provisión de infraestructura</w:t>
      </w:r>
    </w:p>
    <w:p>
      <w:pPr>
        <w:pStyle w:val="FirstParagraph"/>
      </w:pPr>
      <w:r>
        <w:t xml:space="preserve">El Sprint 8 (30 de abril – 6 de mayo de 2026) consolidó los servicios</w:t>
      </w:r>
      <w:r>
        <w:t xml:space="preserve"> </w:t>
      </w:r>
      <w:r>
        <w:t xml:space="preserve">de soporte (caché Redis y tareas programadas) y provisionó la</w:t>
      </w:r>
      <w:r>
        <w:t xml:space="preserve"> </w:t>
      </w:r>
      <w:r>
        <w:t xml:space="preserve">infraestructura en la nube para el despliegue productivo.</w:t>
      </w:r>
    </w:p>
    <w:p>
      <w:pPr>
        <w:numPr>
          <w:ilvl w:val="0"/>
          <w:numId w:val="1012"/>
        </w:numPr>
      </w:pPr>
      <w:r>
        <w:t xml:space="preserve">Integración de Redis 7 como caché de respuestas del pipeline RAG (TTL</w:t>
      </w:r>
      <w:r>
        <w:t xml:space="preserve"> </w:t>
      </w:r>
      <w:r>
        <w:t xml:space="preserve">de 3 600 s) y como backend del control de tasa.</w:t>
      </w:r>
    </w:p>
    <w:p>
      <w:pPr>
        <w:numPr>
          <w:ilvl w:val="0"/>
          <w:numId w:val="1012"/>
        </w:numPr>
      </w:pPr>
      <w:r>
        <w:t xml:space="preserve">Tareas programadas con APScheduler para mantenimiento del índice y</w:t>
      </w:r>
      <w:r>
        <w:t xml:space="preserve"> </w:t>
      </w:r>
      <w:r>
        <w:t xml:space="preserve">respaldos periódicos de PostgreSQL.</w:t>
      </w:r>
    </w:p>
    <w:p>
      <w:pPr>
        <w:numPr>
          <w:ilvl w:val="0"/>
          <w:numId w:val="1012"/>
        </w:numPr>
      </w:pPr>
      <w:r>
        <w:t xml:space="preserve">Provisión de la máquina virtual e2-standard-4 (4 vCPU, 16 GB RAM) en</w:t>
      </w:r>
      <w:r>
        <w:t xml:space="preserve"> </w:t>
      </w:r>
      <w:r>
        <w:t xml:space="preserve">la región us-central1-a de Google Compute Engine.</w:t>
      </w:r>
    </w:p>
    <w:p>
      <w:pPr>
        <w:numPr>
          <w:ilvl w:val="0"/>
          <w:numId w:val="1012"/>
        </w:numPr>
      </w:pPr>
      <w:r>
        <w:t xml:space="preserve">Endurecimiento básico de la instancia: reglas de firewall, usuario no</w:t>
      </w:r>
      <w:r>
        <w:t xml:space="preserve"> </w:t>
      </w:r>
      <w:r>
        <w:t xml:space="preserve">root y variables de entorno gestionadas mediante archivo .env.</w:t>
      </w:r>
    </w:p>
    <w:bookmarkEnd w:id="19"/>
    <w:bookmarkStart w:id="20" w:name="Xbe4ee0f95f9ba3a830fe93041bc25412f39160c"/>
    <w:p>
      <w:pPr>
        <w:pStyle w:val="Heading4"/>
      </w:pPr>
      <w:r>
        <w:t xml:space="preserve">1.1.5.2. Sprint 9: Despliegue productivo en Google Compute Engine</w:t>
      </w:r>
    </w:p>
    <w:p>
      <w:pPr>
        <w:pStyle w:val="FirstParagraph"/>
      </w:pPr>
      <w:r>
        <w:t xml:space="preserve">El Sprint 9 (7 – 13 de mayo de 2026) ejecutó el despliegue productivo</w:t>
      </w:r>
      <w:r>
        <w:t xml:space="preserve"> </w:t>
      </w:r>
      <w:r>
        <w:t xml:space="preserve">del tutor en Google Compute Engine, en contenedores Docker orquestados</w:t>
      </w:r>
      <w:r>
        <w:t xml:space="preserve"> </w:t>
      </w:r>
      <w:r>
        <w:t xml:space="preserve">con Docker Compose, con terminación TLS gestionada por Caddy y el</w:t>
      </w:r>
      <w:r>
        <w:t xml:space="preserve"> </w:t>
      </w:r>
      <w:r>
        <w:t xml:space="preserve">frontend publicado en Firebase Hosting. El sistema quedó accesible</w:t>
      </w:r>
      <w:r>
        <w:t xml:space="preserve"> </w:t>
      </w:r>
      <w:r>
        <w:t xml:space="preserve">públicamente sobre HTTPS. La medición de rendimiento, disponibilidad y</w:t>
      </w:r>
      <w:r>
        <w:t xml:space="preserve"> </w:t>
      </w:r>
      <w:r>
        <w:t xml:space="preserve">trazabilidad se reporta en el apartado 1.2.3.</w:t>
      </w:r>
    </w:p>
    <w:p>
      <w:pPr>
        <w:pStyle w:val="BodyText"/>
      </w:pPr>
      <w:r>
        <w:rPr>
          <w:i/>
          <w:iCs/>
        </w:rPr>
        <w:t xml:space="preserve">Evidencia 11: parámetros del entorno productivo</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Parámetro</w:t>
            </w:r>
          </w:p>
        </w:tc>
        <w:tc>
          <w:tcPr/>
          <w:p>
            <w:pPr>
              <w:pStyle w:val="Compact"/>
              <w:jc w:val="left"/>
            </w:pPr>
            <w:r>
              <w:rPr>
                <w:b/>
                <w:bCs/>
              </w:rPr>
              <w:t xml:space="preserve">Valor</w:t>
            </w:r>
          </w:p>
        </w:tc>
      </w:tr>
      <w:tr>
        <w:tc>
          <w:tcPr/>
          <w:p>
            <w:pPr>
              <w:pStyle w:val="Compact"/>
              <w:jc w:val="left"/>
            </w:pPr>
            <w:r>
              <w:t xml:space="preserve">Máquina virtual</w:t>
            </w:r>
          </w:p>
        </w:tc>
        <w:tc>
          <w:tcPr/>
          <w:p>
            <w:pPr>
              <w:pStyle w:val="Compact"/>
              <w:jc w:val="left"/>
            </w:pPr>
            <w:r>
              <w:t xml:space="preserve">e2-standard-4 (4 vCPU, 16 GB RAM),</w:t>
            </w:r>
            <w:r>
              <w:t xml:space="preserve"> </w:t>
            </w:r>
            <w:r>
              <w:t xml:space="preserve">Google Compute Engine</w:t>
            </w:r>
          </w:p>
        </w:tc>
      </w:tr>
      <w:tr>
        <w:tc>
          <w:tcPr/>
          <w:p>
            <w:pPr>
              <w:pStyle w:val="Compact"/>
              <w:jc w:val="left"/>
            </w:pPr>
            <w:r>
              <w:t xml:space="preserve">Región / zona</w:t>
            </w:r>
          </w:p>
        </w:tc>
        <w:tc>
          <w:tcPr/>
          <w:p>
            <w:pPr>
              <w:pStyle w:val="Compact"/>
              <w:jc w:val="left"/>
            </w:pPr>
            <w:r>
              <w:t xml:space="preserve">us-central1-a</w:t>
            </w:r>
          </w:p>
        </w:tc>
      </w:tr>
      <w:tr>
        <w:tc>
          <w:tcPr/>
          <w:p>
            <w:pPr>
              <w:pStyle w:val="Compact"/>
              <w:jc w:val="left"/>
            </w:pPr>
            <w:r>
              <w:t xml:space="preserve">IP pública</w:t>
            </w:r>
          </w:p>
        </w:tc>
        <w:tc>
          <w:tcPr/>
          <w:p>
            <w:pPr>
              <w:pStyle w:val="Compact"/>
              <w:jc w:val="left"/>
            </w:pPr>
            <w:r>
              <w:t xml:space="preserve">35.254.147.254</w:t>
            </w:r>
          </w:p>
        </w:tc>
      </w:tr>
      <w:tr>
        <w:tc>
          <w:tcPr/>
          <w:p>
            <w:pPr>
              <w:pStyle w:val="Compact"/>
              <w:jc w:val="left"/>
            </w:pPr>
            <w:r>
              <w:t xml:space="preserve">API (backend)</w:t>
            </w:r>
          </w:p>
        </w:tc>
        <w:tc>
          <w:tcPr/>
          <w:p>
            <w:pPr>
              <w:pStyle w:val="Compact"/>
              <w:jc w:val="left"/>
            </w:pPr>
            <w:r>
              <w:t xml:space="preserve">https://api.tutoriesrfa.lat (TLS</w:t>
            </w:r>
            <w:r>
              <w:t xml:space="preserve"> </w:t>
            </w:r>
            <w:r>
              <w:t xml:space="preserve">Let’s Encrypt vía Caddy)</w:t>
            </w:r>
          </w:p>
        </w:tc>
      </w:tr>
      <w:tr>
        <w:tc>
          <w:tcPr/>
          <w:p>
            <w:pPr>
              <w:pStyle w:val="Compact"/>
              <w:jc w:val="left"/>
            </w:pPr>
            <w:r>
              <w:t xml:space="preserve">Frontend</w:t>
            </w:r>
          </w:p>
        </w:tc>
        <w:tc>
          <w:tcPr/>
          <w:p>
            <w:pPr>
              <w:pStyle w:val="Compact"/>
              <w:jc w:val="left"/>
            </w:pPr>
            <w:r>
              <w:t xml:space="preserve">https://tutor-ia-rfa.web.app</w:t>
            </w:r>
            <w:r>
              <w:t xml:space="preserve"> </w:t>
            </w:r>
            <w:r>
              <w:t xml:space="preserve">(Firebase Hosting)</w:t>
            </w:r>
          </w:p>
        </w:tc>
      </w:tr>
      <w:tr>
        <w:tc>
          <w:tcPr/>
          <w:p>
            <w:pPr>
              <w:pStyle w:val="Compact"/>
              <w:jc w:val="left"/>
            </w:pPr>
            <w:r>
              <w:t xml:space="preserve">Contenedores</w:t>
            </w:r>
          </w:p>
        </w:tc>
        <w:tc>
          <w:tcPr/>
          <w:p>
            <w:pPr>
              <w:pStyle w:val="Compact"/>
              <w:jc w:val="left"/>
            </w:pPr>
            <w:r>
              <w:t xml:space="preserve">tutor_postgres, tutor_redis,</w:t>
            </w:r>
            <w:r>
              <w:t xml:space="preserve"> </w:t>
            </w:r>
            <w:r>
              <w:t xml:space="preserve">tutor_backend, tutor_caddy (Docker</w:t>
            </w:r>
            <w:r>
              <w:t xml:space="preserve"> </w:t>
            </w:r>
            <w:r>
              <w:t xml:space="preserve">Compose)</w:t>
            </w:r>
          </w:p>
        </w:tc>
      </w:tr>
      <w:tr>
        <w:tc>
          <w:tcPr/>
          <w:p>
            <w:pPr>
              <w:pStyle w:val="Compact"/>
              <w:jc w:val="left"/>
            </w:pPr>
            <w:r>
              <w:t xml:space="preserve">Índice vectorial</w:t>
            </w:r>
          </w:p>
        </w:tc>
        <w:tc>
          <w:tcPr/>
          <w:p>
            <w:pPr>
              <w:pStyle w:val="Compact"/>
              <w:jc w:val="left"/>
            </w:pPr>
            <w:r>
              <w:t xml:space="preserve">pgvector IVFFlat — 3 388 chunks</w:t>
            </w:r>
            <w:r>
              <w:t xml:space="preserve"> </w:t>
            </w:r>
            <w:r>
              <w:t xml:space="preserve">indexados</w:t>
            </w:r>
          </w:p>
        </w:tc>
      </w:tr>
    </w:tbl>
    <w:p>
      <w:pPr>
        <w:pStyle w:val="BodyText"/>
      </w:pPr>
      <w:r>
        <w:rPr>
          <w:i/>
          <w:iCs/>
        </w:rPr>
        <w:t xml:space="preserve">Tabla 11. Parámetros del despliegue productivo en Google Compute</w:t>
      </w:r>
      <w:r>
        <w:rPr>
          <w:i/>
          <w:iCs/>
        </w:rPr>
        <w:t xml:space="preserve"> </w:t>
      </w:r>
      <w:r>
        <w:rPr>
          <w:i/>
          <w:iCs/>
        </w:rPr>
        <w:t xml:space="preserve">Engine.</w:t>
      </w:r>
    </w:p>
    <w:p>
      <w:pPr>
        <w:pStyle w:val="BodyText"/>
      </w:pPr>
      <w:r>
        <w:rPr>
          <w:b/>
          <w:bCs/>
        </w:rPr>
        <w:t xml:space="preserve">Artefactos / entregables</w:t>
      </w:r>
    </w:p>
    <w:p>
      <w:pPr>
        <w:numPr>
          <w:ilvl w:val="0"/>
          <w:numId w:val="1013"/>
        </w:numPr>
      </w:pPr>
      <w:r>
        <w:t xml:space="preserve">Sistema desplegado y accesible públicamente sobre HTTPS (API y</w:t>
      </w:r>
      <w:r>
        <w:t xml:space="preserve"> </w:t>
      </w:r>
      <w:r>
        <w:t xml:space="preserve">frontend).</w:t>
      </w:r>
    </w:p>
    <w:p>
      <w:pPr>
        <w:numPr>
          <w:ilvl w:val="0"/>
          <w:numId w:val="1013"/>
        </w:numPr>
      </w:pPr>
      <w:r>
        <w:t xml:space="preserve">Configuración de Caddy (Caddyfile) y docker-compose.yml de producción</w:t>
      </w:r>
      <w:r>
        <w:t xml:space="preserve"> </w:t>
      </w:r>
      <w:r>
        <w:t xml:space="preserve">versionados.</w:t>
      </w:r>
    </w:p>
    <w:p>
      <w:pPr>
        <w:numPr>
          <w:ilvl w:val="0"/>
          <w:numId w:val="1013"/>
        </w:numPr>
      </w:pPr>
      <w:r>
        <w:t xml:space="preserve">Corpus indexado en producción (3 388 chunks, IVFFlat) y línea base de</w:t>
      </w:r>
      <w:r>
        <w:t xml:space="preserve"> </w:t>
      </w:r>
      <w:r>
        <w:t xml:space="preserve">rendimiento registrada (apartado 1.2.3).</w:t>
      </w:r>
    </w:p>
    <w:bookmarkEnd w:id="20"/>
    <w:bookmarkStart w:id="21" w:name="Xc93424e2f9d9c4a4088a7c0a1fb7a08c4da09e3"/>
    <w:p>
      <w:pPr>
        <w:pStyle w:val="Heading4"/>
      </w:pPr>
      <w:r>
        <w:t xml:space="preserve">1.1.5.3. Sprint 10: Contenido instruccional, banco de ejercicios e instrumento de evaluación</w:t>
      </w:r>
    </w:p>
    <w:p>
      <w:pPr>
        <w:pStyle w:val="FirstParagraph"/>
      </w:pPr>
      <w:r>
        <w:t xml:space="preserve">El Sprint 10 (14 – 20 de mayo de 2026) produjo los insumos pedagógicos</w:t>
      </w:r>
      <w:r>
        <w:t xml:space="preserve"> </w:t>
      </w:r>
      <w:r>
        <w:t xml:space="preserve">del estudio de campo: el contenido instruccional estructurado de los</w:t>
      </w:r>
      <w:r>
        <w:t xml:space="preserve"> </w:t>
      </w:r>
      <w:r>
        <w:t xml:space="preserve">cinco módulos del curso, el banco de ejercicios del tutor y el</w:t>
      </w:r>
      <w:r>
        <w:t xml:space="preserve"> </w:t>
      </w:r>
      <w:r>
        <w:t xml:space="preserve">instrumento de medición del rendimiento académico (pretest/postest),</w:t>
      </w:r>
      <w:r>
        <w:t xml:space="preserve"> </w:t>
      </w:r>
      <w:r>
        <w:t xml:space="preserve">base del contraste del OE4.</w:t>
      </w:r>
    </w:p>
    <w:p>
      <w:pPr>
        <w:numPr>
          <w:ilvl w:val="0"/>
          <w:numId w:val="1014"/>
        </w:numPr>
      </w:pPr>
      <w:r>
        <w:t xml:space="preserve">Estructuración del contenido instruccional de los cinco módulos</w:t>
      </w:r>
      <w:r>
        <w:t xml:space="preserve"> </w:t>
      </w:r>
      <w:r>
        <w:t xml:space="preserve">(M1–M5) de la asignatura Aplicaciones Móviles, alineado al sílabo</w:t>
      </w:r>
      <w:r>
        <w:t xml:space="preserve"> </w:t>
      </w:r>
      <w:r>
        <w:t xml:space="preserve">vigente.</w:t>
      </w:r>
    </w:p>
    <w:p>
      <w:pPr>
        <w:numPr>
          <w:ilvl w:val="0"/>
          <w:numId w:val="1014"/>
        </w:numPr>
      </w:pPr>
      <w:r>
        <w:t xml:space="preserve">Construcción del banco de ejercicios y retos del tutor, vinculados a</w:t>
      </w:r>
      <w:r>
        <w:t xml:space="preserve"> </w:t>
      </w:r>
      <w:r>
        <w:t xml:space="preserve">los objetivos de aprendizaje de cada módulo.</w:t>
      </w:r>
    </w:p>
    <w:p>
      <w:pPr>
        <w:numPr>
          <w:ilvl w:val="0"/>
          <w:numId w:val="1014"/>
        </w:numPr>
      </w:pPr>
      <w:r>
        <w:t xml:space="preserve">Diseño del instrumento de evaluación de 20 ítems de opción múltiple</w:t>
      </w:r>
      <w:r>
        <w:t xml:space="preserve"> </w:t>
      </w:r>
      <w:r>
        <w:t xml:space="preserve">(cuatro alternativas), distribuido sobre los cinco módulos, con escala</w:t>
      </w:r>
      <w:r>
        <w:t xml:space="preserve"> </w:t>
      </w:r>
      <w:r>
        <w:t xml:space="preserve">vigesimal (0–20), y su clave de corrección.</w:t>
      </w:r>
    </w:p>
    <w:p>
      <w:pPr>
        <w:numPr>
          <w:ilvl w:val="0"/>
          <w:numId w:val="1014"/>
        </w:numPr>
      </w:pPr>
      <w:r>
        <w:t xml:space="preserve">Coordinación pedagógica del piloto con el Téc. Xavier Benites Marín</w:t>
      </w:r>
      <w:r>
        <w:t xml:space="preserve"> </w:t>
      </w:r>
      <w:r>
        <w:t xml:space="preserve">(IESTP</w:t>
      </w:r>
      <w:r>
        <w:t xml:space="preserve"> </w:t>
      </w:r>
      <w:r>
        <w:t xml:space="preserve">“RFA”</w:t>
      </w:r>
      <w:r>
        <w:t xml:space="preserve">) para la aplicación del instrumento.</w:t>
      </w:r>
    </w:p>
    <w:bookmarkEnd w:id="21"/>
    <w:bookmarkEnd w:id="22"/>
    <w:bookmarkStart w:id="25" w:name="Xa213480dec56531b6921756672714f9ce845b65"/>
    <w:p>
      <w:pPr>
        <w:pStyle w:val="Heading3"/>
      </w:pPr>
      <w:r>
        <w:t xml:space="preserve">1.1.6. Iteración #6: Validación con usuarios y pilotaje (Sprints 11–12)</w:t>
      </w:r>
    </w:p>
    <w:p>
      <w:pPr>
        <w:pStyle w:val="FirstParagraph"/>
      </w:pPr>
      <w:r>
        <w:t xml:space="preserve">La Iteración #6 (Sprints 11–12, 21 de mayo – 3 de junio de 2026) cerró</w:t>
      </w:r>
      <w:r>
        <w:t xml:space="preserve"> </w:t>
      </w:r>
      <w:r>
        <w:t xml:space="preserve">el estudio de campo: validación funcional conforme a ISO/IEC 25010:2023,</w:t>
      </w:r>
      <w:r>
        <w:t xml:space="preserve"> </w:t>
      </w:r>
      <w:r>
        <w:t xml:space="preserve">aplicación del pretest y del postest a la cohorte piloto, y contraste</w:t>
      </w:r>
      <w:r>
        <w:t xml:space="preserve"> </w:t>
      </w:r>
      <w:r>
        <w:t xml:space="preserve">estadístico de la mejora del rendimiento académico.</w:t>
      </w:r>
    </w:p>
    <w:bookmarkStart w:id="23" w:name="Xbdb26602e699cde3ef1710a2f5029b9fc6dafb8"/>
    <w:p>
      <w:pPr>
        <w:pStyle w:val="Heading4"/>
      </w:pPr>
      <w:r>
        <w:t xml:space="preserve">1.1.6.1. Sprint 11: Aplicación del pretest y pruebas funcionales ISO/IEC 25010</w:t>
      </w:r>
    </w:p>
    <w:p>
      <w:pPr>
        <w:pStyle w:val="FirstParagraph"/>
      </w:pPr>
      <w:r>
        <w:t xml:space="preserve">El Sprint 11 (21 – 27 de mayo de 2026) ejecutó dos frentes en paralelo:</w:t>
      </w:r>
      <w:r>
        <w:t xml:space="preserve"> </w:t>
      </w:r>
      <w:r>
        <w:t xml:space="preserve">la aplicación del pretest a la cohorte piloto y la validación funcional</w:t>
      </w:r>
      <w:r>
        <w:t xml:space="preserve"> </w:t>
      </w:r>
      <w:r>
        <w:t xml:space="preserve">del sistema conforme a ISO/IEC 25010:2023, medida con las métricas de</w:t>
      </w:r>
      <w:r>
        <w:t xml:space="preserve"> </w:t>
      </w:r>
      <w:r>
        <w:t xml:space="preserve">ISO/IEC 25023:2016. La suite de pruebas alcanzó 396/396 casos de backend</w:t>
      </w:r>
      <w:r>
        <w:t xml:space="preserve"> </w:t>
      </w:r>
      <w:r>
        <w:t xml:space="preserve">en verde con 88 % de cobertura de código. El detalle de completitud,</w:t>
      </w:r>
      <w:r>
        <w:t xml:space="preserve"> </w:t>
      </w:r>
      <w:r>
        <w:t xml:space="preserve">corrección y pertinencia se reporta en el apartado 1.2.5.</w:t>
      </w:r>
    </w:p>
    <w:p>
      <w:pPr>
        <w:numPr>
          <w:ilvl w:val="0"/>
          <w:numId w:val="1015"/>
        </w:numPr>
      </w:pPr>
      <w:r>
        <w:t xml:space="preserve">Aplicación del pretest de 20 ítems a la cohorte 2026-I del curso</w:t>
      </w:r>
      <w:r>
        <w:t xml:space="preserve"> </w:t>
      </w:r>
      <w:r>
        <w:t xml:space="preserve">(censo de 49 estudiantes de las secciones de mañana y noche).</w:t>
      </w:r>
    </w:p>
    <w:p>
      <w:pPr>
        <w:numPr>
          <w:ilvl w:val="0"/>
          <w:numId w:val="1015"/>
        </w:numPr>
      </w:pPr>
      <w:r>
        <w:t xml:space="preserve">Ejecución de la suite de pruebas automatizadas del backend: 396 casos</w:t>
      </w:r>
      <w:r>
        <w:t xml:space="preserve"> </w:t>
      </w:r>
      <w:r>
        <w:t xml:space="preserve">en verde, 88 % de cobertura de código.</w:t>
      </w:r>
    </w:p>
    <w:p>
      <w:pPr>
        <w:numPr>
          <w:ilvl w:val="0"/>
          <w:numId w:val="1015"/>
        </w:numPr>
      </w:pPr>
      <w:r>
        <w:t xml:space="preserve">Pruebas del frontend (69 casos) y verificación de la cobertura de los</w:t>
      </w:r>
      <w:r>
        <w:t xml:space="preserve"> </w:t>
      </w:r>
      <w:r>
        <w:t xml:space="preserve">33 requisitos funcionales priorizados.</w:t>
      </w:r>
    </w:p>
    <w:p>
      <w:pPr>
        <w:numPr>
          <w:ilvl w:val="0"/>
          <w:numId w:val="1015"/>
        </w:numPr>
      </w:pPr>
      <w:r>
        <w:t xml:space="preserve">Medición de la adecuación funcional con las métricas de ISO/IEC 25023</w:t>
      </w:r>
      <w:r>
        <w:t xml:space="preserve"> </w:t>
      </w:r>
      <w:r>
        <w:t xml:space="preserve">y validación de la degradación elegante ante cuatro escenarios de</w:t>
      </w:r>
      <w:r>
        <w:t xml:space="preserve"> </w:t>
      </w:r>
      <w:r>
        <w:t xml:space="preserve">fallo controlado.</w:t>
      </w:r>
    </w:p>
    <w:bookmarkEnd w:id="23"/>
    <w:bookmarkStart w:id="24" w:name="X603d47e531459350813e563091bcb09afe1b59f"/>
    <w:p>
      <w:pPr>
        <w:pStyle w:val="Heading4"/>
      </w:pPr>
      <w:r>
        <w:t xml:space="preserve">1.1.6.2. Sprint 12: Aplicación del postest y contraste del rendimiento académico</w:t>
      </w:r>
    </w:p>
    <w:p>
      <w:pPr>
        <w:pStyle w:val="FirstParagraph"/>
      </w:pPr>
      <w:r>
        <w:t xml:space="preserve">El Sprint 12 (28 de mayo – 3 de junio de 2026) cerró el estudio de</w:t>
      </w:r>
      <w:r>
        <w:t xml:space="preserve"> </w:t>
      </w:r>
      <w:r>
        <w:t xml:space="preserve">campo con la aplicación del postest a la misma cohorte y el análisis</w:t>
      </w:r>
      <w:r>
        <w:t xml:space="preserve"> </w:t>
      </w:r>
      <w:r>
        <w:t xml:space="preserve">estadístico del rendimiento académico. El contraste pretest/postest con</w:t>
      </w:r>
      <w:r>
        <w:t xml:space="preserve"> </w:t>
      </w:r>
      <w:r>
        <w:t xml:space="preserve">prueba t de Student pareada arrojó una mejora significativa (t (48) =</w:t>
      </w:r>
      <w:r>
        <w:t xml:space="preserve"> </w:t>
      </w:r>
      <w:r>
        <w:t xml:space="preserve">14.85, p &lt; 0.001) con un tamaño del efecto grande (d de Cohen = 2.12).</w:t>
      </w:r>
      <w:r>
        <w:t xml:space="preserve"> </w:t>
      </w:r>
      <w:r>
        <w:t xml:space="preserve">El detalle descriptivo e inferencial se reporta en el apartado 1.2.4.</w:t>
      </w:r>
    </w:p>
    <w:p>
      <w:pPr>
        <w:numPr>
          <w:ilvl w:val="0"/>
          <w:numId w:val="1016"/>
        </w:numPr>
      </w:pPr>
      <w:r>
        <w:t xml:space="preserve">Aplicación del postest de 20 ítems a la cohorte piloto tras la</w:t>
      </w:r>
      <w:r>
        <w:t xml:space="preserve"> </w:t>
      </w:r>
      <w:r>
        <w:t xml:space="preserve">intervención con el tutor (n = 49).</w:t>
      </w:r>
    </w:p>
    <w:p>
      <w:pPr>
        <w:numPr>
          <w:ilvl w:val="0"/>
          <w:numId w:val="1016"/>
        </w:numPr>
      </w:pPr>
      <w:r>
        <w:t xml:space="preserve">Cálculo de estadísticos descriptivos del pretest y del postest (media,</w:t>
      </w:r>
      <w:r>
        <w:t xml:space="preserve"> </w:t>
      </w:r>
      <w:r>
        <w:t xml:space="preserve">desviación estándar, mínimo y máximo).</w:t>
      </w:r>
    </w:p>
    <w:p>
      <w:pPr>
        <w:numPr>
          <w:ilvl w:val="0"/>
          <w:numId w:val="1016"/>
        </w:numPr>
      </w:pPr>
      <w:r>
        <w:t xml:space="preserve">Verificación del supuesto de normalidad de las diferencias con la</w:t>
      </w:r>
      <w:r>
        <w:t xml:space="preserve"> </w:t>
      </w:r>
      <w:r>
        <w:t xml:space="preserve">prueba de Shapiro-Wilk (W = 0.947, p = 0.027).</w:t>
      </w:r>
    </w:p>
    <w:p>
      <w:pPr>
        <w:numPr>
          <w:ilvl w:val="0"/>
          <w:numId w:val="1016"/>
        </w:numPr>
      </w:pPr>
      <w:r>
        <w:t xml:space="preserve">Contraste de hipótesis con la prueba t de Student pareada (principal)</w:t>
      </w:r>
      <w:r>
        <w:t xml:space="preserve"> </w:t>
      </w:r>
      <w:r>
        <w:t xml:space="preserve">y la prueba de Wilcoxon como respaldo no paramétrico; cálculo del</w:t>
      </w:r>
      <w:r>
        <w:t xml:space="preserve"> </w:t>
      </w:r>
      <w:r>
        <w:t xml:space="preserve">tamaño del efecto (d de Cohen) y del IC 95 % de la ganancia media.</w:t>
      </w:r>
    </w:p>
    <w:bookmarkEnd w:id="24"/>
    <w:bookmarkEnd w:id="25"/>
    <w:bookmarkEnd w:id="26"/>
    <w:bookmarkStart w:id="33" w:name="en-base-a-los-objetivos-del-proyecto"/>
    <w:p>
      <w:pPr>
        <w:pStyle w:val="Heading2"/>
      </w:pPr>
      <w:r>
        <w:t xml:space="preserve">1.2. En base a los objetivos del proyecto</w:t>
      </w:r>
    </w:p>
    <w:p>
      <w:pPr>
        <w:pStyle w:val="FirstParagraph"/>
      </w:pPr>
      <w:r>
        <w:t xml:space="preserve">Este apartado consolida la evidencia de cumplimiento de los objetivos de</w:t>
      </w:r>
      <w:r>
        <w:t xml:space="preserve"> </w:t>
      </w:r>
      <w:r>
        <w:t xml:space="preserve">la tesis. El objetivo general —desarrollar un tutor con IA generativa</w:t>
      </w:r>
      <w:r>
        <w:t xml:space="preserve"> </w:t>
      </w:r>
      <w:r>
        <w:t xml:space="preserve">aplicado a la asignatura de Aplicaciones Móviles para mejorar el</w:t>
      </w:r>
      <w:r>
        <w:t xml:space="preserve"> </w:t>
      </w:r>
      <w:r>
        <w:t xml:space="preserve">rendimiento académico de los estudiantes del IESTP</w:t>
      </w:r>
      <w:r>
        <w:t xml:space="preserve"> </w:t>
      </w:r>
      <w:r>
        <w:t xml:space="preserve">“RFA”</w:t>
      </w:r>
      <w:r>
        <w:t xml:space="preserve">— se</w:t>
      </w:r>
      <w:r>
        <w:t xml:space="preserve"> </w:t>
      </w:r>
      <w:r>
        <w:t xml:space="preserve">operacionaliza en cinco objetivos específicos (OE1–OE5), cada uno con</w:t>
      </w:r>
      <w:r>
        <w:t xml:space="preserve"> </w:t>
      </w:r>
      <w:r>
        <w:t xml:space="preserve">sus indicadores y umbrales de aceptación. Las tablas de validación final</w:t>
      </w:r>
      <w:r>
        <w:t xml:space="preserve"> </w:t>
      </w:r>
      <w:r>
        <w:t xml:space="preserve">se presentan aquí; los sprints del apartado 1.1 las referencian para</w:t>
      </w:r>
      <w:r>
        <w:t xml:space="preserve"> </w:t>
      </w:r>
      <w:r>
        <w:t xml:space="preserve">evitar duplicación.</w:t>
      </w:r>
    </w:p>
    <w:bookmarkStart w:id="27" w:name="Xa08f2aa54d865ce185a476a648fb206b1723a28"/>
    <w:p>
      <w:pPr>
        <w:pStyle w:val="Heading3"/>
      </w:pPr>
      <w:r>
        <w:t xml:space="preserve">1.2.1. OE1: Selección del LLM y del modelo de embeddings</w:t>
      </w:r>
    </w:p>
    <w:p>
      <w:pPr>
        <w:pStyle w:val="FirstParagraph"/>
      </w:pPr>
      <w:r>
        <w:t xml:space="preserve">Se cumplió este objetivo seleccionando qwen2.5:7b-instruct (cuantización</w:t>
      </w:r>
      <w:r>
        <w:t xml:space="preserve"> </w:t>
      </w:r>
      <w:r>
        <w:t xml:space="preserve">q4_K_M) como LLM generador y mxbai-embed-large como modelo de</w:t>
      </w:r>
      <w:r>
        <w:t xml:space="preserve"> </w:t>
      </w:r>
      <w:r>
        <w:t xml:space="preserve">embeddings, ejecutados localmente mediante Ollama. La validación se</w:t>
      </w:r>
      <w:r>
        <w:t xml:space="preserve"> </w:t>
      </w:r>
      <w:r>
        <w:t xml:space="preserve">realizó sobre un golden set de 50 preguntas con un juez LLM</w:t>
      </w:r>
      <w:r>
        <w:t xml:space="preserve"> </w:t>
      </w:r>
      <w:r>
        <w:t xml:space="preserve">independiente (llama3.1:8b) y el pipeline de producción con reranking.</w:t>
      </w:r>
      <w:r>
        <w:t xml:space="preserve"> </w:t>
      </w:r>
      <w:r>
        <w:t xml:space="preserve">La capacidad de generación y la de recuperación se evaluaron por</w:t>
      </w:r>
      <w:r>
        <w:t xml:space="preserve"> </w:t>
      </w:r>
      <w:r>
        <w:t xml:space="preserve">separado.</w:t>
      </w:r>
    </w:p>
    <w:p>
      <w:pPr>
        <w:pStyle w:val="BodyText"/>
      </w:pPr>
      <w:r>
        <w:rPr>
          <w:i/>
          <w:iCs/>
        </w:rPr>
        <w:t xml:space="preserve">Evidencia de generación (qwen2.5:7b)</w:t>
      </w:r>
    </w:p>
    <w:tbl>
      <w:tblPr>
        <w:tblStyle w:val="Table"/>
        <w:tblW w:type="pct" w:w="4865"/>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Indicador</w:t>
            </w:r>
          </w:p>
        </w:tc>
        <w:tc>
          <w:tcPr/>
          <w:p>
            <w:pPr>
              <w:pStyle w:val="Compact"/>
              <w:jc w:val="left"/>
            </w:pPr>
            <w:r>
              <w:rPr>
                <w:b/>
                <w:bCs/>
              </w:rPr>
              <w:t xml:space="preserve">Resultado</w:t>
            </w:r>
          </w:p>
        </w:tc>
        <w:tc>
          <w:tcPr/>
          <w:p>
            <w:pPr>
              <w:pStyle w:val="Compact"/>
              <w:jc w:val="left"/>
            </w:pPr>
            <w:r>
              <w:rPr>
                <w:b/>
                <w:bCs/>
              </w:rPr>
              <w:t xml:space="preserve">Umbral</w:t>
            </w:r>
          </w:p>
        </w:tc>
        <w:tc>
          <w:tcPr/>
          <w:p>
            <w:pPr>
              <w:pStyle w:val="Compact"/>
              <w:jc w:val="left"/>
            </w:pPr>
            <w:r>
              <w:rPr>
                <w:b/>
                <w:bCs/>
              </w:rPr>
              <w:t xml:space="preserve">Veredicto</w:t>
            </w:r>
          </w:p>
        </w:tc>
      </w:tr>
      <w:tr>
        <w:tc>
          <w:tcPr/>
          <w:p>
            <w:pPr>
              <w:pStyle w:val="Compact"/>
              <w:jc w:val="left"/>
            </w:pPr>
            <w:r>
              <w:t xml:space="preserve">Exactitud</w:t>
            </w:r>
            <w:r>
              <w:t xml:space="preserve"> </w:t>
            </w:r>
            <w:r>
              <w:t xml:space="preserve">(Accuracy)</w:t>
            </w:r>
          </w:p>
        </w:tc>
        <w:tc>
          <w:tcPr/>
          <w:p>
            <w:pPr>
              <w:pStyle w:val="Compact"/>
              <w:jc w:val="left"/>
            </w:pPr>
            <w:r>
              <w:t xml:space="preserve">0.72</w:t>
            </w:r>
          </w:p>
        </w:tc>
        <w:tc>
          <w:tcPr/>
          <w:p>
            <w:pPr>
              <w:pStyle w:val="Compact"/>
              <w:jc w:val="left"/>
            </w:pPr>
            <w:r>
              <w:t xml:space="preserve">≥ 0.70</w:t>
            </w:r>
          </w:p>
        </w:tc>
        <w:tc>
          <w:tcPr/>
          <w:p>
            <w:pPr>
              <w:pStyle w:val="Compact"/>
              <w:jc w:val="left"/>
            </w:pPr>
            <w:r>
              <w:t xml:space="preserve">Cumple</w:t>
            </w:r>
          </w:p>
        </w:tc>
      </w:tr>
      <w:tr>
        <w:tc>
          <w:tcPr/>
          <w:p>
            <w:pPr>
              <w:pStyle w:val="Compact"/>
              <w:jc w:val="left"/>
            </w:pPr>
            <w:r>
              <w:t xml:space="preserve">Valoración global</w:t>
            </w:r>
            <w:r>
              <w:t xml:space="preserve"> </w:t>
            </w:r>
            <w:r>
              <w:t xml:space="preserve">(Likert 1–5)</w:t>
            </w:r>
          </w:p>
        </w:tc>
        <w:tc>
          <w:tcPr/>
          <w:p>
            <w:pPr>
              <w:pStyle w:val="Compact"/>
              <w:jc w:val="left"/>
            </w:pPr>
            <w:r>
              <w:t xml:space="preserve">4.325</w:t>
            </w:r>
          </w:p>
        </w:tc>
        <w:tc>
          <w:tcPr/>
          <w:p>
            <w:pPr>
              <w:pStyle w:val="Compact"/>
              <w:jc w:val="left"/>
            </w:pPr>
            <w:r>
              <w:t xml:space="preserve">≥ 4.00</w:t>
            </w:r>
          </w:p>
        </w:tc>
        <w:tc>
          <w:tcPr/>
          <w:p>
            <w:pPr>
              <w:pStyle w:val="Compact"/>
              <w:jc w:val="left"/>
            </w:pPr>
            <w:r>
              <w:t xml:space="preserve">Cumple</w:t>
            </w:r>
          </w:p>
        </w:tc>
      </w:tr>
    </w:tbl>
    <w:p>
      <w:pPr>
        <w:pStyle w:val="BodyText"/>
      </w:pPr>
      <w:r>
        <w:rPr>
          <w:i/>
          <w:iCs/>
        </w:rPr>
        <w:t xml:space="preserve">Tabla 12. Indicadores de generación del LLM seleccionado (golden set de</w:t>
      </w:r>
      <w:r>
        <w:rPr>
          <w:i/>
          <w:iCs/>
        </w:rPr>
        <w:t xml:space="preserve"> </w:t>
      </w:r>
      <w:r>
        <w:rPr>
          <w:i/>
          <w:iCs/>
        </w:rPr>
        <w:t xml:space="preserve">50 ítems, juez independiente llama3.1:8b).</w:t>
      </w:r>
    </w:p>
    <w:p>
      <w:pPr>
        <w:pStyle w:val="BodyText"/>
      </w:pPr>
      <w:r>
        <w:rPr>
          <w:i/>
          <w:iCs/>
        </w:rPr>
        <w:t xml:space="preserve">Evidencia de recuperación (mxbai-embed-large + reranking)</w:t>
      </w:r>
    </w:p>
    <w:tbl>
      <w:tblPr>
        <w:tblStyle w:val="Table"/>
        <w:tblW w:type="pct" w:w="4865"/>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Indicador</w:t>
            </w:r>
          </w:p>
        </w:tc>
        <w:tc>
          <w:tcPr/>
          <w:p>
            <w:pPr>
              <w:pStyle w:val="Compact"/>
              <w:jc w:val="left"/>
            </w:pPr>
            <w:r>
              <w:rPr>
                <w:b/>
                <w:bCs/>
              </w:rPr>
              <w:t xml:space="preserve">Resultado</w:t>
            </w:r>
          </w:p>
        </w:tc>
        <w:tc>
          <w:tcPr/>
          <w:p>
            <w:pPr>
              <w:pStyle w:val="Compact"/>
              <w:jc w:val="left"/>
            </w:pPr>
            <w:r>
              <w:rPr>
                <w:b/>
                <w:bCs/>
              </w:rPr>
              <w:t xml:space="preserve">Umbral</w:t>
            </w:r>
          </w:p>
        </w:tc>
        <w:tc>
          <w:tcPr/>
          <w:p>
            <w:pPr>
              <w:pStyle w:val="Compact"/>
              <w:jc w:val="left"/>
            </w:pPr>
            <w:r>
              <w:rPr>
                <w:b/>
                <w:bCs/>
              </w:rPr>
              <w:t xml:space="preserve">Veredicto</w:t>
            </w:r>
          </w:p>
        </w:tc>
      </w:tr>
      <w:tr>
        <w:tc>
          <w:tcPr/>
          <w:p>
            <w:pPr>
              <w:pStyle w:val="Compact"/>
              <w:jc w:val="left"/>
            </w:pPr>
            <w:r>
              <w:t xml:space="preserve">nDCG@10</w:t>
            </w:r>
          </w:p>
        </w:tc>
        <w:tc>
          <w:tcPr/>
          <w:p>
            <w:pPr>
              <w:pStyle w:val="Compact"/>
              <w:jc w:val="left"/>
            </w:pPr>
            <w:r>
              <w:t xml:space="preserve">0.686</w:t>
            </w:r>
          </w:p>
        </w:tc>
        <w:tc>
          <w:tcPr/>
          <w:p>
            <w:pPr>
              <w:pStyle w:val="Compact"/>
              <w:jc w:val="left"/>
            </w:pPr>
            <w:r>
              <w:t xml:space="preserve">≥ 0.55</w:t>
            </w:r>
          </w:p>
        </w:tc>
        <w:tc>
          <w:tcPr/>
          <w:p>
            <w:pPr>
              <w:pStyle w:val="Compact"/>
              <w:jc w:val="left"/>
            </w:pPr>
            <w:r>
              <w:t xml:space="preserve">Cumple</w:t>
            </w:r>
          </w:p>
        </w:tc>
      </w:tr>
      <w:tr>
        <w:tc>
          <w:tcPr/>
          <w:p>
            <w:pPr>
              <w:pStyle w:val="Compact"/>
              <w:jc w:val="left"/>
            </w:pPr>
            <w:r>
              <w:t xml:space="preserve">Recall@5</w:t>
            </w:r>
          </w:p>
        </w:tc>
        <w:tc>
          <w:tcPr/>
          <w:p>
            <w:pPr>
              <w:pStyle w:val="Compact"/>
              <w:jc w:val="left"/>
            </w:pPr>
            <w:r>
              <w:t xml:space="preserve">0.720</w:t>
            </w:r>
          </w:p>
        </w:tc>
        <w:tc>
          <w:tcPr/>
          <w:p>
            <w:pPr>
              <w:pStyle w:val="Compact"/>
              <w:jc w:val="left"/>
            </w:pPr>
            <w:r>
              <w:t xml:space="preserve">≥ 0.70</w:t>
            </w:r>
          </w:p>
        </w:tc>
        <w:tc>
          <w:tcPr/>
          <w:p>
            <w:pPr>
              <w:pStyle w:val="Compact"/>
              <w:jc w:val="left"/>
            </w:pPr>
            <w:r>
              <w:t xml:space="preserve">Cumple</w:t>
            </w:r>
          </w:p>
        </w:tc>
      </w:tr>
      <w:tr>
        <w:tc>
          <w:tcPr/>
          <w:p>
            <w:pPr>
              <w:pStyle w:val="Compact"/>
              <w:jc w:val="left"/>
            </w:pPr>
            <w:r>
              <w:t xml:space="preserve">MRR@10</w:t>
            </w:r>
          </w:p>
        </w:tc>
        <w:tc>
          <w:tcPr/>
          <w:p>
            <w:pPr>
              <w:pStyle w:val="Compact"/>
              <w:jc w:val="left"/>
            </w:pPr>
            <w:r>
              <w:t xml:space="preserve">0.684</w:t>
            </w:r>
          </w:p>
        </w:tc>
        <w:tc>
          <w:tcPr/>
          <w:p>
            <w:pPr>
              <w:pStyle w:val="Compact"/>
              <w:jc w:val="left"/>
            </w:pPr>
            <w:r>
              <w:t xml:space="preserve">≥ 0.65</w:t>
            </w:r>
          </w:p>
        </w:tc>
        <w:tc>
          <w:tcPr/>
          <w:p>
            <w:pPr>
              <w:pStyle w:val="Compact"/>
              <w:jc w:val="left"/>
            </w:pPr>
            <w:r>
              <w:t xml:space="preserve">Cumple</w:t>
            </w:r>
          </w:p>
        </w:tc>
      </w:tr>
    </w:tbl>
    <w:p>
      <w:pPr>
        <w:pStyle w:val="BodyText"/>
      </w:pPr>
      <w:r>
        <w:rPr>
          <w:i/>
          <w:iCs/>
        </w:rPr>
        <w:t xml:space="preserve">Tabla 13. Indicadores de recuperación con el pipeline de producción</w:t>
      </w:r>
      <w:r>
        <w:rPr>
          <w:i/>
          <w:iCs/>
        </w:rPr>
        <w:t xml:space="preserve"> </w:t>
      </w:r>
      <w:r>
        <w:rPr>
          <w:i/>
          <w:iCs/>
        </w:rPr>
        <w:t xml:space="preserve">(coseno + reranking cross-encoder).</w:t>
      </w:r>
    </w:p>
    <w:p>
      <w:pPr>
        <w:pStyle w:val="BodyText"/>
      </w:pPr>
      <w:r>
        <w:rPr>
          <w:b/>
          <w:bCs/>
        </w:rPr>
        <w:t xml:space="preserve">Conclusión OE1: los cinco indicadores oficiales superan sus umbrales →</w:t>
      </w:r>
      <w:r>
        <w:rPr>
          <w:b/>
          <w:bCs/>
        </w:rPr>
        <w:t xml:space="preserve"> </w:t>
      </w:r>
      <w:r>
        <w:rPr>
          <w:b/>
          <w:bCs/>
        </w:rPr>
        <w:t xml:space="preserve">objetivo cumplido.</w:t>
      </w:r>
    </w:p>
    <w:bookmarkEnd w:id="27"/>
    <w:bookmarkStart w:id="28" w:name="X3dbe44b036edcd088fdf835c87496932550cff1"/>
    <w:p>
      <w:pPr>
        <w:pStyle w:val="Heading3"/>
      </w:pPr>
      <w:r>
        <w:t xml:space="preserve">1.2.2. OE2: Validación del pipeline RAG con RAGAS</w:t>
      </w:r>
    </w:p>
    <w:p>
      <w:pPr>
        <w:pStyle w:val="FirstParagraph"/>
      </w:pPr>
      <w:r>
        <w:t xml:space="preserve">Se cumplió este objetivo ejecutando la validación formal con la librería</w:t>
      </w:r>
      <w:r>
        <w:t xml:space="preserve"> </w:t>
      </w:r>
      <w:r>
        <w:t xml:space="preserve">oficial RAGAS 0.2.6 sobre el golden set de 50 preguntas, con juez LLM</w:t>
      </w:r>
      <w:r>
        <w:t xml:space="preserve"> </w:t>
      </w:r>
      <w:r>
        <w:t xml:space="preserve">independiente (llama3.1:8b) y el pipeline de producción con reranking</w:t>
      </w:r>
      <w:r>
        <w:t xml:space="preserve"> </w:t>
      </w:r>
      <w:r>
        <w:t xml:space="preserve">cross-encoder. La configuración evaluada fue: embeddings</w:t>
      </w:r>
      <w:r>
        <w:t xml:space="preserve"> </w:t>
      </w:r>
      <w:r>
        <w:t xml:space="preserve">mxbai-embed-large → búsqueda por similitud coseno en pgvector (top-k =</w:t>
      </w:r>
      <w:r>
        <w:t xml:space="preserve"> </w:t>
      </w:r>
      <w:r>
        <w:t xml:space="preserve">5) → reranking con cross-encoder → generación con qwen2.5:7b</w:t>
      </w:r>
      <w:r>
        <w:t xml:space="preserve"> </w:t>
      </w:r>
      <w:r>
        <w:t xml:space="preserve">(temperatura 0.3, num_ctx 4096).</w:t>
      </w:r>
    </w:p>
    <w:tbl>
      <w:tblPr>
        <w:tblStyle w:val="Table"/>
        <w:tblW w:type="pct" w:w="4870"/>
        <w:tblLayout w:type="fixed"/>
        <w:tblLook w:firstRow="1" w:lastRow="0" w:firstColumn="0" w:lastColumn="0" w:noHBand="0" w:noVBand="0" w:val="0020"/>
      </w:tblPr>
      <w:tblGrid>
        <w:gridCol w:w="2160"/>
        <w:gridCol w:w="1851"/>
        <w:gridCol w:w="1851"/>
        <w:gridCol w:w="1851"/>
      </w:tblGrid>
      <w:tr>
        <w:trPr>
          <w:tblHeader w:val="on"/>
        </w:trPr>
        <w:tc>
          <w:tcPr/>
          <w:p>
            <w:pPr>
              <w:pStyle w:val="Compact"/>
              <w:jc w:val="left"/>
            </w:pPr>
            <w:r>
              <w:rPr>
                <w:b/>
                <w:bCs/>
              </w:rPr>
              <w:t xml:space="preserve">Métrica RAGAS</w:t>
            </w:r>
          </w:p>
        </w:tc>
        <w:tc>
          <w:tcPr/>
          <w:p>
            <w:pPr>
              <w:pStyle w:val="Compact"/>
              <w:jc w:val="left"/>
            </w:pPr>
            <w:r>
              <w:rPr>
                <w:b/>
                <w:bCs/>
              </w:rPr>
              <w:t xml:space="preserve">Resultado</w:t>
            </w:r>
          </w:p>
        </w:tc>
        <w:tc>
          <w:tcPr/>
          <w:p>
            <w:pPr>
              <w:pStyle w:val="Compact"/>
              <w:jc w:val="left"/>
            </w:pPr>
            <w:r>
              <w:rPr>
                <w:b/>
                <w:bCs/>
              </w:rPr>
              <w:t xml:space="preserve">Umbral</w:t>
            </w:r>
          </w:p>
        </w:tc>
        <w:tc>
          <w:tcPr/>
          <w:p>
            <w:pPr>
              <w:pStyle w:val="Compact"/>
              <w:jc w:val="left"/>
            </w:pPr>
            <w:r>
              <w:rPr>
                <w:b/>
                <w:bCs/>
              </w:rPr>
              <w:t xml:space="preserve">Veredicto</w:t>
            </w:r>
          </w:p>
        </w:tc>
      </w:tr>
      <w:tr>
        <w:tc>
          <w:tcPr/>
          <w:p>
            <w:pPr>
              <w:pStyle w:val="Compact"/>
              <w:jc w:val="left"/>
            </w:pPr>
            <w:r>
              <w:t xml:space="preserve">context_precision</w:t>
            </w:r>
          </w:p>
        </w:tc>
        <w:tc>
          <w:tcPr/>
          <w:p>
            <w:pPr>
              <w:pStyle w:val="Compact"/>
              <w:jc w:val="left"/>
            </w:pPr>
            <w:r>
              <w:t xml:space="preserve">0.876</w:t>
            </w:r>
          </w:p>
        </w:tc>
        <w:tc>
          <w:tcPr/>
          <w:p>
            <w:pPr>
              <w:pStyle w:val="Compact"/>
              <w:jc w:val="left"/>
            </w:pPr>
            <w:r>
              <w:t xml:space="preserve">≥ 0.70</w:t>
            </w:r>
          </w:p>
        </w:tc>
        <w:tc>
          <w:tcPr/>
          <w:p>
            <w:pPr>
              <w:pStyle w:val="Compact"/>
              <w:jc w:val="left"/>
            </w:pPr>
            <w:r>
              <w:t xml:space="preserve">Cumple</w:t>
            </w:r>
          </w:p>
        </w:tc>
      </w:tr>
      <w:tr>
        <w:tc>
          <w:tcPr/>
          <w:p>
            <w:pPr>
              <w:pStyle w:val="Compact"/>
              <w:jc w:val="left"/>
            </w:pPr>
            <w:r>
              <w:t xml:space="preserve">context_recall</w:t>
            </w:r>
          </w:p>
        </w:tc>
        <w:tc>
          <w:tcPr/>
          <w:p>
            <w:pPr>
              <w:pStyle w:val="Compact"/>
              <w:jc w:val="left"/>
            </w:pPr>
            <w:r>
              <w:t xml:space="preserve">0.812</w:t>
            </w:r>
          </w:p>
        </w:tc>
        <w:tc>
          <w:tcPr/>
          <w:p>
            <w:pPr>
              <w:pStyle w:val="Compact"/>
              <w:jc w:val="left"/>
            </w:pPr>
            <w:r>
              <w:t xml:space="preserve">≥ 0.75</w:t>
            </w:r>
          </w:p>
        </w:tc>
        <w:tc>
          <w:tcPr/>
          <w:p>
            <w:pPr>
              <w:pStyle w:val="Compact"/>
              <w:jc w:val="left"/>
            </w:pPr>
            <w:r>
              <w:t xml:space="preserve">Cumple</w:t>
            </w:r>
          </w:p>
        </w:tc>
      </w:tr>
      <w:tr>
        <w:tc>
          <w:tcPr/>
          <w:p>
            <w:pPr>
              <w:pStyle w:val="Compact"/>
              <w:jc w:val="left"/>
            </w:pPr>
            <w:r>
              <w:t xml:space="preserve">faithfulness</w:t>
            </w:r>
          </w:p>
        </w:tc>
        <w:tc>
          <w:tcPr/>
          <w:p>
            <w:pPr>
              <w:pStyle w:val="Compact"/>
              <w:jc w:val="left"/>
            </w:pPr>
            <w:r>
              <w:t xml:space="preserve">0.706</w:t>
            </w:r>
          </w:p>
        </w:tc>
        <w:tc>
          <w:tcPr/>
          <w:p>
            <w:pPr>
              <w:pStyle w:val="Compact"/>
              <w:jc w:val="left"/>
            </w:pPr>
            <w:r>
              <w:t xml:space="preserve">≥ 0.65</w:t>
            </w:r>
          </w:p>
        </w:tc>
        <w:tc>
          <w:tcPr/>
          <w:p>
            <w:pPr>
              <w:pStyle w:val="Compact"/>
              <w:jc w:val="left"/>
            </w:pPr>
            <w:r>
              <w:t xml:space="preserve">Cumple</w:t>
            </w:r>
          </w:p>
        </w:tc>
      </w:tr>
      <w:tr>
        <w:tc>
          <w:tcPr/>
          <w:p>
            <w:pPr>
              <w:pStyle w:val="Compact"/>
              <w:jc w:val="left"/>
            </w:pPr>
            <w:r>
              <w:t xml:space="preserve">answer_relevancy</w:t>
            </w:r>
          </w:p>
        </w:tc>
        <w:tc>
          <w:tcPr/>
          <w:p>
            <w:pPr>
              <w:pStyle w:val="Compact"/>
              <w:jc w:val="left"/>
            </w:pPr>
            <w:r>
              <w:t xml:space="preserve">0.707</w:t>
            </w:r>
          </w:p>
        </w:tc>
        <w:tc>
          <w:tcPr/>
          <w:p>
            <w:pPr>
              <w:pStyle w:val="Compact"/>
              <w:jc w:val="left"/>
            </w:pPr>
            <w:r>
              <w:t xml:space="preserve">≥ 0.65</w:t>
            </w:r>
          </w:p>
        </w:tc>
        <w:tc>
          <w:tcPr/>
          <w:p>
            <w:pPr>
              <w:pStyle w:val="Compact"/>
              <w:jc w:val="left"/>
            </w:pPr>
            <w:r>
              <w:t xml:space="preserve">Cumple</w:t>
            </w:r>
          </w:p>
        </w:tc>
      </w:tr>
      <w:tr>
        <w:tc>
          <w:tcPr/>
          <w:p>
            <w:pPr>
              <w:pStyle w:val="Compact"/>
              <w:jc w:val="left"/>
            </w:pPr>
            <w:r>
              <w:t xml:space="preserve">answer_correctness</w:t>
            </w:r>
          </w:p>
        </w:tc>
        <w:tc>
          <w:tcPr/>
          <w:p>
            <w:pPr>
              <w:pStyle w:val="Compact"/>
              <w:jc w:val="left"/>
            </w:pPr>
            <w:r>
              <w:t xml:space="preserve">0.609</w:t>
            </w:r>
          </w:p>
        </w:tc>
        <w:tc>
          <w:tcPr/>
          <w:p>
            <w:pPr>
              <w:pStyle w:val="Compact"/>
              <w:jc w:val="left"/>
            </w:pPr>
            <w:r>
              <w:t xml:space="preserve">≥ 0.55</w:t>
            </w:r>
          </w:p>
        </w:tc>
        <w:tc>
          <w:tcPr/>
          <w:p>
            <w:pPr>
              <w:pStyle w:val="Compact"/>
              <w:jc w:val="left"/>
            </w:pPr>
            <w:r>
              <w:t xml:space="preserve">Cumple</w:t>
            </w:r>
          </w:p>
        </w:tc>
      </w:tr>
    </w:tbl>
    <w:p>
      <w:pPr>
        <w:pStyle w:val="BodyText"/>
      </w:pPr>
      <w:r>
        <w:rPr>
          <w:i/>
          <w:iCs/>
        </w:rPr>
        <w:t xml:space="preserve">Tabla 14. Validación formal del pipeline RAG con RAGAS 0.2.6 (50 ítems,</w:t>
      </w:r>
      <w:r>
        <w:rPr>
          <w:i/>
          <w:iCs/>
        </w:rPr>
        <w:t xml:space="preserve"> </w:t>
      </w:r>
      <w:r>
        <w:rPr>
          <w:i/>
          <w:iCs/>
        </w:rPr>
        <w:t xml:space="preserve">juez independiente llama3.1:8b, pipeline con reranking).</w:t>
      </w:r>
    </w:p>
    <w:p>
      <w:pPr>
        <w:pStyle w:val="BodyText"/>
      </w:pPr>
      <w:r>
        <w:rPr>
          <w:b/>
          <w:bCs/>
        </w:rPr>
        <w:t xml:space="preserve">Conclusión OE2: las cinco métricas RAGAS superan sus umbrales</w:t>
      </w:r>
      <w:r>
        <w:rPr>
          <w:b/>
          <w:bCs/>
        </w:rPr>
        <w:t xml:space="preserve"> </w:t>
      </w:r>
      <w:r>
        <w:rPr>
          <w:b/>
          <w:bCs/>
        </w:rPr>
        <w:t xml:space="preserve">(umbrales de generación calibrados para la clase de modelo 7B</w:t>
      </w:r>
      <w:r>
        <w:rPr>
          <w:b/>
          <w:bCs/>
        </w:rPr>
        <w:t xml:space="preserve"> </w:t>
      </w:r>
      <w:r>
        <w:rPr>
          <w:b/>
          <w:bCs/>
        </w:rPr>
        <w:t xml:space="preserve">open-source autohospedado sin fine-tuning) → objetivo cumplido.</w:t>
      </w:r>
    </w:p>
    <w:bookmarkEnd w:id="28"/>
    <w:bookmarkStart w:id="29" w:name="oe3-despliegue-en-google-compute-engine"/>
    <w:p>
      <w:pPr>
        <w:pStyle w:val="Heading3"/>
      </w:pPr>
      <w:r>
        <w:t xml:space="preserve">1.2.3. OE3: Despliegue en Google Compute Engine</w:t>
      </w:r>
    </w:p>
    <w:p>
      <w:pPr>
        <w:pStyle w:val="FirstParagraph"/>
      </w:pPr>
      <w:r>
        <w:t xml:space="preserve">Se cumplió el despliegue: el tutor opera en producción sobre una VM</w:t>
      </w:r>
      <w:r>
        <w:t xml:space="preserve"> </w:t>
      </w:r>
      <w:r>
        <w:t xml:space="preserve">e2-standard-4 en Google Compute Engine, en contenedores Docker</w:t>
      </w:r>
      <w:r>
        <w:t xml:space="preserve"> </w:t>
      </w:r>
      <w:r>
        <w:t xml:space="preserve">orquestados con Docker Compose, con TLS gestionado por Caddy (Let’s</w:t>
      </w:r>
      <w:r>
        <w:t xml:space="preserve"> </w:t>
      </w:r>
      <w:r>
        <w:t xml:space="preserve">Encrypt) y el frontend en Firebase Hosting (parámetros en la Tabla 11).</w:t>
      </w:r>
      <w:r>
        <w:t xml:space="preserve"> </w:t>
      </w:r>
      <w:r>
        <w:t xml:space="preserve">El objetivo se evalúa en tres dimensiones: rendimiento, disponibilidad y</w:t>
      </w:r>
      <w:r>
        <w:t xml:space="preserve"> </w:t>
      </w:r>
      <w:r>
        <w:t xml:space="preserve">trazabilidad.</w:t>
      </w:r>
    </w:p>
    <w:p>
      <w:pPr>
        <w:pStyle w:val="BodyText"/>
      </w:pPr>
      <w:r>
        <w:rPr>
          <w:i/>
          <w:iCs/>
        </w:rPr>
        <w:t xml:space="preserve">Rendimiento del pipeline de generación (medición sobre GPU)</w:t>
      </w:r>
    </w:p>
    <w:p>
      <w:pPr>
        <w:pStyle w:val="BodyText"/>
      </w:pPr>
      <w:r>
        <w:t xml:space="preserve">El rendimiento de inferencia se midió sobre el mismo backend de producción, enrutado a una GPU NVIDIA RTX 3090 mediante un túnel hacia un nodo de cómputo acelerado, sin modificar el código del pipeline RAG. La medición abarcó dos planos —generación (contra el motor Ollama, en</w:t>
      </w:r>
      <w:r>
        <w:t xml:space="preserve"> </w:t>
      </w:r>
      <w:r>
        <w:rPr>
          <w:i/>
          <w:iCs/>
        </w:rPr>
        <w:t xml:space="preserve">streaming</w:t>
      </w:r>
      <w:r>
        <w:t xml:space="preserve">) y extremo a extremo (contra el endpoint autenticado del tutor, con el flujo RAG completo)— a concurrencia 1, representativa del uso esporádico del piloto (10–15 estudiantes).</w:t>
      </w:r>
    </w:p>
    <w:tbl>
      <w:tblPr>
        <w:tblStyle w:val="Table"/>
        <w:tblW w:type="pct" w:w="5000"/>
        <w:tblLayout w:type="fixed"/>
        <w:tblLook w:firstRow="1" w:lastRow="0" w:firstColumn="0" w:lastColumn="0" w:noHBand="0" w:noVBand="0" w:val="0020"/>
      </w:tblPr>
      <w:tblGrid>
        <w:gridCol w:w="1161"/>
        <w:gridCol w:w="844"/>
        <w:gridCol w:w="1584"/>
        <w:gridCol w:w="2534"/>
        <w:gridCol w:w="1795"/>
      </w:tblGrid>
      <w:tr>
        <w:trPr>
          <w:tblHeader w:val="on"/>
        </w:trPr>
        <w:tc>
          <w:tcPr/>
          <w:p>
            <w:pPr>
              <w:pStyle w:val="Compact"/>
            </w:pPr>
            <w:r>
              <w:t xml:space="preserve">Indicador</w:t>
            </w:r>
          </w:p>
        </w:tc>
        <w:tc>
          <w:tcPr/>
          <w:p>
            <w:pPr>
              <w:pStyle w:val="Compact"/>
            </w:pPr>
            <w:r>
              <w:t xml:space="preserve">Umbral</w:t>
            </w:r>
          </w:p>
        </w:tc>
        <w:tc>
          <w:tcPr/>
          <w:p>
            <w:pPr>
              <w:pStyle w:val="Compact"/>
            </w:pPr>
            <w:r>
              <w:t xml:space="preserve">CPU (conc. 3)</w:t>
            </w:r>
          </w:p>
        </w:tc>
        <w:tc>
          <w:tcPr/>
          <w:p>
            <w:pPr>
              <w:pStyle w:val="Compact"/>
            </w:pPr>
            <w:r>
              <w:t xml:space="preserve">GPU RTX 3090 (conc. 1)</w:t>
            </w:r>
          </w:p>
        </w:tc>
        <w:tc>
          <w:tcPr/>
          <w:p>
            <w:pPr>
              <w:pStyle w:val="Compact"/>
            </w:pPr>
            <w:r>
              <w:t xml:space="preserve">Veredicto (GPU)</w:t>
            </w:r>
          </w:p>
        </w:tc>
      </w:tr>
      <w:tr>
        <w:tc>
          <w:tcPr/>
          <w:p>
            <w:pPr>
              <w:pStyle w:val="Compact"/>
            </w:pPr>
            <w:r>
              <w:t xml:space="preserve">TTFT P95</w:t>
            </w:r>
          </w:p>
        </w:tc>
        <w:tc>
          <w:tcPr/>
          <w:p>
            <w:pPr>
              <w:pStyle w:val="Compact"/>
            </w:pPr>
            <w:r>
              <w:t xml:space="preserve">≤ 2.5 s</w:t>
            </w:r>
          </w:p>
        </w:tc>
        <w:tc>
          <w:tcPr/>
          <w:p>
            <w:pPr>
              <w:pStyle w:val="Compact"/>
            </w:pPr>
            <w:r>
              <w:t xml:space="preserve">99.40 s</w:t>
            </w:r>
          </w:p>
        </w:tc>
        <w:tc>
          <w:tcPr/>
          <w:p>
            <w:pPr>
              <w:pStyle w:val="Compact"/>
            </w:pPr>
            <w:r>
              <w:rPr>
                <w:b/>
                <w:bCs/>
              </w:rPr>
              <w:t xml:space="preserve">0.838 s</w:t>
            </w:r>
          </w:p>
        </w:tc>
        <w:tc>
          <w:tcPr/>
          <w:p>
            <w:pPr>
              <w:pStyle w:val="Compact"/>
            </w:pPr>
            <w:r>
              <w:t xml:space="preserve">Cumple</w:t>
            </w:r>
          </w:p>
        </w:tc>
      </w:tr>
      <w:tr>
        <w:tc>
          <w:tcPr/>
          <w:p>
            <w:pPr>
              <w:pStyle w:val="Compact"/>
            </w:pPr>
            <w:r>
              <w:t xml:space="preserve">ITL P95</w:t>
            </w:r>
          </w:p>
        </w:tc>
        <w:tc>
          <w:tcPr/>
          <w:p>
            <w:pPr>
              <w:pStyle w:val="Compact"/>
            </w:pPr>
            <w:r>
              <w:t xml:space="preserve">≤ 250 ms</w:t>
            </w:r>
          </w:p>
        </w:tc>
        <w:tc>
          <w:tcPr/>
          <w:p>
            <w:pPr>
              <w:pStyle w:val="Compact"/>
            </w:pPr>
            <w:r>
              <w:t xml:space="preserve">362.6 ms</w:t>
            </w:r>
          </w:p>
        </w:tc>
        <w:tc>
          <w:tcPr/>
          <w:p>
            <w:pPr>
              <w:pStyle w:val="Compact"/>
            </w:pPr>
            <w:r>
              <w:rPr>
                <w:b/>
                <w:bCs/>
              </w:rPr>
              <w:t xml:space="preserve">104.9 ms</w:t>
            </w:r>
          </w:p>
        </w:tc>
        <w:tc>
          <w:tcPr/>
          <w:p>
            <w:pPr>
              <w:pStyle w:val="Compact"/>
            </w:pPr>
            <w:r>
              <w:t xml:space="preserve">Cumple</w:t>
            </w:r>
          </w:p>
        </w:tc>
      </w:tr>
      <w:tr>
        <w:tc>
          <w:tcPr/>
          <w:p>
            <w:pPr>
              <w:pStyle w:val="Compact"/>
            </w:pPr>
            <w:r>
              <w:t xml:space="preserve">Throughput</w:t>
            </w:r>
          </w:p>
        </w:tc>
        <w:tc>
          <w:tcPr/>
          <w:p>
            <w:pPr>
              <w:pStyle w:val="Compact"/>
            </w:pPr>
            <w:r>
              <w:t xml:space="preserve">≥ 8 tok/s</w:t>
            </w:r>
          </w:p>
        </w:tc>
        <w:tc>
          <w:tcPr/>
          <w:p>
            <w:pPr>
              <w:pStyle w:val="Compact"/>
            </w:pPr>
            <w:r>
              <w:t xml:space="preserve">2.69 tok/s</w:t>
            </w:r>
          </w:p>
        </w:tc>
        <w:tc>
          <w:tcPr/>
          <w:p>
            <w:pPr>
              <w:pStyle w:val="Compact"/>
            </w:pPr>
            <w:r>
              <w:rPr>
                <w:b/>
                <w:bCs/>
              </w:rPr>
              <w:t xml:space="preserve">52.79</w:t>
            </w:r>
            <w:r>
              <w:t xml:space="preserve"> </w:t>
            </w:r>
            <w:r>
              <w:t xml:space="preserve">agregado /</w:t>
            </w:r>
            <w:r>
              <w:t xml:space="preserve"> </w:t>
            </w:r>
            <w:r>
              <w:rPr>
                <w:b/>
                <w:bCs/>
              </w:rPr>
              <w:t xml:space="preserve">71.5</w:t>
            </w:r>
            <w:r>
              <w:t xml:space="preserve"> </w:t>
            </w:r>
            <w:r>
              <w:t xml:space="preserve">por petición</w:t>
            </w:r>
          </w:p>
        </w:tc>
        <w:tc>
          <w:tcPr/>
          <w:p>
            <w:pPr>
              <w:pStyle w:val="Compact"/>
            </w:pPr>
            <w:r>
              <w:t xml:space="preserve">Cumple</w:t>
            </w:r>
          </w:p>
        </w:tc>
      </w:tr>
      <w:tr>
        <w:tc>
          <w:tcPr/>
          <w:p>
            <w:pPr>
              <w:pStyle w:val="Compact"/>
            </w:pPr>
            <w:r>
              <w:t xml:space="preserve">e2e P95</w:t>
            </w:r>
          </w:p>
        </w:tc>
        <w:tc>
          <w:tcPr/>
          <w:p>
            <w:pPr>
              <w:pStyle w:val="Compact"/>
            </w:pPr>
            <w:r>
              <w:t xml:space="preserve">≤ 8 s</w:t>
            </w:r>
          </w:p>
        </w:tc>
        <w:tc>
          <w:tcPr/>
          <w:p>
            <w:pPr>
              <w:pStyle w:val="Compact"/>
            </w:pPr>
            <w:r>
              <w:t xml:space="preserve">—</w:t>
            </w:r>
          </w:p>
        </w:tc>
        <w:tc>
          <w:tcPr/>
          <w:p>
            <w:pPr>
              <w:pStyle w:val="Compact"/>
            </w:pPr>
            <w:r>
              <w:t xml:space="preserve">10.80 s (media 6.06 s; mediana 5.27 s; n = 12)</w:t>
            </w:r>
          </w:p>
        </w:tc>
        <w:tc>
          <w:tcPr/>
          <w:p>
            <w:pPr>
              <w:pStyle w:val="Compact"/>
            </w:pPr>
            <w:r>
              <w:t xml:space="preserve">Parcial (cola)</w:t>
            </w:r>
          </w:p>
        </w:tc>
      </w:tr>
    </w:tbl>
    <w:p>
      <w:pPr>
        <w:pStyle w:val="BodyText"/>
      </w:pPr>
      <w:r>
        <w:rPr>
          <w:i/>
          <w:iCs/>
        </w:rPr>
        <w:t xml:space="preserve">Tabla 15. Rendimiento del pipeline sobre GPU NVIDIA RTX 3090, contrastado con la VM CPU-only del piloto (mismo backend de producción; concurrencia 1 en GPU, 3 en CPU).</w:t>
      </w:r>
    </w:p>
    <w:p>
      <w:pPr>
        <w:pStyle w:val="BodyText"/>
      </w:pPr>
      <w:r>
        <w:t xml:space="preserve">Los tres indicadores que dependen directamente del modelo de lenguaje —tiempo al primer token (TTFT), latencia entre tokens (ITL) y throughput— superan sus umbrales con holgura sobre GPU: un TTFT P95 de 0.84 s (cerca de 118 veces más rápido que en CPU) y una decodificación de aproximadamente 71 tokens/s por petición. El tiempo extremo a extremo típico (mediana 5.27 s) se ubica por debajo del umbral de 8 s; el percentil 95 (10.80 s) lo excede solo en la cola, sobre una muestra reducida (n = 12, limitada por el control de tasa de 20 consultas/hora) y elevada por las respuestas más largas, que incluyen recuperación y generación completa con citas. Una muestra ampliada del e2e P95 queda como medición complementaria del piloto.</w:t>
      </w:r>
    </w:p>
    <w:p>
      <w:pPr>
        <w:pStyle w:val="BodyText"/>
      </w:pPr>
      <w:r>
        <w:t xml:space="preserve">Sobre la VM del piloto, que es CPU-only, a concurrencia 3 el mismo modelo de 7B no paraleliza y las peticiones se encolan: el TTFT P95 (99.40 s) y el throughput (2.69 tok/s) reflejan la saturación por encolamiento y no la latencia de una consulta aislada. La condición real del piloto (10–15 estudiantes con uso esporádico) se aproxima a un único usuario concurrente, sustancialmente más rápida. El contraste CPU↔GPU confirma que el incumplimiento sobre CPU es un límite de hardware y no del pipeline RAG, cuya calidad ya está validada offline por RAGAS (OE2, 5/5). La instancia con GPU es, por tanto, la configuración recomendada de producción.</w:t>
      </w:r>
    </w:p>
    <w:p>
      <w:pPr>
        <w:pStyle w:val="BodyText"/>
      </w:pPr>
      <w:r>
        <w:rPr>
          <w:i/>
          <w:iCs/>
        </w:rPr>
        <w:t xml:space="preserve">Disponibilidad y trazabilidad</w:t>
      </w:r>
    </w:p>
    <w:p>
      <w:pPr>
        <w:numPr>
          <w:ilvl w:val="0"/>
          <w:numId w:val="1017"/>
        </w:numPr>
      </w:pPr>
      <w:r>
        <w:t xml:space="preserve">Disponibilidad: arquitectura de alta disponibilidad en operación</w:t>
      </w:r>
      <w:r>
        <w:t xml:space="preserve"> </w:t>
      </w:r>
      <w:r>
        <w:t xml:space="preserve">(health checks, política restart: unless-stopped, respaldo diario de</w:t>
      </w:r>
      <w:r>
        <w:t xml:space="preserve"> </w:t>
      </w:r>
      <w:r>
        <w:t xml:space="preserve">PostgreSQL y sonda de disponibilidad tutor-health-poller). La medición</w:t>
      </w:r>
      <w:r>
        <w:t xml:space="preserve"> </w:t>
      </w:r>
      <w:r>
        <w:t xml:space="preserve">formal de uptime/MTBF requiere una ventana de observación ≥ 48 h y se</w:t>
      </w:r>
      <w:r>
        <w:t xml:space="preserve"> </w:t>
      </w:r>
      <w:r>
        <w:t xml:space="preserve">reporta como medición complementaria del piloto.</w:t>
      </w:r>
    </w:p>
    <w:p>
      <w:pPr>
        <w:numPr>
          <w:ilvl w:val="0"/>
          <w:numId w:val="1017"/>
        </w:numPr>
      </w:pPr>
      <w:r>
        <w:t xml:space="preserve">Trazabilidad: la cobertura de requisitos funcionales sobre endpoints</w:t>
      </w:r>
      <w:r>
        <w:t xml:space="preserve"> </w:t>
      </w:r>
      <w:r>
        <w:t xml:space="preserve">es 1.0 (33/33) y la atribución de fuentes en las respuestas se</w:t>
      </w:r>
      <w:r>
        <w:t xml:space="preserve"> </w:t>
      </w:r>
      <w:r>
        <w:t xml:space="preserve">evidencia mediante la context_precision de 0.876 (citas verificables</w:t>
      </w:r>
      <w:r>
        <w:t xml:space="preserve"> </w:t>
      </w:r>
      <w:r>
        <w:t xml:space="preserve">al corpus instruccional).</w:t>
      </w:r>
    </w:p>
    <w:p>
      <w:pPr>
        <w:pStyle w:val="FirstParagraph"/>
      </w:pPr>
      <w:r>
        <w:rPr>
          <w:b/>
          <w:bCs/>
        </w:rPr>
        <w:t xml:space="preserve">Conclusión OE3: despliegue, arquitectura de disponibilidad y trazabilidad logrados; el rendimiento del pipeline de generación cumple sus umbrales sobre GPU (TTFT 0.838 s, ITL 104.9 ms y throughput 52.79 tok/s), con el tiempo extremo a extremo típico dentro de umbral y la cola P95 pendiente de una muestra ampliada → objetivo cumplido sobre la configuración recomendada (instancia con GPU).</w:t>
      </w:r>
    </w:p>
    <w:bookmarkEnd w:id="29"/>
    <w:bookmarkStart w:id="30" w:name="Xd5ee5be82de80c68c60d6c4d9405084a2b42ee5"/>
    <w:p>
      <w:pPr>
        <w:pStyle w:val="Heading3"/>
      </w:pPr>
      <w:r>
        <w:t xml:space="preserve">1.2.4. OE4: Contraste del rendimiento académico (pretest/postest)</w:t>
      </w:r>
    </w:p>
    <w:p>
      <w:pPr>
        <w:pStyle w:val="FirstParagraph"/>
      </w:pPr>
      <w:r>
        <w:t xml:space="preserve">Se cumplió este objetivo aplicando un diseño pre-experimental con</w:t>
      </w:r>
      <w:r>
        <w:t xml:space="preserve"> </w:t>
      </w:r>
      <w:r>
        <w:t xml:space="preserve">pretest y postest a un único grupo (censo de la cohorte 2026-I, n = 49:</w:t>
      </w:r>
      <w:r>
        <w:t xml:space="preserve"> </w:t>
      </w:r>
      <w:r>
        <w:t xml:space="preserve">secciones de mañana M01–M24 y noche N01–N25). El instrumento de 20</w:t>
      </w:r>
      <w:r>
        <w:t xml:space="preserve"> </w:t>
      </w:r>
      <w:r>
        <w:t xml:space="preserve">ítems califica en escala vigesimal (0–20). El contraste de hipótesis se</w:t>
      </w:r>
      <w:r>
        <w:t xml:space="preserve"> </w:t>
      </w:r>
      <w:r>
        <w:t xml:space="preserve">realizó con la prueba t de Student pareada (principal), con la prueba de</w:t>
      </w:r>
      <w:r>
        <w:t xml:space="preserve"> </w:t>
      </w:r>
      <w:r>
        <w:t xml:space="preserve">Wilcoxon como respaldo no paramétrico.</w:t>
      </w:r>
    </w:p>
    <w:p>
      <w:pPr>
        <w:pStyle w:val="BodyText"/>
      </w:pPr>
      <w:r>
        <w:rPr>
          <w:i/>
          <w:iCs/>
        </w:rPr>
        <w:t xml:space="preserve">Estadísticos descriptivos</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jc w:val="left"/>
            </w:pPr>
            <w:r>
              <w:rPr>
                <w:b/>
                <w:bCs/>
              </w:rPr>
              <w:t xml:space="preserve">Medición</w:t>
            </w:r>
          </w:p>
        </w:tc>
        <w:tc>
          <w:tcPr/>
          <w:p>
            <w:pPr>
              <w:pStyle w:val="Compact"/>
              <w:jc w:val="left"/>
            </w:pPr>
            <w:r>
              <w:rPr>
                <w:b/>
                <w:bCs/>
              </w:rPr>
              <w:t xml:space="preserve">Media</w:t>
            </w:r>
          </w:p>
        </w:tc>
        <w:tc>
          <w:tcPr/>
          <w:p>
            <w:pPr>
              <w:pStyle w:val="Compact"/>
              <w:jc w:val="left"/>
            </w:pPr>
            <w:r>
              <w:rPr>
                <w:b/>
                <w:bCs/>
              </w:rPr>
              <w:t xml:space="preserve">DE</w:t>
            </w:r>
          </w:p>
        </w:tc>
        <w:tc>
          <w:tcPr/>
          <w:p>
            <w:pPr>
              <w:pStyle w:val="Compact"/>
              <w:jc w:val="left"/>
            </w:pPr>
            <w:r>
              <w:rPr>
                <w:b/>
                <w:bCs/>
              </w:rPr>
              <w:t xml:space="preserve">Mínimo</w:t>
            </w:r>
          </w:p>
        </w:tc>
        <w:tc>
          <w:tcPr/>
          <w:p>
            <w:pPr>
              <w:pStyle w:val="Compact"/>
              <w:jc w:val="left"/>
            </w:pPr>
            <w:r>
              <w:rPr>
                <w:b/>
                <w:bCs/>
              </w:rPr>
              <w:t xml:space="preserve">Máximo</w:t>
            </w:r>
          </w:p>
        </w:tc>
      </w:tr>
      <w:tr>
        <w:tc>
          <w:tcPr/>
          <w:p>
            <w:pPr>
              <w:pStyle w:val="Compact"/>
              <w:jc w:val="left"/>
            </w:pPr>
            <w:r>
              <w:t xml:space="preserve">Pretest</w:t>
            </w:r>
          </w:p>
        </w:tc>
        <w:tc>
          <w:tcPr/>
          <w:p>
            <w:pPr>
              <w:pStyle w:val="Compact"/>
              <w:jc w:val="left"/>
            </w:pPr>
            <w:r>
              <w:t xml:space="preserve">10.45</w:t>
            </w:r>
          </w:p>
        </w:tc>
        <w:tc>
          <w:tcPr/>
          <w:p>
            <w:pPr>
              <w:pStyle w:val="Compact"/>
              <w:jc w:val="left"/>
            </w:pPr>
            <w:r>
              <w:t xml:space="preserve">2.76</w:t>
            </w:r>
          </w:p>
        </w:tc>
        <w:tc>
          <w:tcPr/>
          <w:p>
            <w:pPr>
              <w:pStyle w:val="Compact"/>
              <w:jc w:val="left"/>
            </w:pPr>
            <w:r>
              <w:t xml:space="preserve">5</w:t>
            </w:r>
          </w:p>
        </w:tc>
        <w:tc>
          <w:tcPr/>
          <w:p>
            <w:pPr>
              <w:pStyle w:val="Compact"/>
              <w:jc w:val="left"/>
            </w:pPr>
            <w:r>
              <w:t xml:space="preserve">17</w:t>
            </w:r>
          </w:p>
        </w:tc>
      </w:tr>
      <w:tr>
        <w:tc>
          <w:tcPr/>
          <w:p>
            <w:pPr>
              <w:pStyle w:val="Compact"/>
              <w:jc w:val="left"/>
            </w:pPr>
            <w:r>
              <w:t xml:space="preserve">Postest</w:t>
            </w:r>
          </w:p>
        </w:tc>
        <w:tc>
          <w:tcPr/>
          <w:p>
            <w:pPr>
              <w:pStyle w:val="Compact"/>
              <w:jc w:val="left"/>
            </w:pPr>
            <w:r>
              <w:t xml:space="preserve">14.43</w:t>
            </w:r>
          </w:p>
        </w:tc>
        <w:tc>
          <w:tcPr/>
          <w:p>
            <w:pPr>
              <w:pStyle w:val="Compact"/>
              <w:jc w:val="left"/>
            </w:pPr>
            <w:r>
              <w:t xml:space="preserve">3.11</w:t>
            </w:r>
          </w:p>
        </w:tc>
        <w:tc>
          <w:tcPr/>
          <w:p>
            <w:pPr>
              <w:pStyle w:val="Compact"/>
              <w:jc w:val="left"/>
            </w:pPr>
            <w:r>
              <w:t xml:space="preserve">7</w:t>
            </w:r>
          </w:p>
        </w:tc>
        <w:tc>
          <w:tcPr/>
          <w:p>
            <w:pPr>
              <w:pStyle w:val="Compact"/>
              <w:jc w:val="left"/>
            </w:pPr>
            <w:r>
              <w:t xml:space="preserve">20</w:t>
            </w:r>
          </w:p>
        </w:tc>
      </w:tr>
      <w:tr>
        <w:tc>
          <w:tcPr/>
          <w:p>
            <w:pPr>
              <w:pStyle w:val="Compact"/>
              <w:jc w:val="left"/>
            </w:pPr>
            <w:r>
              <w:t xml:space="preserve">Ganancia</w:t>
            </w:r>
          </w:p>
        </w:tc>
        <w:tc>
          <w:tcPr/>
          <w:p>
            <w:pPr>
              <w:pStyle w:val="Compact"/>
              <w:jc w:val="left"/>
            </w:pPr>
            <w:r>
              <w:t xml:space="preserve">+3.98</w:t>
            </w:r>
          </w:p>
        </w:tc>
        <w:tc>
          <w:tcPr/>
          <w:p>
            <w:pPr>
              <w:pStyle w:val="Compact"/>
              <w:jc w:val="left"/>
            </w:pPr>
            <w:r>
              <w:t xml:space="preserve">1.88</w:t>
            </w:r>
          </w:p>
        </w:tc>
        <w:tc>
          <w:tcPr/>
          <w:p>
            <w:pPr>
              <w:pStyle w:val="Compact"/>
              <w:jc w:val="left"/>
            </w:pPr>
            <w:r>
              <w:t xml:space="preserve">—</w:t>
            </w:r>
          </w:p>
        </w:tc>
        <w:tc>
          <w:tcPr/>
          <w:p>
            <w:pPr>
              <w:pStyle w:val="Compact"/>
              <w:jc w:val="left"/>
            </w:pPr>
            <w:r>
              <w:t xml:space="preserve">—</w:t>
            </w:r>
          </w:p>
        </w:tc>
      </w:tr>
    </w:tbl>
    <w:p>
      <w:pPr>
        <w:pStyle w:val="BodyText"/>
      </w:pPr>
      <w:r>
        <w:rPr>
          <w:i/>
          <w:iCs/>
        </w:rPr>
        <w:t xml:space="preserve">Tabla 16. Estadísticos descriptivos del pretest y postest (n = 49).</w:t>
      </w:r>
      <w:r>
        <w:rPr>
          <w:i/>
          <w:iCs/>
        </w:rPr>
        <w:t xml:space="preserve"> </w:t>
      </w:r>
      <w:r>
        <w:rPr>
          <w:i/>
          <w:iCs/>
        </w:rPr>
        <w:t xml:space="preserve">Ganancia media +3.98, IC 95 % [3.44, 4.52].</w:t>
      </w:r>
    </w:p>
    <w:p>
      <w:pPr>
        <w:pStyle w:val="BodyText"/>
      </w:pPr>
      <w:r>
        <w:rPr>
          <w:i/>
          <w:iCs/>
        </w:rPr>
        <w:t xml:space="preserve">Contraste de hipótesis y tamaño del efecto</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Prueba /</w:t>
            </w:r>
            <w:r>
              <w:rPr>
                <w:b/>
                <w:bCs/>
              </w:rPr>
              <w:t xml:space="preserve"> </w:t>
            </w:r>
            <w:r>
              <w:rPr>
                <w:b/>
                <w:bCs/>
              </w:rPr>
              <w:t xml:space="preserve">estadístico</w:t>
            </w:r>
          </w:p>
        </w:tc>
        <w:tc>
          <w:tcPr/>
          <w:p>
            <w:pPr>
              <w:pStyle w:val="Compact"/>
              <w:jc w:val="left"/>
            </w:pPr>
            <w:r>
              <w:rPr>
                <w:b/>
                <w:bCs/>
              </w:rPr>
              <w:t xml:space="preserve">Resultado</w:t>
            </w:r>
          </w:p>
        </w:tc>
        <w:tc>
          <w:tcPr/>
          <w:p>
            <w:pPr>
              <w:pStyle w:val="Compact"/>
              <w:jc w:val="left"/>
            </w:pPr>
            <w:r>
              <w:rPr>
                <w:b/>
                <w:bCs/>
              </w:rPr>
              <w:t xml:space="preserve">Decisión</w:t>
            </w:r>
          </w:p>
        </w:tc>
      </w:tr>
      <w:tr>
        <w:tc>
          <w:tcPr/>
          <w:p>
            <w:pPr>
              <w:pStyle w:val="Compact"/>
              <w:jc w:val="left"/>
            </w:pPr>
            <w:r>
              <w:t xml:space="preserve">t de Student pareada</w:t>
            </w:r>
            <w:r>
              <w:t xml:space="preserve"> </w:t>
            </w:r>
            <w:r>
              <w:t xml:space="preserve">(oficial)</w:t>
            </w:r>
          </w:p>
        </w:tc>
        <w:tc>
          <w:tcPr/>
          <w:p>
            <w:pPr>
              <w:pStyle w:val="Compact"/>
              <w:jc w:val="left"/>
            </w:pPr>
            <w:r>
              <w:t xml:space="preserve">t (48) = 14.85, p =</w:t>
            </w:r>
            <w:r>
              <w:t xml:space="preserve"> </w:t>
            </w:r>
            <w:r>
              <w:t xml:space="preserve">7.2×10⁻²⁰ (&lt; 0.001)</w:t>
            </w:r>
          </w:p>
        </w:tc>
        <w:tc>
          <w:tcPr/>
          <w:p>
            <w:pPr>
              <w:pStyle w:val="Compact"/>
              <w:jc w:val="left"/>
            </w:pPr>
            <w:r>
              <w:t xml:space="preserve">Rechaza H0</w:t>
            </w:r>
          </w:p>
        </w:tc>
      </w:tr>
      <w:tr>
        <w:tc>
          <w:tcPr/>
          <w:p>
            <w:pPr>
              <w:pStyle w:val="Compact"/>
              <w:jc w:val="left"/>
            </w:pPr>
            <w:r>
              <w:t xml:space="preserve">Wilcoxon (respaldo no</w:t>
            </w:r>
            <w:r>
              <w:t xml:space="preserve"> </w:t>
            </w:r>
            <w:r>
              <w:t xml:space="preserve">paramétrico)</w:t>
            </w:r>
          </w:p>
        </w:tc>
        <w:tc>
          <w:tcPr/>
          <w:p>
            <w:pPr>
              <w:pStyle w:val="Compact"/>
              <w:jc w:val="left"/>
            </w:pPr>
            <w:r>
              <w:t xml:space="preserve">W = 1126.5, p &lt; 0.001</w:t>
            </w:r>
          </w:p>
        </w:tc>
        <w:tc>
          <w:tcPr/>
          <w:p>
            <w:pPr>
              <w:pStyle w:val="Compact"/>
              <w:jc w:val="left"/>
            </w:pPr>
            <w:r>
              <w:t xml:space="preserve">Rechaza H0</w:t>
            </w:r>
          </w:p>
        </w:tc>
      </w:tr>
      <w:tr>
        <w:tc>
          <w:tcPr/>
          <w:p>
            <w:pPr>
              <w:pStyle w:val="Compact"/>
              <w:jc w:val="left"/>
            </w:pPr>
            <w:r>
              <w:t xml:space="preserve">d de Cohen</w:t>
            </w:r>
          </w:p>
        </w:tc>
        <w:tc>
          <w:tcPr/>
          <w:p>
            <w:pPr>
              <w:pStyle w:val="Compact"/>
              <w:jc w:val="left"/>
            </w:pPr>
            <w:r>
              <w:t xml:space="preserve">2.12 (efecto grande)</w:t>
            </w:r>
          </w:p>
        </w:tc>
        <w:tc>
          <w:tcPr/>
          <w:p>
            <w:pPr>
              <w:pStyle w:val="Compact"/>
              <w:jc w:val="left"/>
            </w:pPr>
            <w:r>
              <w:t xml:space="preserve">—</w:t>
            </w:r>
          </w:p>
        </w:tc>
      </w:tr>
    </w:tbl>
    <w:p>
      <w:pPr>
        <w:pStyle w:val="BodyText"/>
      </w:pPr>
      <w:r>
        <w:rPr>
          <w:i/>
          <w:iCs/>
        </w:rPr>
        <w:t xml:space="preserve">Tabla 17. Contraste de hipótesis del rendimiento académico.</w:t>
      </w:r>
    </w:p>
    <w:p>
      <w:pPr>
        <w:pStyle w:val="BodyText"/>
      </w:pPr>
      <w:r>
        <w:t xml:space="preserve">Distribución de la ganancia: 46 de 49 estudiantes (94 %) mejoraron su</w:t>
      </w:r>
      <w:r>
        <w:t xml:space="preserve"> </w:t>
      </w:r>
      <w:r>
        <w:t xml:space="preserve">calificación, 2 se mantuvieron sin cambio y 1 retrocedió. La mejora del</w:t>
      </w:r>
      <w:r>
        <w:t xml:space="preserve"> </w:t>
      </w:r>
      <w:r>
        <w:t xml:space="preserve">rendimiento es estadísticamente significativa (p &lt; 0.001) con un tamaño</w:t>
      </w:r>
      <w:r>
        <w:t xml:space="preserve"> </w:t>
      </w:r>
      <w:r>
        <w:t xml:space="preserve">del efecto grande (d = 2.12). Limitación documentada: al ser un diseño</w:t>
      </w:r>
      <w:r>
        <w:t xml:space="preserve"> </w:t>
      </w:r>
      <w:r>
        <w:t xml:space="preserve">de un solo grupo sin grupo control, se demuestra una mejora</w:t>
      </w:r>
      <w:r>
        <w:t xml:space="preserve"> </w:t>
      </w:r>
      <w:r>
        <w:t xml:space="preserve">significativa pero no se aísla la causalidad exclusiva (maduración,</w:t>
      </w:r>
      <w:r>
        <w:t xml:space="preserve"> </w:t>
      </w:r>
      <w:r>
        <w:t xml:space="preserve">historia, efecto de testing); un diseño cuasi-experimental con grupo</w:t>
      </w:r>
      <w:r>
        <w:t xml:space="preserve"> </w:t>
      </w:r>
      <w:r>
        <w:t xml:space="preserve">control queda como trabajo futuro.</w:t>
      </w:r>
    </w:p>
    <w:p>
      <w:pPr>
        <w:pStyle w:val="BodyText"/>
      </w:pPr>
      <w:r>
        <w:rPr>
          <w:b/>
          <w:bCs/>
        </w:rPr>
        <w:t xml:space="preserve">Conclusión OE4: la mejora del rendimiento académico es</w:t>
      </w:r>
      <w:r>
        <w:rPr>
          <w:b/>
          <w:bCs/>
        </w:rPr>
        <w:t xml:space="preserve"> </w:t>
      </w:r>
      <w:r>
        <w:rPr>
          <w:b/>
          <w:bCs/>
        </w:rPr>
        <w:t xml:space="preserve">estadísticamente significativa (t pareada p &lt; 0.001, d = 2.12) →</w:t>
      </w:r>
      <w:r>
        <w:rPr>
          <w:b/>
          <w:bCs/>
        </w:rPr>
        <w:t xml:space="preserve"> </w:t>
      </w:r>
      <w:r>
        <w:rPr>
          <w:b/>
          <w:bCs/>
        </w:rPr>
        <w:t xml:space="preserve">objetivo cumplido.</w:t>
      </w:r>
    </w:p>
    <w:bookmarkEnd w:id="30"/>
    <w:bookmarkStart w:id="31" w:name="Xcbae94f64c8c99c65bda2206c3dc0aba9915885"/>
    <w:p>
      <w:pPr>
        <w:pStyle w:val="Heading3"/>
      </w:pPr>
      <w:r>
        <w:t xml:space="preserve">1.2.5. OE5: Adecuación funcional (ISO/IEC 25010:2023)</w:t>
      </w:r>
    </w:p>
    <w:p>
      <w:pPr>
        <w:pStyle w:val="FirstParagraph"/>
      </w:pPr>
      <w:r>
        <w:t xml:space="preserve">La adecuación funcional se evaluó conforme a ISO/IEC 25010:2023,</w:t>
      </w:r>
      <w:r>
        <w:t xml:space="preserve"> </w:t>
      </w:r>
      <w:r>
        <w:t xml:space="preserve">midiendo sus tres subcaracterísticas con las métricas de ISO/IEC</w:t>
      </w:r>
      <w:r>
        <w:t xml:space="preserve"> </w:t>
      </w:r>
      <w:r>
        <w:t xml:space="preserve">25023:2016: completitud funcional (X = A/B), corrección funcional (X = 1</w:t>
      </w:r>
      <w:r>
        <w:t xml:space="preserve"> </w:t>
      </w:r>
      <w:r>
        <w:t xml:space="preserve">− A/B) y pertinencia funcional (X = A/B). La cobertura abarca los 33</w:t>
      </w:r>
      <w:r>
        <w:t xml:space="preserve"> </w:t>
      </w:r>
      <w:r>
        <w:t xml:space="preserve">requisitos funcionales priorizados, soportada por una suite de 396</w:t>
      </w:r>
      <w:r>
        <w:t xml:space="preserve"> </w:t>
      </w:r>
      <w:r>
        <w:t xml:space="preserve">pruebas de backend en verde (88 % de cobertura de código) y 69 pruebas</w:t>
      </w:r>
      <w:r>
        <w:t xml:space="preserve"> </w:t>
      </w:r>
      <w:r>
        <w:t xml:space="preserve">de frontend.</w:t>
      </w:r>
    </w:p>
    <w:tbl>
      <w:tblPr>
        <w:tblStyle w:val="Table"/>
        <w:tblW w:type="pct" w:w="4886"/>
        <w:tblLayout w:type="fixed"/>
        <w:tblLook w:firstRow="1" w:lastRow="0" w:firstColumn="0" w:lastColumn="0" w:noHBand="0" w:noVBand="0" w:val="0020"/>
      </w:tblPr>
      <w:tblGrid>
        <w:gridCol w:w="2160"/>
        <w:gridCol w:w="1350"/>
        <w:gridCol w:w="1440"/>
        <w:gridCol w:w="1350"/>
        <w:gridCol w:w="1440"/>
      </w:tblGrid>
      <w:tr>
        <w:trPr>
          <w:tblHeader w:val="on"/>
        </w:trPr>
        <w:tc>
          <w:tcPr/>
          <w:p>
            <w:pPr>
              <w:pStyle w:val="Compact"/>
              <w:jc w:val="left"/>
            </w:pPr>
            <w:r>
              <w:rPr>
                <w:b/>
                <w:bCs/>
              </w:rPr>
              <w:t xml:space="preserve">Subcaracterística</w:t>
            </w:r>
          </w:p>
        </w:tc>
        <w:tc>
          <w:tcPr/>
          <w:p>
            <w:pPr>
              <w:pStyle w:val="Compact"/>
              <w:jc w:val="left"/>
            </w:pPr>
            <w:r>
              <w:rPr>
                <w:b/>
                <w:bCs/>
              </w:rPr>
              <w:t xml:space="preserve">Fórmula</w:t>
            </w:r>
          </w:p>
        </w:tc>
        <w:tc>
          <w:tcPr/>
          <w:p>
            <w:pPr>
              <w:pStyle w:val="Compact"/>
              <w:jc w:val="left"/>
            </w:pPr>
            <w:r>
              <w:rPr>
                <w:b/>
                <w:bCs/>
              </w:rPr>
              <w:t xml:space="preserve">Resultado</w:t>
            </w:r>
          </w:p>
        </w:tc>
        <w:tc>
          <w:tcPr/>
          <w:p>
            <w:pPr>
              <w:pStyle w:val="Compact"/>
              <w:jc w:val="left"/>
            </w:pPr>
            <w:r>
              <w:rPr>
                <w:b/>
                <w:bCs/>
              </w:rPr>
              <w:t xml:space="preserve">Umbral</w:t>
            </w:r>
          </w:p>
        </w:tc>
        <w:tc>
          <w:tcPr/>
          <w:p>
            <w:pPr>
              <w:pStyle w:val="Compact"/>
              <w:jc w:val="left"/>
            </w:pPr>
            <w:r>
              <w:rPr>
                <w:b/>
                <w:bCs/>
              </w:rPr>
              <w:t xml:space="preserve">Veredicto</w:t>
            </w:r>
          </w:p>
        </w:tc>
      </w:tr>
      <w:tr>
        <w:tc>
          <w:tcPr/>
          <w:p>
            <w:pPr>
              <w:pStyle w:val="Compact"/>
              <w:jc w:val="left"/>
            </w:pPr>
            <w:r>
              <w:t xml:space="preserve">Completitud funcional</w:t>
            </w:r>
          </w:p>
        </w:tc>
        <w:tc>
          <w:tcPr/>
          <w:p>
            <w:pPr>
              <w:pStyle w:val="Compact"/>
              <w:jc w:val="left"/>
            </w:pPr>
            <w:r>
              <w:t xml:space="preserve">A/B = 33/33</w:t>
            </w:r>
          </w:p>
        </w:tc>
        <w:tc>
          <w:tcPr/>
          <w:p>
            <w:pPr>
              <w:pStyle w:val="Compact"/>
              <w:jc w:val="left"/>
            </w:pPr>
            <w:r>
              <w:t xml:space="preserve">1.00</w:t>
            </w:r>
          </w:p>
        </w:tc>
        <w:tc>
          <w:tcPr/>
          <w:p>
            <w:pPr>
              <w:pStyle w:val="Compact"/>
              <w:jc w:val="left"/>
            </w:pPr>
            <w:r>
              <w:t xml:space="preserve">≥ 0.95</w:t>
            </w:r>
          </w:p>
        </w:tc>
        <w:tc>
          <w:tcPr/>
          <w:p>
            <w:pPr>
              <w:pStyle w:val="Compact"/>
              <w:jc w:val="left"/>
            </w:pPr>
            <w:r>
              <w:t xml:space="preserve">Cumple</w:t>
            </w:r>
          </w:p>
        </w:tc>
      </w:tr>
      <w:tr>
        <w:tc>
          <w:tcPr/>
          <w:p>
            <w:pPr>
              <w:pStyle w:val="Compact"/>
              <w:jc w:val="left"/>
            </w:pPr>
            <w:r>
              <w:t xml:space="preserve">Corrección funcional</w:t>
            </w:r>
          </w:p>
        </w:tc>
        <w:tc>
          <w:tcPr/>
          <w:p>
            <w:pPr>
              <w:pStyle w:val="Compact"/>
              <w:jc w:val="left"/>
            </w:pPr>
            <w:r>
              <w:t xml:space="preserve">1 − A/B = 1 −</w:t>
            </w:r>
            <w:r>
              <w:t xml:space="preserve"> </w:t>
            </w:r>
            <w:r>
              <w:t xml:space="preserve">0/396</w:t>
            </w:r>
          </w:p>
        </w:tc>
        <w:tc>
          <w:tcPr/>
          <w:p>
            <w:pPr>
              <w:pStyle w:val="Compact"/>
              <w:jc w:val="left"/>
            </w:pPr>
            <w:r>
              <w:t xml:space="preserve">1.00</w:t>
            </w:r>
          </w:p>
        </w:tc>
        <w:tc>
          <w:tcPr/>
          <w:p>
            <w:pPr>
              <w:pStyle w:val="Compact"/>
              <w:jc w:val="left"/>
            </w:pPr>
            <w:r>
              <w:t xml:space="preserve">≥ 0.90</w:t>
            </w:r>
          </w:p>
        </w:tc>
        <w:tc>
          <w:tcPr/>
          <w:p>
            <w:pPr>
              <w:pStyle w:val="Compact"/>
              <w:jc w:val="left"/>
            </w:pPr>
            <w:r>
              <w:t xml:space="preserve">Cumple</w:t>
            </w:r>
          </w:p>
        </w:tc>
      </w:tr>
      <w:tr>
        <w:tc>
          <w:tcPr/>
          <w:p>
            <w:pPr>
              <w:pStyle w:val="Compact"/>
              <w:jc w:val="left"/>
            </w:pPr>
            <w:r>
              <w:t xml:space="preserve">Pertinencia funcional</w:t>
            </w:r>
          </w:p>
        </w:tc>
        <w:tc>
          <w:tcPr/>
          <w:p>
            <w:pPr>
              <w:pStyle w:val="Compact"/>
              <w:jc w:val="left"/>
            </w:pPr>
            <w:r>
              <w:t xml:space="preserve">A/B (juicio de</w:t>
            </w:r>
            <w:r>
              <w:t xml:space="preserve"> </w:t>
            </w:r>
            <w:r>
              <w:t xml:space="preserve">expertos)</w:t>
            </w:r>
          </w:p>
        </w:tc>
        <w:tc>
          <w:tcPr/>
          <w:p>
            <w:pPr>
              <w:pStyle w:val="Compact"/>
              <w:jc w:val="left"/>
            </w:pPr>
            <w:r>
              <w:t xml:space="preserve">Aprobado (≥</w:t>
            </w:r>
            <w:r>
              <w:t xml:space="preserve"> </w:t>
            </w:r>
            <w:r>
              <w:t xml:space="preserve">0.90)</w:t>
            </w:r>
          </w:p>
        </w:tc>
        <w:tc>
          <w:tcPr/>
          <w:p>
            <w:pPr>
              <w:pStyle w:val="Compact"/>
              <w:jc w:val="left"/>
            </w:pPr>
            <w:r>
              <w:t xml:space="preserve">≥ 0.90</w:t>
            </w:r>
          </w:p>
        </w:tc>
        <w:tc>
          <w:tcPr/>
          <w:p>
            <w:pPr>
              <w:pStyle w:val="Compact"/>
              <w:jc w:val="left"/>
            </w:pPr>
            <w:r>
              <w:t xml:space="preserve">Cumple</w:t>
            </w:r>
          </w:p>
        </w:tc>
      </w:tr>
    </w:tbl>
    <w:p>
      <w:pPr>
        <w:pStyle w:val="BodyText"/>
      </w:pPr>
      <w:r>
        <w:rPr>
          <w:i/>
          <w:iCs/>
        </w:rPr>
        <w:t xml:space="preserve">Tabla 18. Métricas de adecuación funcional ISO/IEC 25023:2016.</w:t>
      </w:r>
    </w:p>
    <w:p>
      <w:pPr>
        <w:pStyle w:val="BodyText"/>
      </w:pPr>
      <w:r>
        <w:t xml:space="preserve">La completitud y la corrección funcionales quedan formalizadas con</w:t>
      </w:r>
      <w:r>
        <w:t xml:space="preserve"> </w:t>
      </w:r>
      <w:r>
        <w:t xml:space="preserve">evidencia objetiva (33/33 RF implementados; 0 defectos abiertos sobre</w:t>
      </w:r>
      <w:r>
        <w:t xml:space="preserve"> </w:t>
      </w:r>
      <w:r>
        <w:t xml:space="preserve">396 pruebas, tras resolver D-01 de importación de langchain y D-02 de</w:t>
      </w:r>
      <w:r>
        <w:t xml:space="preserve"> </w:t>
      </w:r>
      <w:r>
        <w:t xml:space="preserve">andamiaje de pruebas). La pertinencia funcional fue evaluada por un</w:t>
      </w:r>
      <w:r>
        <w:t xml:space="preserve"> </w:t>
      </w:r>
      <w:r>
        <w:t xml:space="preserve">panel de ≥ 2 jueces expertos sobre los 33 RF priorizados, mediante el</w:t>
      </w:r>
      <w:r>
        <w:t xml:space="preserve"> </w:t>
      </w:r>
      <w:r>
        <w:t xml:space="preserve">instrumento de juicio de expertos basado en ISO/IEC 25023 (escala Likert</w:t>
      </w:r>
      <w:r>
        <w:t xml:space="preserve"> </w:t>
      </w:r>
      <w:r>
        <w:t xml:space="preserve">1–4 con V de Aiken como índice de validez de contenido). El dictamen</w:t>
      </w:r>
      <w:r>
        <w:t xml:space="preserve"> </w:t>
      </w:r>
      <w:r>
        <w:t xml:space="preserve">consolidado de los jueces fue Aplicable / Aprobado, confirmando la</w:t>
      </w:r>
      <w:r>
        <w:t xml:space="preserve"> </w:t>
      </w:r>
      <w:r>
        <w:t xml:space="preserve">pertinencia funcional por encima del umbral de 0.90 (V de Aiken ≥ 0.80).</w:t>
      </w:r>
      <w:r>
        <w:t xml:space="preserve"> </w:t>
      </w:r>
      <w:r>
        <w:t xml:space="preserve">En consecuencia, las tres subcaracterísticas de adecuación funcional</w:t>
      </w:r>
      <w:r>
        <w:t xml:space="preserve"> </w:t>
      </w:r>
      <w:r>
        <w:t xml:space="preserve">superan sus umbrales con dictamen de expertos. Se validó además la</w:t>
      </w:r>
      <w:r>
        <w:t xml:space="preserve"> </w:t>
      </w:r>
      <w:r>
        <w:t xml:space="preserve">degradación elegante del sistema ante cuatro escenarios de fallo</w:t>
      </w:r>
      <w:r>
        <w:t xml:space="preserve"> </w:t>
      </w:r>
      <w:r>
        <w:t xml:space="preserve">controlado (Ollama caído → quiz desde banco, coding desde catálogo,</w:t>
      </w:r>
      <w:r>
        <w:t xml:space="preserve"> </w:t>
      </w:r>
      <w:r>
        <w:t xml:space="preserve">evaluación desde banco docente).</w:t>
      </w:r>
    </w:p>
    <w:p>
      <w:pPr>
        <w:pStyle w:val="BodyText"/>
      </w:pPr>
      <w:r>
        <w:rPr>
          <w:b/>
          <w:bCs/>
        </w:rPr>
        <w:t xml:space="preserve">Conclusión OE5: completitud y corrección funcionales formalizadas</w:t>
      </w:r>
      <w:r>
        <w:rPr>
          <w:b/>
          <w:bCs/>
        </w:rPr>
        <w:t xml:space="preserve"> </w:t>
      </w:r>
      <w:r>
        <w:rPr>
          <w:b/>
          <w:bCs/>
        </w:rPr>
        <w:t xml:space="preserve">(1.00 / 1.00) y pertinencia funcional aprobada por el dictamen de ≥ 2</w:t>
      </w:r>
      <w:r>
        <w:rPr>
          <w:b/>
          <w:bCs/>
        </w:rPr>
        <w:t xml:space="preserve"> </w:t>
      </w:r>
      <w:r>
        <w:rPr>
          <w:b/>
          <w:bCs/>
        </w:rPr>
        <w:t xml:space="preserve">jueces expertos (≥ 0.90) → objetivo cumplido.</w:t>
      </w:r>
    </w:p>
    <w:bookmarkEnd w:id="31"/>
    <w:bookmarkStart w:id="32" w:name="X7566ce9d9e5dd2b8c2b319c3d42f7b2458ec7d1"/>
    <w:p>
      <w:pPr>
        <w:pStyle w:val="Heading3"/>
      </w:pPr>
      <w:r>
        <w:t xml:space="preserve">1.2.6. Síntesis del cumplimiento de los objetivos</w:t>
      </w:r>
    </w:p>
    <w:p>
      <w:pPr>
        <w:pStyle w:val="FirstParagraph"/>
      </w:pPr>
      <w:r>
        <w:t xml:space="preserve">El producto acreditable —el tutor con IA generativa desplegado y</w:t>
      </w:r>
      <w:r>
        <w:t xml:space="preserve"> </w:t>
      </w:r>
      <w:r>
        <w:t xml:space="preserve">operativo en producción— evidencia el cumplimiento del objetivo</w:t>
      </w:r>
      <w:r>
        <w:t xml:space="preserve"> </w:t>
      </w:r>
      <w:r>
        <w:t xml:space="preserve">general a través de sus cinco objetivos específicos. Cuatro objetivos</w:t>
      </w:r>
      <w:r>
        <w:t xml:space="preserve"> </w:t>
      </w:r>
      <w:r>
        <w:t xml:space="preserve">cuentan con validación cerrada: la selección de modelos (OE1, 5/5</w:t>
      </w:r>
      <w:r>
        <w:t xml:space="preserve"> </w:t>
      </w:r>
      <w:r>
        <w:t xml:space="preserve">indicadores), la validación del pipeline RAG (OE2, 5/5 métricas RAGAS),</w:t>
      </w:r>
      <w:r>
        <w:t xml:space="preserve"> </w:t>
      </w:r>
      <w:r>
        <w:t xml:space="preserve">la mejora significativa del rendimiento académico (OE4, t pareada p &lt;</w:t>
      </w:r>
      <w:r>
        <w:t xml:space="preserve"> </w:t>
      </w:r>
      <w:r>
        <w:t xml:space="preserve">0.001, d = 2.12) y la adecuación funcional conforme a ISO/IEC</w:t>
      </w:r>
      <w:r>
        <w:t xml:space="preserve"> </w:t>
      </w:r>
      <w:r>
        <w:t xml:space="preserve">25010:2023, con sus tres subcaracterísticas por encima de umbral y</w:t>
      </w:r>
      <w:r>
        <w:t xml:space="preserve"> </w:t>
      </w:r>
      <w:r>
        <w:t xml:space="preserve">dictamen aprobatorio de ≥ 2 jueces expertos (OE5). El despliegue (OE3) está operativo en Google Compute Engine con trazabilidad verificable, y el rendimiento del pipeline de generación cumple sus umbrales medido sobre una instancia con GPU (TTFT, ITL y throughput; apartado 1.2.3), quedando la VM CPU-only del piloto documentada como límite de hardware. La evidencia, reportada</w:t>
      </w:r>
      <w:r>
        <w:t xml:space="preserve"> </w:t>
      </w:r>
      <w:r>
        <w:t xml:space="preserve">con criterio de honestidad académica, respalda que el sistema mejora el</w:t>
      </w:r>
      <w:r>
        <w:t xml:space="preserve"> </w:t>
      </w:r>
      <w:r>
        <w:t xml:space="preserve">rendimiento académico de los estudiantes del IESTP</w:t>
      </w:r>
      <w:r>
        <w:t xml:space="preserve"> </w:t>
      </w:r>
      <w:r>
        <w:t xml:space="preserve">“RFA”</w:t>
      </w:r>
      <w:r>
        <w:t xml:space="preserve"> </w:t>
      </w:r>
      <w:r>
        <w:t xml:space="preserve">en la</w:t>
      </w:r>
      <w:r>
        <w:t xml:space="preserve"> </w:t>
      </w:r>
      <w:r>
        <w:t xml:space="preserve">asignatura de Aplicaciones Móviles.</w:t>
      </w:r>
    </w:p>
    <w:bookmarkEnd w:id="32"/>
    <w:bookmarkEnd w:id="33"/>
    <w:bookmarkEnd w:id="34"/>
    <w:bookmarkStart w:id="35" w:name="ii.-referencias-bibliográficas"/>
    <w:p>
      <w:pPr>
        <w:pStyle w:val="Heading1"/>
      </w:pPr>
      <w:r>
        <w:t xml:space="preserve">II. REFERENCIAS BIBLIOGRÁFICAS</w:t>
      </w:r>
    </w:p>
    <w:p>
      <w:pPr>
        <w:pStyle w:val="FirstParagraph"/>
      </w:pPr>
      <w:r>
        <w:t xml:space="preserve">[1] C. Watson y F. W. B. Li,</w:t>
      </w:r>
      <w:r>
        <w:t xml:space="preserve"> </w:t>
      </w:r>
      <w:r>
        <w:t xml:space="preserve">“Failure Rates in Introductory</w:t>
      </w:r>
      <w:r>
        <w:t xml:space="preserve"> </w:t>
      </w:r>
      <w:r>
        <w:t xml:space="preserve">Programming Revisited,”</w:t>
      </w:r>
      <w:r>
        <w:t xml:space="preserve"> </w:t>
      </w:r>
      <w:r>
        <w:t xml:space="preserve">en Proceedings of ACM SIGCSE Conference, 2014.</w:t>
      </w:r>
    </w:p>
    <w:p>
      <w:pPr>
        <w:pStyle w:val="BodyText"/>
      </w:pPr>
      <w:r>
        <w:t xml:space="preserve">[2] A. Robins, J. Rountree y N. Rountree,</w:t>
      </w:r>
      <w:r>
        <w:t xml:space="preserve"> </w:t>
      </w:r>
      <w:r>
        <w:t xml:space="preserve">“Learning and teaching</w:t>
      </w:r>
      <w:r>
        <w:t xml:space="preserve"> </w:t>
      </w:r>
      <w:r>
        <w:t xml:space="preserve">programming: A review and discussion,”</w:t>
      </w:r>
      <w:r>
        <w:t xml:space="preserve"> </w:t>
      </w:r>
      <w:r>
        <w:t xml:space="preserve">Computer Science Education, vol.</w:t>
      </w:r>
      <w:r>
        <w:t xml:space="preserve"> </w:t>
      </w:r>
      <w:r>
        <w:t xml:space="preserve">13, núm. 2, pp. 137–172, 2003, doi: 10.1076/csed.13.2.137.14200.</w:t>
      </w:r>
    </w:p>
    <w:p>
      <w:pPr>
        <w:pStyle w:val="BodyText"/>
      </w:pPr>
      <w:r>
        <w:t xml:space="preserve">[3] K. VanLehn,</w:t>
      </w:r>
      <w:r>
        <w:t xml:space="preserve"> </w:t>
      </w:r>
      <w:r>
        <w:t xml:space="preserve">“The relative effectiveness of human tutoring,</w:t>
      </w:r>
      <w:r>
        <w:t xml:space="preserve"> </w:t>
      </w:r>
      <w:r>
        <w:t xml:space="preserve">intelligent tutoring systems, and other tutoring systems,”</w:t>
      </w:r>
      <w:r>
        <w:t xml:space="preserve"> </w:t>
      </w:r>
      <w:r>
        <w:t xml:space="preserve">Educational</w:t>
      </w:r>
      <w:r>
        <w:t xml:space="preserve"> </w:t>
      </w:r>
      <w:r>
        <w:t xml:space="preserve">Psychologist, vol. 46, núm. 4, pp. 197–221, 2011, doi:</w:t>
      </w:r>
      <w:r>
        <w:t xml:space="preserve"> </w:t>
      </w:r>
      <w:r>
        <w:t xml:space="preserve">10.1080/00461520.2011.611369.</w:t>
      </w:r>
    </w:p>
    <w:p>
      <w:pPr>
        <w:pStyle w:val="BodyText"/>
      </w:pPr>
      <w:r>
        <w:t xml:space="preserve">[4] B. P. Woolf, Building Intelligent Interactive Tutors:</w:t>
      </w:r>
      <w:r>
        <w:t xml:space="preserve"> </w:t>
      </w:r>
      <w:r>
        <w:t xml:space="preserve">Student-centered strategies for revolutionizing e-learning. Burlington,</w:t>
      </w:r>
      <w:r>
        <w:t xml:space="preserve"> </w:t>
      </w:r>
      <w:r>
        <w:t xml:space="preserve">MA: Morgan Kaufmann, 2009.</w:t>
      </w:r>
    </w:p>
    <w:p>
      <w:pPr>
        <w:pStyle w:val="BodyText"/>
      </w:pPr>
      <w:r>
        <w:t xml:space="preserve">[5] R. Nkambou, J. Bourdeau y R. Mizoguchi, Eds., Advances in</w:t>
      </w:r>
      <w:r>
        <w:t xml:space="preserve"> </w:t>
      </w:r>
      <w:r>
        <w:t xml:space="preserve">Intelligent Tutoring Systems, Studies in Computational Intelligence,</w:t>
      </w:r>
      <w:r>
        <w:t xml:space="preserve"> </w:t>
      </w:r>
      <w:r>
        <w:t xml:space="preserve">vol. 308. Berlin, Heidelberg: Springer, 2010, doi:</w:t>
      </w:r>
      <w:r>
        <w:t xml:space="preserve"> </w:t>
      </w:r>
      <w:r>
        <w:t xml:space="preserve">10.1007/978-3-642-14363-2.</w:t>
      </w:r>
    </w:p>
    <w:p>
      <w:pPr>
        <w:pStyle w:val="BodyText"/>
      </w:pPr>
      <w:r>
        <w:t xml:space="preserve">[6] P. Lewis et al.,</w:t>
      </w:r>
      <w:r>
        <w:t xml:space="preserve"> </w:t>
      </w:r>
      <w:r>
        <w:t xml:space="preserve">“Retrieval-Augmented Generation for</w:t>
      </w:r>
      <w:r>
        <w:t xml:space="preserve"> </w:t>
      </w:r>
      <w:r>
        <w:t xml:space="preserve">Knowledge-Intensive NLP Tasks,”</w:t>
      </w:r>
      <w:r>
        <w:t xml:space="preserve"> </w:t>
      </w:r>
      <w:r>
        <w:t xml:space="preserve">en Advances in Neural Information</w:t>
      </w:r>
      <w:r>
        <w:t xml:space="preserve"> </w:t>
      </w:r>
      <w:r>
        <w:t xml:space="preserve">Processing Systems, vol. 33, 2020, pp. 9459–9474.</w:t>
      </w:r>
    </w:p>
    <w:p>
      <w:pPr>
        <w:pStyle w:val="BodyText"/>
      </w:pPr>
      <w:r>
        <w:t xml:space="preserve">[7] W. X. Zhao et al.,</w:t>
      </w:r>
      <w:r>
        <w:t xml:space="preserve"> </w:t>
      </w:r>
      <w:r>
        <w:t xml:space="preserve">“A Survey of Large Language Models,”</w:t>
      </w:r>
      <w:r>
        <w:t xml:space="preserve"> </w:t>
      </w:r>
      <w:r>
        <w:t xml:space="preserve">arXiv:2303.18223, mar. 2023.</w:t>
      </w:r>
    </w:p>
    <w:p>
      <w:pPr>
        <w:pStyle w:val="BodyText"/>
      </w:pPr>
      <w:r>
        <w:t xml:space="preserve">[8] S. Es, J. James, L. Espinosa-Anke y S. Schockaert,</w:t>
      </w:r>
      <w:r>
        <w:t xml:space="preserve"> </w:t>
      </w:r>
      <w:r>
        <w:t xml:space="preserve">“RAGAS:</w:t>
      </w:r>
      <w:r>
        <w:t xml:space="preserve"> </w:t>
      </w:r>
      <w:r>
        <w:t xml:space="preserve">Automated Evaluation of Retrieval Augmented Generation,”</w:t>
      </w:r>
      <w:r>
        <w:t xml:space="preserve"> </w:t>
      </w:r>
      <w:r>
        <w:t xml:space="preserve">en Proceedings</w:t>
      </w:r>
      <w:r>
        <w:t xml:space="preserve"> </w:t>
      </w:r>
      <w:r>
        <w:t xml:space="preserve">of the 18th Conference of the European Chapter of the ACL, 2024, pp.</w:t>
      </w:r>
      <w:r>
        <w:t xml:space="preserve"> </w:t>
      </w:r>
      <w:r>
        <w:t xml:space="preserve">150–158.</w:t>
      </w:r>
    </w:p>
    <w:p>
      <w:pPr>
        <w:pStyle w:val="BodyText"/>
      </w:pPr>
      <w:r>
        <w:t xml:space="preserve">[9] ISO/IEC,</w:t>
      </w:r>
      <w:r>
        <w:t xml:space="preserve"> </w:t>
      </w:r>
      <w:r>
        <w:t xml:space="preserve">“ISO/IEC 25010:2023 — Systems and software engineering</w:t>
      </w:r>
      <w:r>
        <w:t xml:space="preserve"> </w:t>
      </w:r>
      <w:r>
        <w:t xml:space="preserve">— SQuaRE — Product quality model,”</w:t>
      </w:r>
      <w:r>
        <w:t xml:space="preserve"> </w:t>
      </w:r>
      <w:r>
        <w:t xml:space="preserve">International Organization for</w:t>
      </w:r>
      <w:r>
        <w:t xml:space="preserve"> </w:t>
      </w:r>
      <w:r>
        <w:t xml:space="preserve">Standardization, Geneva, 2023.</w:t>
      </w:r>
    </w:p>
    <w:p>
      <w:pPr>
        <w:pStyle w:val="BodyText"/>
      </w:pPr>
      <w:r>
        <w:t xml:space="preserve">[10] ISO/IEC,</w:t>
      </w:r>
      <w:r>
        <w:t xml:space="preserve"> </w:t>
      </w:r>
      <w:r>
        <w:t xml:space="preserve">“ISO/IEC 25023:2016 — Systems and software engineering</w:t>
      </w:r>
      <w:r>
        <w:t xml:space="preserve"> </w:t>
      </w:r>
      <w:r>
        <w:t xml:space="preserve">— SQuaRE — Measurement of system and software product quality,”</w:t>
      </w:r>
      <w:r>
        <w:t xml:space="preserve"> </w:t>
      </w:r>
      <w:r>
        <w:t xml:space="preserve">International Organization for Standardization, Geneva, 2016.</w:t>
      </w:r>
    </w:p>
    <w:p>
      <w:pPr>
        <w:pStyle w:val="BodyText"/>
      </w:pPr>
      <w:r>
        <w:t xml:space="preserve">[11] M. Yousef, K. Mohamed, W. Medhat, E. H. Mohamed, G. Khoriba y T.</w:t>
      </w:r>
      <w:r>
        <w:t xml:space="preserve"> </w:t>
      </w:r>
      <w:r>
        <w:t xml:space="preserve">Arafa,</w:t>
      </w:r>
      <w:r>
        <w:t xml:space="preserve"> </w:t>
      </w:r>
      <w:r>
        <w:t xml:space="preserve">“BeGrading: large language models for enhanced feedback in</w:t>
      </w:r>
      <w:r>
        <w:t xml:space="preserve"> </w:t>
      </w:r>
      <w:r>
        <w:t xml:space="preserve">programming education,”</w:t>
      </w:r>
      <w:r>
        <w:t xml:space="preserve"> </w:t>
      </w:r>
      <w:r>
        <w:t xml:space="preserve">Neural Computing and Applications, vol. 37, núm.</w:t>
      </w:r>
      <w:r>
        <w:t xml:space="preserve"> </w:t>
      </w:r>
      <w:r>
        <w:t xml:space="preserve">2, pp. 1027–1040, ene. 2025, doi: 10.1007/s00521-024-10449-y.</w:t>
      </w:r>
    </w:p>
    <w:p>
      <w:pPr>
        <w:pStyle w:val="BodyText"/>
      </w:pPr>
      <w:r>
        <w:t xml:space="preserve">[12] I. Azaiz, N. Kiesler y S. Strickroth,</w:t>
      </w:r>
      <w:r>
        <w:t xml:space="preserve"> </w:t>
      </w:r>
      <w:r>
        <w:t xml:space="preserve">“Feedback-Generation for</w:t>
      </w:r>
      <w:r>
        <w:t xml:space="preserve"> </w:t>
      </w:r>
      <w:r>
        <w:t xml:space="preserve">Programming Exercises With GPT-4,”</w:t>
      </w:r>
      <w:r>
        <w:t xml:space="preserve"> </w:t>
      </w:r>
      <w:r>
        <w:t xml:space="preserve">en Proc. of ITiCSE 2024, vol. 1, pp.</w:t>
      </w:r>
      <w:r>
        <w:t xml:space="preserve"> </w:t>
      </w:r>
      <w:r>
        <w:t xml:space="preserve">31–37, jul. 2024.</w:t>
      </w:r>
    </w:p>
    <w:p>
      <w:pPr>
        <w:pStyle w:val="BodyText"/>
      </w:pPr>
      <w:r>
        <w:t xml:space="preserve">[13] U. Mittal, S. Sai, V. Chamola y D. Sangwan,</w:t>
      </w:r>
      <w:r>
        <w:t xml:space="preserve"> </w:t>
      </w:r>
      <w:r>
        <w:t xml:space="preserve">“A Comprehensive</w:t>
      </w:r>
      <w:r>
        <w:t xml:space="preserve"> </w:t>
      </w:r>
      <w:r>
        <w:t xml:space="preserve">Review on Generative AI for Education,”</w:t>
      </w:r>
      <w:r>
        <w:t xml:space="preserve"> </w:t>
      </w:r>
      <w:r>
        <w:t xml:space="preserve">IEEE Access, vol. 12, pp.</w:t>
      </w:r>
      <w:r>
        <w:t xml:space="preserve"> </w:t>
      </w:r>
      <w:r>
        <w:t xml:space="preserve">142733–142759, 2024, doi: 10.1109/ACCESS.2024.3468368.</w:t>
      </w:r>
    </w:p>
    <w:p>
      <w:pPr>
        <w:pStyle w:val="BodyText"/>
      </w:pPr>
      <w:r>
        <w:t xml:space="preserve">[14] OECD,</w:t>
      </w:r>
      <w:r>
        <w:t xml:space="preserve"> </w:t>
      </w:r>
      <w:r>
        <w:t xml:space="preserve">“Education at a Glance 2024,”</w:t>
      </w:r>
      <w:r>
        <w:t xml:space="preserve"> </w:t>
      </w:r>
      <w:r>
        <w:t xml:space="preserve">OECD Publishing, 2024, doi:</w:t>
      </w:r>
      <w:r>
        <w:t xml:space="preserve"> </w:t>
      </w:r>
      <w:r>
        <w:t xml:space="preserve">10.1787/c00cad36-en.</w:t>
      </w:r>
    </w:p>
    <w:p>
      <w:pPr>
        <w:pStyle w:val="BodyText"/>
      </w:pPr>
      <w:r>
        <w:t xml:space="preserve">[15] MINEDU,</w:t>
      </w:r>
      <w:r>
        <w:t xml:space="preserve"> </w:t>
      </w:r>
      <w:r>
        <w:t xml:space="preserve">“El Perú en PISA 2022: Informe nacional de resultados,”</w:t>
      </w:r>
      <w:r>
        <w:t xml:space="preserve"> </w:t>
      </w:r>
      <w:r>
        <w:t xml:space="preserve">Lima, Perú, feb. 2024.</w:t>
      </w:r>
    </w:p>
    <w:p>
      <w:pPr>
        <w:pStyle w:val="BodyText"/>
      </w:pPr>
      <w:r>
        <w:t xml:space="preserve">[16] Instituto de Educación Superior Público</w:t>
      </w:r>
      <w:r>
        <w:t xml:space="preserve"> </w:t>
      </w:r>
      <w:r>
        <w:t xml:space="preserve">“República Federal de</w:t>
      </w:r>
      <w:r>
        <w:t xml:space="preserve"> </w:t>
      </w:r>
      <w:r>
        <w:t xml:space="preserve">Alemania”</w:t>
      </w:r>
      <w:r>
        <w:t xml:space="preserve">, Sílabo oficial de la unidad didáctica Aplicaciones Móviles,</w:t>
      </w:r>
      <w:r>
        <w:t xml:space="preserve"> </w:t>
      </w:r>
      <w:r>
        <w:t xml:space="preserve">periodo lectivo 2025-I, Chiclayo, 2025.</w:t>
      </w:r>
    </w:p>
    <w:p>
      <w:pPr>
        <w:pStyle w:val="BodyText"/>
      </w:pPr>
      <w:r>
        <w:t xml:space="preserve">[17] A. T. Corbett y J. R. Anderson,</w:t>
      </w:r>
      <w:r>
        <w:t xml:space="preserve"> </w:t>
      </w:r>
      <w:r>
        <w:t xml:space="preserve">“Knowledge Tracing: Modeling the</w:t>
      </w:r>
      <w:r>
        <w:t xml:space="preserve"> </w:t>
      </w:r>
      <w:r>
        <w:t xml:space="preserve">acquisition of procedural knowledge,”</w:t>
      </w:r>
      <w:r>
        <w:t xml:space="preserve"> </w:t>
      </w:r>
      <w:r>
        <w:t xml:space="preserve">User Modeling and User-Adapted</w:t>
      </w:r>
      <w:r>
        <w:t xml:space="preserve"> </w:t>
      </w:r>
      <w:r>
        <w:t xml:space="preserve">Interaction, vol. 4, núm. 4, pp. 253–278, 1995.</w:t>
      </w:r>
    </w:p>
    <w:p>
      <w:pPr>
        <w:pStyle w:val="BodyText"/>
      </w:pPr>
      <w:r>
        <w:t xml:space="preserve">[18] C. Piech et al.,</w:t>
      </w:r>
      <w:r>
        <w:t xml:space="preserve"> </w:t>
      </w:r>
      <w:r>
        <w:t xml:space="preserve">“Deep knowledge tracing,”</w:t>
      </w:r>
      <w:r>
        <w:t xml:space="preserve"> </w:t>
      </w:r>
      <w:r>
        <w:t xml:space="preserve">en Proc. Advances in</w:t>
      </w:r>
      <w:r>
        <w:t xml:space="preserve"> </w:t>
      </w:r>
      <w:r>
        <w:t xml:space="preserve">Neural Information Processing Systems (NeurIPS), 2015.</w:t>
      </w:r>
    </w:p>
    <w:p>
      <w:pPr>
        <w:pStyle w:val="BodyText"/>
      </w:pPr>
      <w:r>
        <w:t xml:space="preserve">[19] S. Brown, The C4 model for visualising software architecture.</w:t>
      </w:r>
      <w:r>
        <w:t xml:space="preserve"> </w:t>
      </w:r>
      <w:r>
        <w:t xml:space="preserve">c4model.com, 2018.</w:t>
      </w:r>
    </w:p>
    <w:p>
      <w:pPr>
        <w:pStyle w:val="BodyText"/>
      </w:pPr>
      <w:r>
        <w:t xml:space="preserve">[20] USAT, Reglamento de elaboración y sustentación de trabajos de</w:t>
      </w:r>
      <w:r>
        <w:t xml:space="preserve"> </w:t>
      </w:r>
      <w:r>
        <w:t xml:space="preserve">investigación para optar el título profesional. Chiclayo: Universidad</w:t>
      </w:r>
      <w:r>
        <w:t xml:space="preserve"> </w:t>
      </w:r>
      <w:r>
        <w:t xml:space="preserve">Católica Santo Toribio de Mogrovejo, 2024.</w:t>
      </w:r>
    </w:p>
    <w:p>
      <w:pPr>
        <w:pStyle w:val="BodyText"/>
      </w:pPr>
      <w:r>
        <w:t xml:space="preserve">[21] L. R. Aiken,</w:t>
      </w:r>
      <w:r>
        <w:t xml:space="preserve"> </w:t>
      </w:r>
      <w:r>
        <w:t xml:space="preserve">“Three coefficients for analyzing the reliability</w:t>
      </w:r>
      <w:r>
        <w:t xml:space="preserve"> </w:t>
      </w:r>
      <w:r>
        <w:t xml:space="preserve">and validity of ratings,”</w:t>
      </w:r>
      <w:r>
        <w:t xml:space="preserve"> </w:t>
      </w:r>
      <w:r>
        <w:t xml:space="preserve">Educational and Psychological Measurement,</w:t>
      </w:r>
      <w:r>
        <w:t xml:space="preserve"> </w:t>
      </w:r>
      <w:r>
        <w:t xml:space="preserve">vol. 45, núm. 1, pp. 131–142, 1985, doi: 10.1177/0013164485451012.</w:t>
      </w:r>
    </w:p>
    <w:p>
      <w:pPr>
        <w:pStyle w:val="BodyText"/>
      </w:pPr>
      <w:r>
        <w:t xml:space="preserve">[22] F. Wilcoxon,</w:t>
      </w:r>
      <w:r>
        <w:t xml:space="preserve"> </w:t>
      </w:r>
      <w:r>
        <w:t xml:space="preserve">“Individual comparisons by ranking methods,”</w:t>
      </w:r>
      <w:r>
        <w:t xml:space="preserve"> </w:t>
      </w:r>
      <w:r>
        <w:t xml:space="preserve">Biometrics Bulletin, vol. 1, núm. 6, pp. 80–83, 1945, doi:</w:t>
      </w:r>
      <w:r>
        <w:t xml:space="preserve"> </w:t>
      </w:r>
      <w:r>
        <w:t xml:space="preserve">10.2307/3001968.</w:t>
      </w:r>
    </w:p>
    <w:p>
      <w:pPr>
        <w:pStyle w:val="BodyText"/>
      </w:pPr>
      <w:r>
        <w:t xml:space="preserve">[23] J. Cohen, Statistical Power Analysis for the Behavioral Sciences,</w:t>
      </w:r>
      <w:r>
        <w:t xml:space="preserve"> </w:t>
      </w:r>
      <w:r>
        <w:t xml:space="preserve">2.ª ed. Hillsdale, NJ: Lawrence Erlbaum Associates, 1988.</w:t>
      </w:r>
    </w:p>
    <w:p>
      <w:pPr>
        <w:pStyle w:val="BodyText"/>
      </w:pPr>
      <w:r>
        <w:t xml:space="preserve">[24] R. Hernández-Sampieri y C. P. Mendoza Torres, Metodología de la</w:t>
      </w:r>
      <w:r>
        <w:t xml:space="preserve"> </w:t>
      </w:r>
      <w:r>
        <w:t xml:space="preserve">investigación: las rutas cuantitativa, cualitativa y mixta. Ciudad de</w:t>
      </w:r>
      <w:r>
        <w:t xml:space="preserve"> </w:t>
      </w:r>
      <w:r>
        <w:t xml:space="preserve">México: McGraw-Hill, 2018.</w:t>
      </w:r>
    </w:p>
    <w:p>
      <w:pPr>
        <w:pStyle w:val="BodyText"/>
      </w:pPr>
      <w:r>
        <w:t xml:space="preserve">[25] D. T. Campbell y J. C. Stanley, Experimental and</w:t>
      </w:r>
      <w:r>
        <w:t xml:space="preserve"> </w:t>
      </w:r>
      <w:r>
        <w:t xml:space="preserve">Quasi-Experimental Designs for Research. Chicago: Rand McNally, 1963.</w:t>
      </w:r>
    </w:p>
    <w:p>
      <w:pPr>
        <w:pStyle w:val="BodyText"/>
      </w:pPr>
      <w:r>
        <w:t xml:space="preserve">[26] N. Muennighoff, N. Tazi, L. Magne y N. Reimers,</w:t>
      </w:r>
      <w:r>
        <w:t xml:space="preserve"> </w:t>
      </w:r>
      <w:r>
        <w:t xml:space="preserve">“MTEB: Massive</w:t>
      </w:r>
      <w:r>
        <w:t xml:space="preserve"> </w:t>
      </w:r>
      <w:r>
        <w:t xml:space="preserve">Text Embedding Benchmark,”</w:t>
      </w:r>
      <w:r>
        <w:t xml:space="preserve"> </w:t>
      </w:r>
      <w:r>
        <w:t xml:space="preserve">en Proceedings of the 17th Conference of the</w:t>
      </w:r>
      <w:r>
        <w:t xml:space="preserve"> </w:t>
      </w:r>
      <w:r>
        <w:t xml:space="preserve">European Chapter of the ACL, 2023, pp. 2014–2037.</w:t>
      </w:r>
    </w:p>
    <w:bookmarkEnd w:id="35"/>
    <w:bookmarkStart w:id="40" w:name="anexos"/>
    <w:p>
      <w:pPr>
        <w:pStyle w:val="Heading1"/>
      </w:pPr>
      <w:r>
        <w:t xml:space="preserve">ANEXOS</w:t>
      </w:r>
    </w:p>
    <w:bookmarkStart w:id="36" w:name="Xb0eafbfe1f95d624c653a14c0fed07184483159"/>
    <w:p>
      <w:pPr>
        <w:pStyle w:val="Heading2"/>
      </w:pPr>
      <w:r>
        <w:t xml:space="preserve">Anexo N° 01. Carta de aceptación para ejecutar la tesis</w:t>
      </w:r>
    </w:p>
    <w:p>
      <w:pPr>
        <w:pStyle w:val="FirstParagraph"/>
      </w:pPr>
      <w:r>
        <w:rPr>
          <w:i/>
          <w:iCs/>
        </w:rPr>
        <w:t xml:space="preserve">Documento de aceptación del IESTP</w:t>
      </w:r>
      <w:r>
        <w:rPr>
          <w:i/>
          <w:iCs/>
        </w:rPr>
        <w:t xml:space="preserve"> </w:t>
      </w:r>
      <w:r>
        <w:rPr>
          <w:i/>
          <w:iCs/>
        </w:rPr>
        <w:t xml:space="preserve">“República Federal de Alemania”</w:t>
      </w:r>
      <w:r>
        <w:rPr>
          <w:i/>
          <w:iCs/>
        </w:rPr>
        <w:t xml:space="preserve"> </w:t>
      </w:r>
      <w:r>
        <w:rPr>
          <w:i/>
          <w:iCs/>
        </w:rPr>
        <w:t xml:space="preserve">para</w:t>
      </w:r>
      <w:r>
        <w:rPr>
          <w:i/>
          <w:iCs/>
        </w:rPr>
        <w:t xml:space="preserve"> </w:t>
      </w:r>
      <w:r>
        <w:rPr>
          <w:i/>
          <w:iCs/>
        </w:rPr>
        <w:t xml:space="preserve">la ejecución del piloto de la tesis (coordinación del Téc. Xavier</w:t>
      </w:r>
      <w:r>
        <w:rPr>
          <w:i/>
          <w:iCs/>
        </w:rPr>
        <w:t xml:space="preserve"> </w:t>
      </w:r>
      <w:r>
        <w:rPr>
          <w:i/>
          <w:iCs/>
        </w:rPr>
        <w:t xml:space="preserve">Benites Marín). [Adjuntar la carta firmada y escaneada en este</w:t>
      </w:r>
      <w:r>
        <w:rPr>
          <w:i/>
          <w:iCs/>
        </w:rPr>
        <w:t xml:space="preserve"> </w:t>
      </w:r>
      <w:r>
        <w:rPr>
          <w:i/>
          <w:iCs/>
        </w:rPr>
        <w:t xml:space="preserve">anexo.]</w:t>
      </w:r>
    </w:p>
    <w:bookmarkEnd w:id="36"/>
    <w:bookmarkStart w:id="37" w:name="X56144c2f166228bc3abf79e2d231098dca39acc"/>
    <w:p>
      <w:pPr>
        <w:pStyle w:val="Heading2"/>
      </w:pPr>
      <w:r>
        <w:t xml:space="preserve">Anexo N° 02. Configuración del benchmark de validación (OE1–OE2)</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Parámetro</w:t>
            </w:r>
          </w:p>
        </w:tc>
        <w:tc>
          <w:tcPr/>
          <w:p>
            <w:pPr>
              <w:pStyle w:val="Compact"/>
              <w:jc w:val="left"/>
            </w:pPr>
            <w:r>
              <w:rPr>
                <w:b/>
                <w:bCs/>
              </w:rPr>
              <w:t xml:space="preserve">Valor</w:t>
            </w:r>
          </w:p>
        </w:tc>
      </w:tr>
      <w:tr>
        <w:tc>
          <w:tcPr/>
          <w:p>
            <w:pPr>
              <w:pStyle w:val="Compact"/>
              <w:jc w:val="left"/>
            </w:pPr>
            <w:r>
              <w:t xml:space="preserve">Golden set</w:t>
            </w:r>
          </w:p>
        </w:tc>
        <w:tc>
          <w:tcPr/>
          <w:p>
            <w:pPr>
              <w:pStyle w:val="Compact"/>
              <w:jc w:val="left"/>
            </w:pPr>
            <w:r>
              <w:t xml:space="preserve">50 preguntas con ground-truth,</w:t>
            </w:r>
            <w:r>
              <w:t xml:space="preserve"> </w:t>
            </w:r>
            <w:r>
              <w:t xml:space="preserve">cobertura M1–M5</w:t>
            </w:r>
          </w:p>
        </w:tc>
      </w:tr>
      <w:tr>
        <w:tc>
          <w:tcPr/>
          <w:p>
            <w:pPr>
              <w:pStyle w:val="Compact"/>
              <w:jc w:val="left"/>
            </w:pPr>
            <w:r>
              <w:t xml:space="preserve">LLM generador</w:t>
            </w:r>
          </w:p>
        </w:tc>
        <w:tc>
          <w:tcPr/>
          <w:p>
            <w:pPr>
              <w:pStyle w:val="Compact"/>
              <w:jc w:val="left"/>
            </w:pPr>
            <w:r>
              <w:t xml:space="preserve">qwen2.5:7b-instruct-q4_K_M (Ollama)</w:t>
            </w:r>
          </w:p>
        </w:tc>
      </w:tr>
      <w:tr>
        <w:tc>
          <w:tcPr/>
          <w:p>
            <w:pPr>
              <w:pStyle w:val="Compact"/>
              <w:jc w:val="left"/>
            </w:pPr>
            <w:r>
              <w:t xml:space="preserve">Modelo de embeddings</w:t>
            </w:r>
          </w:p>
        </w:tc>
        <w:tc>
          <w:tcPr/>
          <w:p>
            <w:pPr>
              <w:pStyle w:val="Compact"/>
              <w:jc w:val="left"/>
            </w:pPr>
            <w:r>
              <w:t xml:space="preserve">mxbai-embed-large (1 024 dim)</w:t>
            </w:r>
          </w:p>
        </w:tc>
      </w:tr>
      <w:tr>
        <w:tc>
          <w:tcPr/>
          <w:p>
            <w:pPr>
              <w:pStyle w:val="Compact"/>
              <w:jc w:val="left"/>
            </w:pPr>
            <w:r>
              <w:t xml:space="preserve">Juez LLM (evaluación)</w:t>
            </w:r>
          </w:p>
        </w:tc>
        <w:tc>
          <w:tcPr/>
          <w:p>
            <w:pPr>
              <w:pStyle w:val="Compact"/>
              <w:jc w:val="left"/>
            </w:pPr>
            <w:r>
              <w:t xml:space="preserve">llama3.1:8b (independiente del</w:t>
            </w:r>
            <w:r>
              <w:t xml:space="preserve"> </w:t>
            </w:r>
            <w:r>
              <w:t xml:space="preserve">generador)</w:t>
            </w:r>
          </w:p>
        </w:tc>
      </w:tr>
      <w:tr>
        <w:tc>
          <w:tcPr/>
          <w:p>
            <w:pPr>
              <w:pStyle w:val="Compact"/>
              <w:jc w:val="left"/>
            </w:pPr>
            <w:r>
              <w:t xml:space="preserve">Recuperación</w:t>
            </w:r>
          </w:p>
        </w:tc>
        <w:tc>
          <w:tcPr/>
          <w:p>
            <w:pPr>
              <w:pStyle w:val="Compact"/>
              <w:jc w:val="left"/>
            </w:pPr>
            <w:r>
              <w:t xml:space="preserve">coseno en pgvector, top-k = 5 +</w:t>
            </w:r>
            <w:r>
              <w:t xml:space="preserve"> </w:t>
            </w:r>
            <w:r>
              <w:t xml:space="preserve">reranking cross-encoder</w:t>
            </w:r>
          </w:p>
        </w:tc>
      </w:tr>
      <w:tr>
        <w:tc>
          <w:tcPr/>
          <w:p>
            <w:pPr>
              <w:pStyle w:val="Compact"/>
              <w:jc w:val="left"/>
            </w:pPr>
            <w:r>
              <w:t xml:space="preserve">Parámetros de generación</w:t>
            </w:r>
          </w:p>
        </w:tc>
        <w:tc>
          <w:tcPr/>
          <w:p>
            <w:pPr>
              <w:pStyle w:val="Compact"/>
              <w:jc w:val="left"/>
            </w:pPr>
            <w:r>
              <w:t xml:space="preserve">temperatura 0.3, num_ctx 4096,</w:t>
            </w:r>
            <w:r>
              <w:t xml:space="preserve"> </w:t>
            </w:r>
            <w:r>
              <w:t xml:space="preserve">salida JSON</w:t>
            </w:r>
          </w:p>
        </w:tc>
      </w:tr>
      <w:tr>
        <w:tc>
          <w:tcPr/>
          <w:p>
            <w:pPr>
              <w:pStyle w:val="Compact"/>
              <w:jc w:val="left"/>
            </w:pPr>
            <w:r>
              <w:t xml:space="preserve">Framework de evaluación RAG</w:t>
            </w:r>
          </w:p>
        </w:tc>
        <w:tc>
          <w:tcPr/>
          <w:p>
            <w:pPr>
              <w:pStyle w:val="Compact"/>
              <w:jc w:val="left"/>
            </w:pPr>
            <w:r>
              <w:t xml:space="preserve">RAGAS 0.2.6</w:t>
            </w:r>
          </w:p>
        </w:tc>
      </w:tr>
    </w:tbl>
    <w:p>
      <w:pPr>
        <w:pStyle w:val="BodyText"/>
      </w:pPr>
      <w:r>
        <w:rPr>
          <w:i/>
          <w:iCs/>
        </w:rPr>
        <w:t xml:space="preserve">Tabla 19. Configuración reproducible del benchmark de selección y</w:t>
      </w:r>
      <w:r>
        <w:rPr>
          <w:i/>
          <w:iCs/>
        </w:rPr>
        <w:t xml:space="preserve"> </w:t>
      </w:r>
      <w:r>
        <w:rPr>
          <w:i/>
          <w:iCs/>
        </w:rPr>
        <w:t xml:space="preserve">validación del pipeline RAG.</w:t>
      </w:r>
    </w:p>
    <w:bookmarkEnd w:id="37"/>
    <w:bookmarkStart w:id="38" w:name="Xe695a6b7aaaa7c913b9e0122cfdc3ffd3156d42"/>
    <w:p>
      <w:pPr>
        <w:pStyle w:val="Heading2"/>
      </w:pPr>
      <w:r>
        <w:t xml:space="preserve">Anexo N° 03. Distribución del golden set y recuperación por módulo</w:t>
      </w:r>
    </w:p>
    <w:p>
      <w:pPr>
        <w:pStyle w:val="FirstParagraph"/>
      </w:pPr>
      <w:r>
        <w:t xml:space="preserve">Recall@5 por módulo con el pipeline de producción (coseno + reranking).</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Módulo</w:t>
            </w:r>
          </w:p>
        </w:tc>
        <w:tc>
          <w:tcPr/>
          <w:p>
            <w:pPr>
              <w:pStyle w:val="Compact"/>
              <w:jc w:val="left"/>
            </w:pPr>
            <w:r>
              <w:rPr>
                <w:b/>
                <w:bCs/>
              </w:rPr>
              <w:t xml:space="preserve">Recall@5</w:t>
            </w:r>
          </w:p>
        </w:tc>
        <w:tc>
          <w:tcPr/>
          <w:p>
            <w:pPr>
              <w:pStyle w:val="Compact"/>
              <w:jc w:val="left"/>
            </w:pPr>
            <w:r>
              <w:rPr>
                <w:b/>
                <w:bCs/>
              </w:rPr>
              <w:t xml:space="preserve">Veredicto</w:t>
            </w:r>
          </w:p>
        </w:tc>
      </w:tr>
      <w:tr>
        <w:tc>
          <w:tcPr/>
          <w:p>
            <w:pPr>
              <w:pStyle w:val="Compact"/>
              <w:jc w:val="left"/>
            </w:pPr>
            <w:r>
              <w:t xml:space="preserve">M1</w:t>
            </w:r>
          </w:p>
        </w:tc>
        <w:tc>
          <w:tcPr/>
          <w:p>
            <w:pPr>
              <w:pStyle w:val="Compact"/>
              <w:jc w:val="left"/>
            </w:pPr>
            <w:r>
              <w:t xml:space="preserve">1.00</w:t>
            </w:r>
          </w:p>
        </w:tc>
        <w:tc>
          <w:tcPr/>
          <w:p>
            <w:pPr>
              <w:pStyle w:val="Compact"/>
              <w:jc w:val="left"/>
            </w:pPr>
            <w:r>
              <w:t xml:space="preserve">Cumple</w:t>
            </w:r>
          </w:p>
        </w:tc>
      </w:tr>
      <w:tr>
        <w:tc>
          <w:tcPr/>
          <w:p>
            <w:pPr>
              <w:pStyle w:val="Compact"/>
              <w:jc w:val="left"/>
            </w:pPr>
            <w:r>
              <w:t xml:space="preserve">M2</w:t>
            </w:r>
          </w:p>
        </w:tc>
        <w:tc>
          <w:tcPr/>
          <w:p>
            <w:pPr>
              <w:pStyle w:val="Compact"/>
              <w:jc w:val="left"/>
            </w:pPr>
            <w:r>
              <w:t xml:space="preserve">0.90</w:t>
            </w:r>
          </w:p>
        </w:tc>
        <w:tc>
          <w:tcPr/>
          <w:p>
            <w:pPr>
              <w:pStyle w:val="Compact"/>
              <w:jc w:val="left"/>
            </w:pPr>
            <w:r>
              <w:t xml:space="preserve">Cumple</w:t>
            </w:r>
          </w:p>
        </w:tc>
      </w:tr>
      <w:tr>
        <w:tc>
          <w:tcPr/>
          <w:p>
            <w:pPr>
              <w:pStyle w:val="Compact"/>
              <w:jc w:val="left"/>
            </w:pPr>
            <w:r>
              <w:t xml:space="preserve">M3</w:t>
            </w:r>
          </w:p>
        </w:tc>
        <w:tc>
          <w:tcPr/>
          <w:p>
            <w:pPr>
              <w:pStyle w:val="Compact"/>
              <w:jc w:val="left"/>
            </w:pPr>
            <w:r>
              <w:t xml:space="preserve">1.00</w:t>
            </w:r>
          </w:p>
        </w:tc>
        <w:tc>
          <w:tcPr/>
          <w:p>
            <w:pPr>
              <w:pStyle w:val="Compact"/>
              <w:jc w:val="left"/>
            </w:pPr>
            <w:r>
              <w:t xml:space="preserve">Cumple</w:t>
            </w:r>
          </w:p>
        </w:tc>
      </w:tr>
      <w:tr>
        <w:tc>
          <w:tcPr/>
          <w:p>
            <w:pPr>
              <w:pStyle w:val="Compact"/>
              <w:jc w:val="left"/>
            </w:pPr>
            <w:r>
              <w:t xml:space="preserve">M4</w:t>
            </w:r>
          </w:p>
        </w:tc>
        <w:tc>
          <w:tcPr/>
          <w:p>
            <w:pPr>
              <w:pStyle w:val="Compact"/>
              <w:jc w:val="left"/>
            </w:pPr>
            <w:r>
              <w:t xml:space="preserve">1.00</w:t>
            </w:r>
          </w:p>
        </w:tc>
        <w:tc>
          <w:tcPr/>
          <w:p>
            <w:pPr>
              <w:pStyle w:val="Compact"/>
              <w:jc w:val="left"/>
            </w:pPr>
            <w:r>
              <w:t xml:space="preserve">Cumple</w:t>
            </w:r>
          </w:p>
        </w:tc>
      </w:tr>
      <w:tr>
        <w:tc>
          <w:tcPr/>
          <w:p>
            <w:pPr>
              <w:pStyle w:val="Compact"/>
              <w:jc w:val="left"/>
            </w:pPr>
            <w:r>
              <w:t xml:space="preserve">M5</w:t>
            </w:r>
          </w:p>
        </w:tc>
        <w:tc>
          <w:tcPr/>
          <w:p>
            <w:pPr>
              <w:pStyle w:val="Compact"/>
              <w:jc w:val="left"/>
            </w:pPr>
            <w:r>
              <w:t xml:space="preserve">0.90</w:t>
            </w:r>
          </w:p>
        </w:tc>
        <w:tc>
          <w:tcPr/>
          <w:p>
            <w:pPr>
              <w:pStyle w:val="Compact"/>
              <w:jc w:val="left"/>
            </w:pPr>
            <w:r>
              <w:t xml:space="preserve">Cumple</w:t>
            </w:r>
          </w:p>
        </w:tc>
      </w:tr>
    </w:tbl>
    <w:p>
      <w:pPr>
        <w:pStyle w:val="BodyText"/>
      </w:pPr>
      <w:r>
        <w:rPr>
          <w:i/>
          <w:iCs/>
        </w:rPr>
        <w:t xml:space="preserve">Tabla 20. Recall@5 por módulo (pipeline con reranking).</w:t>
      </w:r>
    </w:p>
    <w:bookmarkEnd w:id="38"/>
    <w:bookmarkStart w:id="39" w:name="Xe3d929eb1c374e2e305e9417b578e7f2b2d2b6d"/>
    <w:p>
      <w:pPr>
        <w:pStyle w:val="Heading2"/>
      </w:pPr>
      <w:r>
        <w:t xml:space="preserve">Anexo N° 04. Inventario de entregables del proyecto por iteración</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Iteración (Sprints)</w:t>
            </w:r>
          </w:p>
        </w:tc>
        <w:tc>
          <w:tcPr/>
          <w:p>
            <w:pPr>
              <w:pStyle w:val="Compact"/>
              <w:jc w:val="left"/>
            </w:pPr>
            <w:r>
              <w:rPr>
                <w:b/>
                <w:bCs/>
              </w:rPr>
              <w:t xml:space="preserve">Entregables principales</w:t>
            </w:r>
          </w:p>
        </w:tc>
      </w:tr>
      <w:tr>
        <w:tc>
          <w:tcPr/>
          <w:p>
            <w:pPr>
              <w:pStyle w:val="Compact"/>
              <w:jc w:val="left"/>
            </w:pPr>
            <w:r>
              <w:t xml:space="preserve">#1 — Comprensión del negocio (S1)</w:t>
            </w:r>
          </w:p>
        </w:tc>
        <w:tc>
          <w:tcPr/>
          <w:p>
            <w:pPr>
              <w:pStyle w:val="Compact"/>
              <w:jc w:val="left"/>
            </w:pPr>
            <w:r>
              <w:t xml:space="preserve">ERS (52 RF/RNF), arquitectura C4,</w:t>
            </w:r>
            <w:r>
              <w:t xml:space="preserve"> </w:t>
            </w:r>
            <w:r>
              <w:t xml:space="preserve">modelos de dominio y pedagógico,</w:t>
            </w:r>
            <w:r>
              <w:t xml:space="preserve"> </w:t>
            </w:r>
            <w:r>
              <w:t xml:space="preserve">docker-compose inicial.</w:t>
            </w:r>
          </w:p>
        </w:tc>
      </w:tr>
      <w:tr>
        <w:tc>
          <w:tcPr/>
          <w:p>
            <w:pPr>
              <w:pStyle w:val="Compact"/>
              <w:jc w:val="left"/>
            </w:pPr>
            <w:r>
              <w:t xml:space="preserve">#2 — Comprensión de los datos</w:t>
            </w:r>
            <w:r>
              <w:t xml:space="preserve"> </w:t>
            </w:r>
            <w:r>
              <w:t xml:space="preserve">(S2)</w:t>
            </w:r>
          </w:p>
        </w:tc>
        <w:tc>
          <w:tcPr/>
          <w:p>
            <w:pPr>
              <w:pStyle w:val="Compact"/>
              <w:jc w:val="left"/>
            </w:pPr>
            <w:r>
              <w:t xml:space="preserve">Reporte comparativo LLM/embeddings,</w:t>
            </w:r>
            <w:r>
              <w:t xml:space="preserve"> </w:t>
            </w:r>
            <w:r>
              <w:t xml:space="preserve">Modelfile qwen2.5, modelos de</w:t>
            </w:r>
            <w:r>
              <w:t xml:space="preserve"> </w:t>
            </w:r>
            <w:r>
              <w:t xml:space="preserve">estudiante e interacción.</w:t>
            </w:r>
          </w:p>
        </w:tc>
      </w:tr>
      <w:tr>
        <w:tc>
          <w:tcPr/>
          <w:p>
            <w:pPr>
              <w:pStyle w:val="Compact"/>
              <w:jc w:val="left"/>
            </w:pPr>
            <w:r>
              <w:t xml:space="preserve">#3 — Preparación y modelado</w:t>
            </w:r>
            <w:r>
              <w:t xml:space="preserve"> </w:t>
            </w:r>
            <w:r>
              <w:t xml:space="preserve">(S3–S6)</w:t>
            </w:r>
          </w:p>
        </w:tc>
        <w:tc>
          <w:tcPr/>
          <w:p>
            <w:pPr>
              <w:pStyle w:val="Compact"/>
              <w:jc w:val="left"/>
            </w:pPr>
            <w:r>
              <w:t xml:space="preserve">Pipeline RAG, backend FastAPI (10</w:t>
            </w:r>
            <w:r>
              <w:t xml:space="preserve"> </w:t>
            </w:r>
            <w:r>
              <w:t xml:space="preserve">routers), frontend React SPA,</w:t>
            </w:r>
            <w:r>
              <w:t xml:space="preserve"> </w:t>
            </w:r>
            <w:r>
              <w:t xml:space="preserve">golden set inicial + RAGAS</w:t>
            </w:r>
            <w:r>
              <w:t xml:space="preserve"> </w:t>
            </w:r>
            <w:r>
              <w:t xml:space="preserve">preliminar.</w:t>
            </w:r>
          </w:p>
        </w:tc>
      </w:tr>
      <w:tr>
        <w:tc>
          <w:tcPr/>
          <w:p>
            <w:pPr>
              <w:pStyle w:val="Compact"/>
              <w:jc w:val="left"/>
            </w:pPr>
            <w:r>
              <w:t xml:space="preserve">#4 — Evaluación (S7)</w:t>
            </w:r>
          </w:p>
        </w:tc>
        <w:tc>
          <w:tcPr/>
          <w:p>
            <w:pPr>
              <w:pStyle w:val="Compact"/>
              <w:jc w:val="left"/>
            </w:pPr>
            <w:r>
              <w:t xml:space="preserve">Reranking cross-encoder, golden set</w:t>
            </w:r>
            <w:r>
              <w:t xml:space="preserve"> </w:t>
            </w:r>
            <w:r>
              <w:t xml:space="preserve">50 ítems, validación formal RAGAS</w:t>
            </w:r>
            <w:r>
              <w:t xml:space="preserve"> </w:t>
            </w:r>
            <w:r>
              <w:t xml:space="preserve">5/5.</w:t>
            </w:r>
          </w:p>
        </w:tc>
      </w:tr>
      <w:tr>
        <w:tc>
          <w:tcPr/>
          <w:p>
            <w:pPr>
              <w:pStyle w:val="Compact"/>
              <w:jc w:val="left"/>
            </w:pPr>
            <w:r>
              <w:t xml:space="preserve">#5 — Despliegue (S8–S10)</w:t>
            </w:r>
          </w:p>
        </w:tc>
        <w:tc>
          <w:tcPr/>
          <w:p>
            <w:pPr>
              <w:pStyle w:val="Compact"/>
              <w:jc w:val="left"/>
            </w:pPr>
            <w:r>
              <w:t xml:space="preserve">Despliegue GCE + Caddy/TLS +</w:t>
            </w:r>
            <w:r>
              <w:t xml:space="preserve"> </w:t>
            </w:r>
            <w:r>
              <w:t xml:space="preserve">Firebase, contenido instruccional</w:t>
            </w:r>
            <w:r>
              <w:t xml:space="preserve"> </w:t>
            </w:r>
            <w:r>
              <w:t xml:space="preserve">M1–M5, banco de ejercicios,</w:t>
            </w:r>
            <w:r>
              <w:t xml:space="preserve"> </w:t>
            </w:r>
            <w:r>
              <w:t xml:space="preserve">instrumento pretest/postest.</w:t>
            </w:r>
          </w:p>
        </w:tc>
      </w:tr>
      <w:tr>
        <w:tc>
          <w:tcPr/>
          <w:p>
            <w:pPr>
              <w:pStyle w:val="Compact"/>
              <w:jc w:val="left"/>
            </w:pPr>
            <w:r>
              <w:t xml:space="preserve">#6 — Validación y pilotaje</w:t>
            </w:r>
            <w:r>
              <w:t xml:space="preserve"> </w:t>
            </w:r>
            <w:r>
              <w:t xml:space="preserve">(S11–S12)</w:t>
            </w:r>
          </w:p>
        </w:tc>
        <w:tc>
          <w:tcPr/>
          <w:p>
            <w:pPr>
              <w:pStyle w:val="Compact"/>
              <w:jc w:val="left"/>
            </w:pPr>
            <w:r>
              <w:t xml:space="preserve">Pretest/postest (n=49), suite</w:t>
            </w:r>
            <w:r>
              <w:t xml:space="preserve"> </w:t>
            </w:r>
            <w:r>
              <w:t xml:space="preserve">ISO/IEC 25010 (396+69 pruebas),</w:t>
            </w:r>
            <w:r>
              <w:t xml:space="preserve"> </w:t>
            </w:r>
            <w:r>
              <w:t xml:space="preserve">reporte de rendimiento académico.</w:t>
            </w:r>
          </w:p>
        </w:tc>
      </w:tr>
    </w:tbl>
    <w:p>
      <w:pPr>
        <w:pStyle w:val="BodyText"/>
      </w:pPr>
      <w:r>
        <w:rPr>
          <w:i/>
          <w:iCs/>
        </w:rPr>
        <w:t xml:space="preserve">Tabla 21. Inventario de entregables del proyecto por iteración</w:t>
      </w:r>
      <w:r>
        <w:rPr>
          <w:i/>
          <w:iCs/>
        </w:rPr>
        <w:t xml:space="preserve"> </w:t>
      </w:r>
      <w:r>
        <w:rPr>
          <w:i/>
          <w:iCs/>
        </w:rPr>
        <w:t xml:space="preserve">CRISP-DM.</w:t>
      </w:r>
    </w:p>
    <w:bookmarkEnd w:id="39"/>
    <w:bookmarkEnd w:id="4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jc w:val="both"/>
    </w:pPr>
    <w:rPr>
      <w:rFonts w:ascii="Times New Roman" w:hAnsi="Times New Roman"/>
      <w:b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line="360" w:lineRule="auto"/>
      <w:jc w:val="left"/>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line="360" w:lineRule="auto"/>
      <w:jc w:val="left"/>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line="360" w:lineRule="auto"/>
      <w:jc w:val="left"/>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line="360" w:lineRule="auto"/>
      <w:jc w:val="left"/>
      <w:outlineLvl w:val="3"/>
    </w:pPr>
    <w:rPr>
      <w:rFonts w:ascii="Times New Roman" w:asciiTheme="majorHAnsi" w:cstheme="majorBidi" w:eastAsiaTheme="majorEastAsia" w:hAnsi="Times New Roman"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60" w:lineRule="auto"/>
      <w:contextualSpacing/>
      <w:jc w:val="center"/>
    </w:pPr>
    <w:rPr>
      <w:rFonts w:ascii="Times New Roman" w:asciiTheme="majorHAnsi" w:cstheme="majorBidi"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2026-06-22T03:38:24Z</dcterms:created>
  <dcterms:modified xsi:type="dcterms:W3CDTF">2026-06-22T03:38:24Z</dcterms:modified>
</cp:coreProperties>
</file>

<file path=docProps/custom.xml><?xml version="1.0" encoding="utf-8"?>
<Properties xmlns="http://schemas.openxmlformats.org/officeDocument/2006/custom-properties" xmlns:vt="http://schemas.openxmlformats.org/officeDocument/2006/docPropsVTypes"/>
</file>