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5a8a6ca8a01bb62f4cf2b891dc3a78a59ce386"/>
    <w:p>
      <w:pPr>
        <w:pStyle w:val="Heading1"/>
      </w:pPr>
      <w:r>
        <w:t xml:space="preserve">Medición OE3 — Rendimiento, disponibilidad y trazabilidad (Sprint 5)</w:t>
      </w:r>
    </w:p>
    <w:p>
      <w:pPr>
        <w:pStyle w:val="FirstParagraph"/>
      </w:pPr>
      <w:r>
        <w:t xml:space="preserve">Procedimiento para medir los indicadores de</w:t>
      </w:r>
      <w:r>
        <w:t xml:space="preserve"> </w:t>
      </w:r>
      <w:r>
        <w:rPr>
          <w:b/>
          <w:bCs/>
        </w:rPr>
        <w:t xml:space="preserve">OE3</w:t>
      </w:r>
      <w:r>
        <w:t xml:space="preserve"> </w:t>
      </w:r>
      <w:r>
        <w:t xml:space="preserve">sobre el sistema desplegado en</w:t>
      </w:r>
      <w:r>
        <w:t xml:space="preserve"> </w:t>
      </w:r>
      <w:r>
        <w:t xml:space="preserve">la VM de Google Compute Engine. Requiere el stack levantado (</w:t>
      </w:r>
      <w:r>
        <w:rPr>
          <w:rStyle w:val="VerbatimChar"/>
        </w:rPr>
        <w:t xml:space="preserve">deploy.sh</w:t>
      </w:r>
      <w:r>
        <w:t xml:space="preserve">) y el</w:t>
      </w:r>
      <w:r>
        <w:t xml:space="preserve"> </w:t>
      </w:r>
      <w:r>
        <w:t xml:space="preserve">corpus ingestado.</w:t>
      </w:r>
    </w:p>
    <w:p>
      <w:pPr>
        <w:pStyle w:val="BlockText"/>
      </w:pPr>
      <w:r>
        <w:t xml:space="preserve">Contexto: el despliegue actual usa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(</w:t>
      </w:r>
      <w:r>
        <w:rPr>
          <w:rStyle w:val="VerbatimChar"/>
        </w:rPr>
        <w:t xml:space="preserve">e2-standard-4</w:t>
      </w:r>
      <w:r>
        <w:t xml:space="preserve">, sin GPU). Los</w:t>
      </w:r>
      <w:r>
        <w:t xml:space="preserve"> </w:t>
      </w:r>
      <w:r>
        <w:t xml:space="preserve">umbrales de rendimiento de OE3 fueron definidos pensando en aceleración GPU;</w:t>
      </w:r>
      <w:r>
        <w:t xml:space="preserve"> </w:t>
      </w:r>
      <w:r>
        <w:t xml:space="preserve">en CPU se reportan los valores reales y, si no alcanzan el umbral, se documenta</w:t>
      </w:r>
      <w:r>
        <w:t xml:space="preserve"> </w:t>
      </w:r>
      <w:r>
        <w:t xml:space="preserve">“sub-8s / sub-2.5s requiere GPU”</w:t>
      </w:r>
      <w:r>
        <w:t xml:space="preserve"> </w:t>
      </w:r>
      <w:r>
        <w:t xml:space="preserve">como recomendación de infraestructura. Misma</w:t>
      </w:r>
      <w:r>
        <w:t xml:space="preserve"> </w:t>
      </w:r>
      <w:r>
        <w:t xml:space="preserve">lógica de re-encuadre aprobada por la asesora en OE1/OE2.</w:t>
      </w:r>
    </w:p>
    <w:bookmarkStart w:id="9" w:name="indicadores-y-umbrales"/>
    <w:p>
      <w:pPr>
        <w:pStyle w:val="Heading2"/>
      </w:pPr>
      <w:r>
        <w:t xml:space="preserve">Indicadores y umbrales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1863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TTFT P95</w:t>
            </w:r>
          </w:p>
        </w:tc>
        <w:tc>
          <w:tcPr/>
          <w:p>
            <w:pPr>
              <w:pStyle w:val="Compact"/>
            </w:pPr>
            <w:r>
              <w:t xml:space="preserve">≤ 2.5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oe3_perf.py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ITL P95</w:t>
            </w:r>
          </w:p>
        </w:tc>
        <w:tc>
          <w:tcPr/>
          <w:p>
            <w:pPr>
              <w:pStyle w:val="Compact"/>
            </w:pPr>
            <w:r>
              <w:t xml:space="preserve">≤ 250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oe3_perf.py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throughput (conc 3)</w:t>
            </w:r>
          </w:p>
        </w:tc>
        <w:tc>
          <w:tcPr/>
          <w:p>
            <w:pPr>
              <w:pStyle w:val="Compact"/>
            </w:pPr>
            <w:r>
              <w:t xml:space="preserve">≥ 8 tok/s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oe3_perf.py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e2e P95</w:t>
            </w:r>
          </w:p>
        </w:tc>
        <w:tc>
          <w:tcPr/>
          <w:p>
            <w:pPr>
              <w:pStyle w:val="Compact"/>
            </w:pPr>
            <w:r>
              <w:t xml:space="preserve">≤ 8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oe3_perf.py --e2e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≥ 99 %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oe3_availability.py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≥ 99 %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oe3_availability.py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5xx</w:t>
            </w:r>
          </w:p>
        </w:tc>
        <w:tc>
          <w:tcPr/>
          <w:p>
            <w:pPr>
              <w:pStyle w:val="Compact"/>
            </w:pPr>
            <w:r>
              <w:t xml:space="preserve">≤ 2 %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oe3_availability.py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MTBF</w:t>
            </w:r>
          </w:p>
        </w:tc>
        <w:tc>
          <w:tcPr/>
          <w:p>
            <w:pPr>
              <w:pStyle w:val="Compact"/>
            </w:pPr>
            <w:r>
              <w:t xml:space="preserve">≥ 48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oe3_availability.py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cobertura RF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matriz ISO (OE5) — ya =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citación / exactitud</w:t>
            </w:r>
          </w:p>
        </w:tc>
        <w:tc>
          <w:tcPr/>
          <w:p>
            <w:pPr>
              <w:pStyle w:val="Compact"/>
            </w:pPr>
            <w:r>
              <w:t xml:space="preserve">≥ 0.90 / ≥ 0.85</w:t>
            </w:r>
          </w:p>
        </w:tc>
        <w:tc>
          <w:tcPr/>
          <w:p>
            <w:pPr>
              <w:pStyle w:val="Compact"/>
            </w:pPr>
            <w:r>
              <w:t xml:space="preserve">golden set + RAGAS (context_precision)</w:t>
            </w:r>
          </w:p>
        </w:tc>
      </w:tr>
    </w:tbl>
    <w:bookmarkEnd w:id="9"/>
    <w:bookmarkStart w:id="10" w:name="X47e4aaea9deef249b40505c8e6f221d461eff4e"/>
    <w:p>
      <w:pPr>
        <w:pStyle w:val="Heading2"/>
      </w:pPr>
      <w:r>
        <w:t xml:space="preserve">1. Arrancar la sonda de disponibilidad (dejar corriendo todo el piloto)</w:t>
      </w:r>
    </w:p>
    <w:p>
      <w:pPr>
        <w:pStyle w:val="SourceCode"/>
      </w:pPr>
      <w:r>
        <w:rPr>
          <w:rStyle w:val="CommentTok"/>
        </w:rPr>
        <w:t xml:space="preserve"># en la VM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infra/scripts/tutor-health-poller.service /etc/systemd/system/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tutor-health-poller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tutor-health-poller   </w:t>
      </w:r>
      <w:r>
        <w:rPr>
          <w:rStyle w:val="CommentTok"/>
        </w:rPr>
        <w:t xml:space="preserve"># debe quedar "active (running)"</w:t>
      </w:r>
    </w:p>
    <w:p>
      <w:pPr>
        <w:pStyle w:val="FirstParagraph"/>
      </w:pPr>
      <w:r>
        <w:t xml:space="preserve">Esto escribe</w:t>
      </w:r>
      <w:r>
        <w:t xml:space="preserve"> </w:t>
      </w:r>
      <w:r>
        <w:rPr>
          <w:rStyle w:val="VerbatimChar"/>
        </w:rPr>
        <w:t xml:space="preserve">epoch,code,latency</w:t>
      </w:r>
      <w:r>
        <w:t xml:space="preserve"> </w:t>
      </w:r>
      <w:r>
        <w:t xml:space="preserve">cada 60 s en</w:t>
      </w:r>
      <w:r>
        <w:t xml:space="preserve"> </w:t>
      </w:r>
      <w:r>
        <w:rPr>
          <w:rStyle w:val="VerbatimChar"/>
        </w:rPr>
        <w:t xml:space="preserve">/var/log/tutor/health.log</w:t>
      </w:r>
      <w:r>
        <w:t xml:space="preserve">. Para</w:t>
      </w:r>
      <w:r>
        <w:t xml:space="preserve"> </w:t>
      </w:r>
      <w:r>
        <w:t xml:space="preserve">MTBF ≥ 48 h se necesita una ventana de</w:t>
      </w:r>
      <w:r>
        <w:t xml:space="preserve"> </w:t>
      </w:r>
      <w:r>
        <w:rPr>
          <w:b/>
          <w:bCs/>
        </w:rPr>
        <w:t xml:space="preserve">al menos ~48 h</w:t>
      </w:r>
      <w:r>
        <w:t xml:space="preserve"> </w:t>
      </w:r>
      <w:r>
        <w:t xml:space="preserve">de observación.</w:t>
      </w:r>
    </w:p>
    <w:bookmarkEnd w:id="10"/>
    <w:bookmarkStart w:id="11" w:name="X5ff3dfa083e1018120ac7c9691a8267c7ae93b5"/>
    <w:p>
      <w:pPr>
        <w:pStyle w:val="Heading2"/>
      </w:pPr>
      <w:r>
        <w:t xml:space="preserve">2. Medir rendimiento (cuando quieras, sistema vivo)</w:t>
      </w:r>
    </w:p>
    <w:p>
      <w:pPr>
        <w:pStyle w:val="FirstParagraph"/>
      </w:pPr>
      <w:r>
        <w:rPr>
          <w:rStyle w:val="VerbatimChar"/>
        </w:rPr>
        <w:t xml:space="preserve">oe3_perf.py</w:t>
      </w:r>
      <w:r>
        <w:t xml:space="preserve"> </w:t>
      </w:r>
      <w:r>
        <w:t xml:space="preserve">corre</w:t>
      </w:r>
      <w:r>
        <w:t xml:space="preserve"> </w:t>
      </w:r>
      <w:r>
        <w:rPr>
          <w:b/>
          <w:bCs/>
        </w:rPr>
        <w:t xml:space="preserve">dentro del contenedor backend</w:t>
      </w:r>
      <w:r>
        <w:t xml:space="preserve"> </w:t>
      </w:r>
      <w:r>
        <w:t xml:space="preserve">(usa httpx + app.config):</w:t>
      </w:r>
    </w:p>
    <w:p>
      <w:pPr>
        <w:pStyle w:val="SourceCode"/>
      </w:pPr>
      <w:r>
        <w:rPr>
          <w:rStyle w:val="CommentTok"/>
        </w:rPr>
        <w:t xml:space="preserve"># en la VM, raiz del repo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python scripts/oe3_perf.py </w:t>
      </w:r>
      <w:r>
        <w:rPr>
          <w:rStyle w:val="AttributeTok"/>
        </w:rPr>
        <w:t xml:space="preserve">--iterations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3</w:t>
      </w:r>
      <w:r>
        <w:br/>
      </w:r>
      <w:r>
        <w:rPr>
          <w:rStyle w:val="CommentTok"/>
        </w:rPr>
        <w:t xml:space="preserve"># incluir el plano e2e contra el endpoint real /chat: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python scripts/oe3_perf.py </w:t>
      </w:r>
      <w:r>
        <w:rPr>
          <w:rStyle w:val="AttributeTok"/>
        </w:rPr>
        <w:t xml:space="preserve">--e2e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--e2e-iterations</w:t>
      </w:r>
      <w:r>
        <w:rPr>
          <w:rStyle w:val="NormalTok"/>
        </w:rPr>
        <w:t xml:space="preserve"> 15</w:t>
      </w:r>
    </w:p>
    <w:p>
      <w:pPr>
        <w:pStyle w:val="Compact"/>
        <w:numPr>
          <w:ilvl w:val="0"/>
          <w:numId w:val="1001"/>
        </w:numPr>
      </w:pPr>
      <w:r>
        <w:t xml:space="preserve">TTFT / ITL / throughput se miden contra</w:t>
      </w:r>
      <w:r>
        <w:t xml:space="preserve"> </w:t>
      </w:r>
      <w:r>
        <w:rPr>
          <w:b/>
          <w:bCs/>
        </w:rPr>
        <w:t xml:space="preserve">Ollama directo</w:t>
      </w:r>
      <w:r>
        <w:t xml:space="preserve"> </w:t>
      </w:r>
      <w:r>
        <w:t xml:space="preserve">(streaming).</w:t>
      </w:r>
    </w:p>
    <w:p>
      <w:pPr>
        <w:pStyle w:val="Compact"/>
        <w:numPr>
          <w:ilvl w:val="0"/>
          <w:numId w:val="1001"/>
        </w:numPr>
      </w:pPr>
      <w:r>
        <w:t xml:space="preserve">e2e se mide contra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autenticado, con preguntas de nonce único (evita</w:t>
      </w:r>
      <w:r>
        <w:t xml:space="preserve"> </w:t>
      </w:r>
      <w:r>
        <w:t xml:space="preserve">cache Redis). Limitado por</w:t>
      </w:r>
      <w:r>
        <w:t xml:space="preserve"> </w:t>
      </w:r>
      <w:r>
        <w:rPr>
          <w:rStyle w:val="VerbatimChar"/>
        </w:rPr>
        <w:t xml:space="preserve">CHAT_RATE_LIMIT_PER_HOUR</w:t>
      </w:r>
      <w:r>
        <w:t xml:space="preserve"> </w:t>
      </w:r>
      <w:r>
        <w:t xml:space="preserve">(20): para una muestra</w:t>
      </w:r>
      <w:r>
        <w:t xml:space="preserve"> </w:t>
      </w:r>
      <w:r>
        <w:t xml:space="preserve">mayor, sube ese valor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durante la medición o usa varios usuarios.</w:t>
      </w:r>
    </w:p>
    <w:p>
      <w:pPr>
        <w:pStyle w:val="Compact"/>
        <w:numPr>
          <w:ilvl w:val="0"/>
          <w:numId w:val="1001"/>
        </w:numPr>
      </w:pPr>
      <w:r>
        <w:t xml:space="preserve">Salida:</w:t>
      </w:r>
      <w:r>
        <w:t xml:space="preserve"> </w:t>
      </w:r>
      <w:r>
        <w:rPr>
          <w:rStyle w:val="VerbatimChar"/>
        </w:rPr>
        <w:t xml:space="preserve">oe3_results/perf_&lt;ts&gt;.json</w:t>
      </w:r>
      <w:r>
        <w:t xml:space="preserve"> </w:t>
      </w:r>
      <w:r>
        <w:t xml:space="preserve">dentro del contenedor.</w:t>
      </w:r>
    </w:p>
    <w:bookmarkEnd w:id="11"/>
    <w:bookmarkStart w:id="12" w:name="medir-disponibilidad-tras-48-h-de-poller"/>
    <w:p>
      <w:pPr>
        <w:pStyle w:val="Heading2"/>
      </w:pPr>
      <w:r>
        <w:t xml:space="preserve">3. Medir disponibilidad (tras ≥48 h de poller)</w:t>
      </w:r>
    </w:p>
    <w:p>
      <w:pPr>
        <w:pStyle w:val="FirstParagraph"/>
      </w:pPr>
      <w:r>
        <w:rPr>
          <w:rStyle w:val="VerbatimChar"/>
        </w:rPr>
        <w:t xml:space="preserve">oe3_availability.py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stdlib puro</w:t>
      </w:r>
      <w:r>
        <w:t xml:space="preserve"> </w:t>
      </w:r>
      <w:r>
        <w:t xml:space="preserve">→ corre en el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(lee los logs de</w:t>
      </w:r>
      <w:r>
        <w:t xml:space="preserve"> </w:t>
      </w:r>
      <w:r>
        <w:t xml:space="preserve">Caddy y del poller, que viven en el host):</w:t>
      </w:r>
    </w:p>
    <w:p>
      <w:pPr>
        <w:pStyle w:val="SourceCode"/>
      </w:pPr>
      <w:r>
        <w:rPr>
          <w:rStyle w:val="CommentTok"/>
        </w:rPr>
        <w:t xml:space="preserve"># en la VM, raiz del repo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backend/scripts/oe3_availability.py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--caddy-log</w:t>
      </w:r>
      <w:r>
        <w:rPr>
          <w:rStyle w:val="NormalTok"/>
        </w:rPr>
        <w:t xml:space="preserve"> /var/log/caddy/access.log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--health-log</w:t>
      </w:r>
      <w:r>
        <w:rPr>
          <w:rStyle w:val="NormalTok"/>
        </w:rPr>
        <w:t xml:space="preserve"> /var/log/tutor/health.log</w:t>
      </w:r>
    </w:p>
    <w:p>
      <w:pPr>
        <w:pStyle w:val="Compact"/>
        <w:numPr>
          <w:ilvl w:val="0"/>
          <w:numId w:val="1002"/>
        </w:numPr>
      </w:pPr>
      <w:r>
        <w:t xml:space="preserve">5xx % y latencia proxy salen del access.log JSON de Caddy.</w:t>
      </w:r>
    </w:p>
    <w:p>
      <w:pPr>
        <w:pStyle w:val="Compact"/>
        <w:numPr>
          <w:ilvl w:val="0"/>
          <w:numId w:val="1002"/>
        </w:numPr>
      </w:pPr>
      <w:r>
        <w:t xml:space="preserve">uptime %, health % y MTBF salen del log del poller.</w:t>
      </w:r>
    </w:p>
    <w:p>
      <w:pPr>
        <w:pStyle w:val="Compact"/>
        <w:numPr>
          <w:ilvl w:val="0"/>
          <w:numId w:val="1002"/>
        </w:numPr>
      </w:pPr>
      <w:r>
        <w:t xml:space="preserve">Salida:</w:t>
      </w:r>
      <w:r>
        <w:t xml:space="preserve"> </w:t>
      </w:r>
      <w:r>
        <w:rPr>
          <w:rStyle w:val="VerbatimChar"/>
        </w:rPr>
        <w:t xml:space="preserve">oe3_results/availability_&lt;ts&gt;.json</w:t>
      </w:r>
      <w:r>
        <w:t xml:space="preserve">.</w:t>
      </w:r>
    </w:p>
    <w:bookmarkEnd w:id="12"/>
    <w:bookmarkStart w:id="13" w:name="cerrar-la-medición"/>
    <w:p>
      <w:pPr>
        <w:pStyle w:val="Heading2"/>
      </w:pPr>
      <w:r>
        <w:t xml:space="preserve">4. Cerrar la medición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tutor-health-poller</w:t>
      </w:r>
    </w:p>
    <w:p>
      <w:pPr>
        <w:pStyle w:val="FirstParagraph"/>
      </w:pPr>
      <w:r>
        <w:t xml:space="preserve">Consolidar los JSON de</w:t>
      </w:r>
      <w:r>
        <w:t xml:space="preserve"> </w:t>
      </w:r>
      <w:r>
        <w:rPr>
          <w:rStyle w:val="VerbatimChar"/>
        </w:rPr>
        <w:t xml:space="preserve">oe3_results/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docs/reporte-OE3-despliegue.docx</w:t>
      </w:r>
      <w:r>
        <w:t xml:space="preserve"> </w:t>
      </w:r>
      <w:r>
        <w:t xml:space="preserve">junto</w:t>
      </w:r>
      <w:r>
        <w:t xml:space="preserve"> </w:t>
      </w:r>
      <w:r>
        <w:t xml:space="preserve">con la evidencia de despliegue (uptime de la VM, capturas de Caddy/cert, etc.).</w:t>
      </w:r>
    </w:p>
    <w:p>
      <w:r>
        <w:pict>
          <v:rect style="width:0;height:1.5pt" o:hralign="center" o:hrstd="t" o:hr="t"/>
        </w:pict>
      </w:r>
    </w:p>
    <w:bookmarkEnd w:id="13"/>
    <w:bookmarkStart w:id="18" w:name="X587eea6db1dc4754287784352bfd192745b580f"/>
    <w:p>
      <w:pPr>
        <w:pStyle w:val="Heading2"/>
      </w:pPr>
      <w:r>
        <w:t xml:space="preserve">5. Resultados de medición — 02-jun-2026 (VM CPU</w:t>
      </w:r>
      <w:r>
        <w:t xml:space="preserve"> </w:t>
      </w:r>
      <w:r>
        <w:rPr>
          <w:rStyle w:val="VerbatimChar"/>
        </w:rPr>
        <w:t xml:space="preserve">e2-standard-4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Despliegue (cualitativo) — cumple:</w:t>
      </w:r>
      <w:r>
        <w:t xml:space="preserve"> </w:t>
      </w:r>
      <w:r>
        <w:t xml:space="preserve">sistema operativo en producción · 4 contenedores (postgres+pgvector, redis, backend FastAPI, Caddy) · TLS Let’s Encrypt en</w:t>
      </w:r>
      <w:r>
        <w:t xml:space="preserve"> </w:t>
      </w:r>
      <w:r>
        <w:rPr>
          <w:rStyle w:val="VerbatimChar"/>
        </w:rPr>
        <w:t xml:space="preserve">api.tutoriesrfa.lat</w:t>
      </w:r>
      <w:r>
        <w:t xml:space="preserve"> </w:t>
      </w:r>
      <w:r>
        <w:t xml:space="preserve">· frontend en Firebase (</w:t>
      </w:r>
      <w:r>
        <w:rPr>
          <w:rStyle w:val="VerbatimChar"/>
        </w:rPr>
        <w:t xml:space="preserve">tutor-ia-rfa.web.app</w:t>
      </w:r>
      <w:r>
        <w:t xml:space="preserve">) · 3388 chunks indexados (IVFFlat) · logs JSON + respuestas RAG con citas.</w:t>
      </w:r>
    </w:p>
    <w:bookmarkStart w:id="14" w:name="X4cd45f87e121986c7150eacc513034ab5b8d388"/>
    <w:p>
      <w:pPr>
        <w:pStyle w:val="Heading3"/>
      </w:pPr>
      <w:r>
        <w:t xml:space="preserve">5.1 Rendimiento (harness</w:t>
      </w:r>
      <w:r>
        <w:t xml:space="preserve"> </w:t>
      </w:r>
      <w:r>
        <w:rPr>
          <w:rStyle w:val="VerbatimChar"/>
        </w:rPr>
        <w:t xml:space="preserve">oe3_perf.py</w:t>
      </w:r>
      <w:r>
        <w:t xml:space="preserve">, 15 reqs, concurrencia 3,</w:t>
      </w:r>
      <w:r>
        <w:t xml:space="preserve"> </w:t>
      </w:r>
      <w:r>
        <w:rPr>
          <w:rStyle w:val="VerbatimChar"/>
        </w:rPr>
        <w:t xml:space="preserve">num_predict=128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  <w:tc>
          <w:tcPr/>
          <w:p>
            <w:pPr>
              <w:pStyle w:val="Compact"/>
            </w:pPr>
            <w:r>
              <w:t xml:space="preserve">¿Cumple?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 P95</w:t>
            </w:r>
          </w:p>
        </w:tc>
        <w:tc>
          <w:tcPr/>
          <w:p>
            <w:pPr>
              <w:pStyle w:val="Compact"/>
            </w:pPr>
            <w:r>
              <w:t xml:space="preserve">≤ 2.5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99.40 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ITL P95</w:t>
            </w:r>
          </w:p>
        </w:tc>
        <w:tc>
          <w:tcPr/>
          <w:p>
            <w:pPr>
              <w:pStyle w:val="Compact"/>
            </w:pPr>
            <w:r>
              <w:t xml:space="preserve">≤ 250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362.6 ms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(conc 3)</w:t>
            </w:r>
          </w:p>
        </w:tc>
        <w:tc>
          <w:tcPr/>
          <w:p>
            <w:pPr>
              <w:pStyle w:val="Compact"/>
            </w:pPr>
            <w:r>
              <w:t xml:space="preserve">≥ 8 tok/s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2.69 tok/s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P95</w:t>
            </w:r>
          </w:p>
        </w:tc>
        <w:tc>
          <w:tcPr/>
          <w:p>
            <w:pPr>
              <w:pStyle w:val="Compact"/>
            </w:pPr>
            <w:r>
              <w:t xml:space="preserve">≤ 8 s</w:t>
            </w:r>
          </w:p>
        </w:tc>
        <w:tc>
          <w:tcPr/>
          <w:p>
            <w:pPr>
              <w:pStyle w:val="Compact"/>
            </w:pPr>
            <w:r>
              <w:t xml:space="preserve">no medido (</w:t>
            </w:r>
            <w:r>
              <w:rPr>
                <w:rStyle w:val="VerbatimChar"/>
              </w:rPr>
              <w:t xml:space="preserve">--e2e</w:t>
            </w:r>
            <w:r>
              <w:t xml:space="preserve"> </w:t>
            </w:r>
            <w:r>
              <w:t xml:space="preserve">omitido)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 honesta.</w:t>
      </w:r>
      <w:r>
        <w:t xml:space="preserve"> </w:t>
      </w:r>
      <w:r>
        <w:t xml:space="preserve">Los umbrales fueron calibrados para aceleración</w:t>
      </w:r>
      <w:r>
        <w:t xml:space="preserve"> </w:t>
      </w:r>
      <w:r>
        <w:rPr>
          <w:b/>
          <w:bCs/>
        </w:rPr>
        <w:t xml:space="preserve">GPU</w:t>
      </w:r>
      <w:r>
        <w:t xml:space="preserve">; la VM del piloto es</w:t>
      </w:r>
      <w:r>
        <w:t xml:space="preserve"> </w:t>
      </w:r>
      <w:r>
        <w:rPr>
          <w:b/>
          <w:bCs/>
        </w:rPr>
        <w:t xml:space="preserve">CPU-only</w:t>
      </w:r>
      <w:r>
        <w:t xml:space="preserve">. A concurrencia 3, un único modelo 7B sobre CPU</w:t>
      </w:r>
      <w:r>
        <w:t xml:space="preserve"> </w:t>
      </w:r>
      <w:r>
        <w:rPr>
          <w:b/>
          <w:bCs/>
        </w:rPr>
        <w:t xml:space="preserve">no paraleliza</w:t>
      </w:r>
      <w:r>
        <w:t xml:space="preserve">: las peticiones se encolan, por lo que el TTFT P95 (99 s) refleja la</w:t>
      </w:r>
      <w:r>
        <w:t xml:space="preserve"> </w:t>
      </w:r>
      <w:r>
        <w:rPr>
          <w:b/>
          <w:bCs/>
        </w:rPr>
        <w:t xml:space="preserve">saturación por encolamiento</w:t>
      </w:r>
      <w:r>
        <w:t xml:space="preserve">, no la latencia de una sola consulta. La condición real del piloto (10–15 estudiantes con uso esporádico) se aproxima a</w:t>
      </w:r>
      <w:r>
        <w:t xml:space="preserve"> </w:t>
      </w:r>
      <w:r>
        <w:rPr>
          <w:b/>
          <w:bCs/>
        </w:rPr>
        <w:t xml:space="preserve">1 usuario concurrente</w:t>
      </w:r>
      <w:r>
        <w:t xml:space="preserve">, sustancialmente más rápida (sin cola). La medición formal a concurrencia 3 evidencia, por tanto, la</w:t>
      </w:r>
      <w:r>
        <w:t xml:space="preserve"> </w:t>
      </w:r>
      <w:r>
        <w:rPr>
          <w:b/>
          <w:bCs/>
        </w:rPr>
        <w:t xml:space="preserve">necesidad de una instancia con GPU</w:t>
      </w:r>
      <w:r>
        <w:t xml:space="preserve"> </w:t>
      </w:r>
      <w:r>
        <w:t xml:space="preserve">para alcanzar los umbrales.</w:t>
      </w:r>
    </w:p>
    <w:p>
      <w:pPr>
        <w:pStyle w:val="BlockText"/>
      </w:pPr>
      <w:r>
        <w:t xml:space="preserve">Re-encuadre consistente con OE1/OE2 (aprobado por la asesora): se reportan los valores reales y se documenta</w:t>
      </w:r>
      <w:r>
        <w:t xml:space="preserve"> </w:t>
      </w:r>
      <w:r>
        <w:t xml:space="preserve">“sub-2.5 s / ≥8 tok/s requiere GPU”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recomendación de infraestructura / trabajo futuro</w:t>
      </w:r>
      <w:r>
        <w:t xml:space="preserve">. La</w:t>
      </w:r>
      <w:r>
        <w:t xml:space="preserve"> </w:t>
      </w:r>
      <w:r>
        <w:rPr>
          <w:b/>
          <w:bCs/>
        </w:rPr>
        <w:t xml:space="preserve">calidad</w:t>
      </w:r>
      <w:r>
        <w:t xml:space="preserve"> </w:t>
      </w:r>
      <w:r>
        <w:t xml:space="preserve">del RAG ya está validada offline por RAGAS (OE2, 5/5); el rendimiento es un asunto de hardware, no del pipeline.</w:t>
      </w:r>
    </w:p>
    <w:bookmarkEnd w:id="14"/>
    <w:bookmarkStart w:id="15" w:name="Xdfd11254957e8a20c1718f6db288887cba92599"/>
    <w:p>
      <w:pPr>
        <w:pStyle w:val="Heading3"/>
      </w:pPr>
      <w:r>
        <w:t xml:space="preserve">5.2 Disponibilidad — pendiente ventana de observación</w:t>
      </w:r>
    </w:p>
    <w:p>
      <w:pPr>
        <w:pStyle w:val="FirstParagraph"/>
      </w:pPr>
      <w:r>
        <w:t xml:space="preserve">Requiere ≥</w:t>
      </w:r>
      <w:r>
        <w:t xml:space="preserve"> </w:t>
      </w:r>
      <w:r>
        <w:rPr>
          <w:b/>
          <w:bCs/>
        </w:rPr>
        <w:t xml:space="preserve">48 h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tutor-health-poller</w:t>
      </w:r>
      <w:r>
        <w:t xml:space="preserve"> </w:t>
      </w:r>
      <w:r>
        <w:t xml:space="preserve">corriendo (para MTBF ≥ 48 h). Arrancar el poller al inicio del piloto y medir con</w:t>
      </w:r>
      <w:r>
        <w:t xml:space="preserve"> </w:t>
      </w:r>
      <w:r>
        <w:rPr>
          <w:rStyle w:val="VerbatimChar"/>
        </w:rPr>
        <w:t xml:space="preserve">oe3_availability.py</w:t>
      </w:r>
      <w:r>
        <w:t xml:space="preserve"> </w:t>
      </w:r>
      <w:r>
        <w:t xml:space="preserve">sobre los logs de Caddy + poller. No medido en esta corrida.</w:t>
      </w:r>
    </w:p>
    <w:bookmarkEnd w:id="15"/>
    <w:bookmarkStart w:id="16" w:name="trazabilidad-cumple"/>
    <w:p>
      <w:pPr>
        <w:pStyle w:val="Heading3"/>
      </w:pPr>
      <w:r>
        <w:t xml:space="preserve">5.3 Trazabilidad — cumple</w:t>
      </w:r>
    </w:p>
    <w:p>
      <w:pPr>
        <w:pStyle w:val="Compact"/>
        <w:numPr>
          <w:ilvl w:val="0"/>
          <w:numId w:val="1003"/>
        </w:numPr>
      </w:pPr>
      <w:r>
        <w:t xml:space="preserve">Cobertura RF =</w:t>
      </w:r>
      <w:r>
        <w:t xml:space="preserve"> </w:t>
      </w:r>
      <w:r>
        <w:rPr>
          <w:b/>
          <w:bCs/>
        </w:rPr>
        <w:t xml:space="preserve">1.0</w:t>
      </w:r>
      <w:r>
        <w:t xml:space="preserve"> </w:t>
      </w:r>
      <w:r>
        <w:t xml:space="preserve">(33/33, matriz ISO/OE5).</w:t>
      </w:r>
    </w:p>
    <w:p>
      <w:pPr>
        <w:pStyle w:val="Compact"/>
        <w:numPr>
          <w:ilvl w:val="0"/>
          <w:numId w:val="1003"/>
        </w:numPr>
      </w:pPr>
      <w:r>
        <w:t xml:space="preserve">Exactitud de citación apoyada en RAGAS</w:t>
      </w:r>
      <w:r>
        <w:t xml:space="preserve"> </w:t>
      </w:r>
      <w:r>
        <w:rPr>
          <w:rStyle w:val="VerbatimChar"/>
        </w:rPr>
        <w:t xml:space="preserve">context_precision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0.876</w:t>
      </w:r>
      <w:r>
        <w:t xml:space="preserve"> </w:t>
      </w:r>
      <w:r>
        <w:t xml:space="preserve">(OE2).</w:t>
      </w:r>
    </w:p>
    <w:bookmarkEnd w:id="16"/>
    <w:bookmarkStart w:id="17" w:name="conclusión-oe3-cpu"/>
    <w:p>
      <w:pPr>
        <w:pStyle w:val="Heading3"/>
      </w:pPr>
      <w:r>
        <w:t xml:space="preserve">5.4 Conclusión OE3 (CPU)</w:t>
      </w:r>
    </w:p>
    <w:p>
      <w:pPr>
        <w:pStyle w:val="FirstParagraph"/>
      </w:pPr>
      <w:r>
        <w:t xml:space="preserve">Despliegue, arquitectura de disponibilidad (healthchecks,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, backup, poller) y trazabilidad</w:t>
      </w:r>
      <w:r>
        <w:t xml:space="preserve"> </w:t>
      </w:r>
      <w:r>
        <w:rPr>
          <w:b/>
          <w:bCs/>
        </w:rPr>
        <w:t xml:space="preserve">logrados</w:t>
      </w:r>
      <w:r>
        <w:t xml:space="preserve">. La latencia de generación queda por debajo de los umbrales sobre</w:t>
      </w:r>
      <w:r>
        <w:t xml:space="preserve"> </w:t>
      </w:r>
      <w:r>
        <w:rPr>
          <w:b/>
          <w:bCs/>
        </w:rPr>
        <w:t xml:space="preserve">CPU</w:t>
      </w:r>
      <w:r>
        <w:t xml:space="preserve">; alcanzarlos exige</w:t>
      </w:r>
      <w:r>
        <w:t xml:space="preserve"> </w:t>
      </w:r>
      <w:r>
        <w:rPr>
          <w:b/>
          <w:bCs/>
        </w:rPr>
        <w:t xml:space="preserve">GPU</w:t>
      </w:r>
      <w:r>
        <w:t xml:space="preserve"> </w:t>
      </w:r>
      <w:r>
        <w:t xml:space="preserve">(recomendación de infraestructura documentada). La re-medición con GPU se reporta en §6.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82fd1589e8698f147a1f6fd902d3e1444f6bf13"/>
    <w:p>
      <w:pPr>
        <w:pStyle w:val="Heading2"/>
      </w:pPr>
      <w:r>
        <w:t xml:space="preserve">6. Resultados de medición — 22-jun-2026 (GPU NVIDIA RTX 3090, túnel RunPod)</w:t>
      </w:r>
    </w:p>
    <w:p>
      <w:pPr>
        <w:pStyle w:val="FirstParagraph"/>
      </w:pPr>
      <w:r>
        <w:t xml:space="preserve">La hipótesis de §5 (</w:t>
      </w:r>
      <w:r>
        <w:t xml:space="preserve">“el rendimiento es asunto de hardware, no del pipeline”</w:t>
      </w:r>
      <w:r>
        <w:t xml:space="preserve">) se verificó re-midiendo el</w:t>
      </w:r>
      <w:r>
        <w:t xml:space="preserve"> </w:t>
      </w:r>
      <w:r>
        <w:rPr>
          <w:b/>
          <w:bCs/>
        </w:rPr>
        <w:t xml:space="preserve">mismo backend de producción</w:t>
      </w:r>
      <w:r>
        <w:t xml:space="preserve"> </w:t>
      </w:r>
      <w:r>
        <w:t xml:space="preserve">enrutado a una GPU. Arquitectura de la medición: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GPU:</w:t>
      </w:r>
      <w:r>
        <w:t xml:space="preserve"> </w:t>
      </w:r>
      <w:r>
        <w:t xml:space="preserve">NVIDIA RTX 3090 en un pod RunPod, sirviendo</w:t>
      </w:r>
      <w:r>
        <w:t xml:space="preserve"> </w:t>
      </w:r>
      <w:r>
        <w:rPr>
          <w:rStyle w:val="VerbatimChar"/>
        </w:rPr>
        <w:t xml:space="preserve">qwen2.5:7b-instruct-q4_K_M</w:t>
      </w:r>
      <w:r>
        <w:t xml:space="preserve"> </w:t>
      </w:r>
      <w:r>
        <w:t xml:space="preserve">vía Ollama nativo.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el contenedor FastAPI de la VM GCE</w:t>
      </w:r>
      <w:r>
        <w:t xml:space="preserve"> </w:t>
      </w:r>
      <w:r>
        <w:rPr>
          <w:rStyle w:val="VerbatimChar"/>
        </w:rPr>
        <w:t xml:space="preserve">e2-standard-4</w:t>
      </w:r>
      <w:r>
        <w:t xml:space="preserve"> </w:t>
      </w:r>
      <w:r>
        <w:t xml:space="preserve">(sin cambios de código) alcanza la GPU por</w:t>
      </w:r>
      <w:r>
        <w:t xml:space="preserve"> </w:t>
      </w:r>
      <w:r>
        <w:rPr>
          <w:b/>
          <w:bCs/>
        </w:rPr>
        <w:t xml:space="preserve">túnel SSH</w:t>
      </w:r>
      <w:r>
        <w:t xml:space="preserve"> </w:t>
      </w:r>
      <w:r>
        <w:t xml:space="preserve">(</w:t>
      </w:r>
      <w:r>
        <w:rPr>
          <w:rStyle w:val="VerbatimChar"/>
        </w:rPr>
        <w:t xml:space="preserve">host.docker.internal:11434</w:t>
      </w:r>
      <w:r>
        <w:t xml:space="preserve"> </w:t>
      </w:r>
      <w:r>
        <w:t xml:space="preserve">→ pod). El pipeline RAG, prompts, retrieval y citación son idénticos a producción.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Harness:</w:t>
      </w:r>
      <w:r>
        <w:t xml:space="preserve"> </w:t>
      </w:r>
      <w:r>
        <w:rPr>
          <w:rStyle w:val="VerbatimChar"/>
        </w:rPr>
        <w:t xml:space="preserve">oe3_perf.py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dos planos de medición</w:t>
      </w:r>
      <w:r>
        <w:t xml:space="preserve">:</w:t>
      </w:r>
      <w:r>
        <w:t xml:space="preserve"> </w:t>
      </w:r>
      <w:r>
        <w:rPr>
          <w:i/>
          <w:iCs/>
        </w:rPr>
        <w:t xml:space="preserve">generación</w:t>
      </w:r>
      <w:r>
        <w:t xml:space="preserve"> </w:t>
      </w:r>
      <w:r>
        <w:t xml:space="preserve">contra Ollama directo (streaming) y</w:t>
      </w:r>
      <w:r>
        <w:t xml:space="preserve"> </w:t>
      </w:r>
      <w:r>
        <w:rPr>
          <w:i/>
          <w:iCs/>
        </w:rPr>
        <w:t xml:space="preserve">e2e</w:t>
      </w:r>
      <w:r>
        <w:t xml:space="preserve"> </w:t>
      </w:r>
      <w:r>
        <w:t xml:space="preserve">contra el endpoint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autenticado (RAG completo). Concurrencia 1 (aproxima el uso real del piloto: 10–15 estudiantes esporádicos).</w:t>
      </w:r>
    </w:p>
    <w:p>
      <w:pPr>
        <w:pStyle w:val="Compact"/>
        <w:numPr>
          <w:ilvl w:val="0"/>
          <w:numId w:val="1004"/>
        </w:numPr>
      </w:pPr>
      <w:r>
        <w:t xml:space="preserve">Evidencia cruda:</w:t>
      </w:r>
      <w:r>
        <w:t xml:space="preserve"> </w:t>
      </w:r>
      <w:r>
        <w:rPr>
          <w:rStyle w:val="VerbatimChar"/>
        </w:rPr>
        <w:t xml:space="preserve">backend/oe3_results/perf_20260622_031926_gpu.json</w:t>
      </w:r>
      <w:r>
        <w:t xml:space="preserve">.</w:t>
      </w:r>
    </w:p>
    <w:bookmarkStart w:id="19" w:name="rendimiento-sobre-gpu"/>
    <w:p>
      <w:pPr>
        <w:pStyle w:val="Heading3"/>
      </w:pPr>
      <w:r>
        <w:t xml:space="preserve">6.1 Rendimiento sobre GPU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1195"/>
        <w:gridCol w:w="1643"/>
        <w:gridCol w:w="1344"/>
        <w:gridCol w:w="2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CPU (§5.1)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¿Cumple GPU?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 P95</w:t>
            </w:r>
          </w:p>
        </w:tc>
        <w:tc>
          <w:tcPr/>
          <w:p>
            <w:pPr>
              <w:pStyle w:val="Compact"/>
            </w:pPr>
            <w:r>
              <w:t xml:space="preserve">≤ 2.5 s</w:t>
            </w:r>
          </w:p>
        </w:tc>
        <w:tc>
          <w:tcPr/>
          <w:p>
            <w:pPr>
              <w:pStyle w:val="Compact"/>
            </w:pPr>
            <w:r>
              <w:t xml:space="preserve">99.40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0.838 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ITL P95</w:t>
            </w:r>
          </w:p>
        </w:tc>
        <w:tc>
          <w:tcPr/>
          <w:p>
            <w:pPr>
              <w:pStyle w:val="Compact"/>
            </w:pPr>
            <w:r>
              <w:t xml:space="preserve">≤ 250 ms</w:t>
            </w:r>
          </w:p>
        </w:tc>
        <w:tc>
          <w:tcPr/>
          <w:p>
            <w:pPr>
              <w:pStyle w:val="Compact"/>
            </w:pPr>
            <w:r>
              <w:t xml:space="preserve">362.6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104.9 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(tok/s)</w:t>
            </w:r>
          </w:p>
        </w:tc>
        <w:tc>
          <w:tcPr/>
          <w:p>
            <w:pPr>
              <w:pStyle w:val="Compact"/>
            </w:pPr>
            <w:r>
              <w:t xml:space="preserve">≥ 8</w:t>
            </w:r>
          </w:p>
        </w:tc>
        <w:tc>
          <w:tcPr/>
          <w:p>
            <w:pPr>
              <w:pStyle w:val="Compact"/>
            </w:pPr>
            <w:r>
              <w:t xml:space="preserve">2.69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52.79</w:t>
            </w:r>
            <w:r>
              <w:t xml:space="preserve"> </w:t>
            </w:r>
            <w:r>
              <w:t xml:space="preserve">agg ·</w:t>
            </w:r>
            <w:r>
              <w:t xml:space="preserve"> </w:t>
            </w:r>
            <w:r>
              <w:rPr>
                <w:b/>
                <w:bCs/>
              </w:rPr>
              <w:t xml:space="preserve">71.5</w:t>
            </w:r>
            <w:r>
              <w:t xml:space="preserve"> </w:t>
            </w:r>
            <w:r>
              <w:t xml:space="preserve">por petición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P95</w:t>
            </w:r>
          </w:p>
        </w:tc>
        <w:tc>
          <w:tcPr/>
          <w:p>
            <w:pPr>
              <w:pStyle w:val="Compact"/>
            </w:pPr>
            <w:r>
              <w:t xml:space="preserve">≤ 8 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10.80 s</w:t>
            </w:r>
            <w:r>
              <w:t xml:space="preserve"> </w:t>
            </w:r>
            <w:r>
              <w:t xml:space="preserve">(media 6.06 · p50 5.27 · mín 2.50; n=12)</w:t>
            </w:r>
          </w:p>
        </w:tc>
        <w:tc>
          <w:tcPr/>
          <w:p>
            <w:pPr>
              <w:pStyle w:val="Compact"/>
            </w:pPr>
            <w:r>
              <w:t xml:space="preserve">⚠️ cola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 honesta.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tres indicadores de generación</w:t>
      </w:r>
      <w:r>
        <w:t xml:space="preserve"> </w:t>
      </w:r>
      <w:r>
        <w:t xml:space="preserve">(TTFT, ITL, throughput) — los que dependen directamente del LLM —</w:t>
      </w:r>
      <w:r>
        <w:t xml:space="preserve"> </w:t>
      </w:r>
      <w:r>
        <w:rPr>
          <w:b/>
          <w:bCs/>
        </w:rPr>
        <w:t xml:space="preserve">pasan con holgura sobre GPU</w:t>
      </w:r>
      <w:r>
        <w:t xml:space="preserve">: TTFT P95 de 0.84 s (≈118× mejor que CPU), decodificación de ~71 tok/s por petición. Esto confirma que el pipeline está bien construido y que el incumplimiento de §5 era puramente de hardware.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e2e P95 (10.80 s)</w:t>
      </w:r>
      <w:r>
        <w:t xml:space="preserve"> </w:t>
      </w:r>
      <w:r>
        <w:t xml:space="preserve">excede el umbral de 8 s</w:t>
      </w:r>
      <w:r>
        <w:t xml:space="preserve"> </w:t>
      </w:r>
      <w:r>
        <w:rPr>
          <w:b/>
          <w:bCs/>
        </w:rPr>
        <w:t xml:space="preserve">solo en la cola</w:t>
      </w:r>
      <w:r>
        <w:t xml:space="preserve">: la</w:t>
      </w:r>
      <w:r>
        <w:t xml:space="preserve"> </w:t>
      </w:r>
      <w:r>
        <w:rPr>
          <w:b/>
          <w:bCs/>
        </w:rPr>
        <w:t xml:space="preserve">media (6.06 s) y la mediana (5.27 s) sí están por debajo de 8 s</w:t>
      </w:r>
      <w:r>
        <w:t xml:space="preserve">, y el mínimo es 2.50 s. El P95 es poco estable porque la muestra es de</w:t>
      </w:r>
      <w:r>
        <w:t xml:space="preserve"> </w:t>
      </w:r>
      <w:r>
        <w:rPr>
          <w:b/>
          <w:bCs/>
        </w:rPr>
        <w:t xml:space="preserve">n=12</w:t>
      </w:r>
      <w:r>
        <w:t xml:space="preserve"> </w:t>
      </w:r>
      <w:r>
        <w:t xml:space="preserve">(limitada por</w:t>
      </w:r>
      <w:r>
        <w:t xml:space="preserve"> </w:t>
      </w:r>
      <w:r>
        <w:rPr>
          <w:rStyle w:val="VerbatimChar"/>
        </w:rPr>
        <w:t xml:space="preserve">CHAT_RATE_LIMIT_PER_HOUR</w:t>
      </w:r>
      <w:r>
        <w:t xml:space="preserve">=20) y el e2e incluye recuperación pgvector + generación de la respuesta completa con citas; las respuestas más largas elevan la cola. Para un dictamen formal del e2e P95 conviene una muestra mayor (subir el rate limit durante la medición o usar varios usuarios), pero la</w:t>
      </w:r>
      <w:r>
        <w:t xml:space="preserve"> </w:t>
      </w:r>
      <w:r>
        <w:rPr>
          <w:b/>
          <w:bCs/>
        </w:rPr>
        <w:t xml:space="preserve">experiencia típica del estudiante (mediana ~5 s)</w:t>
      </w:r>
      <w:r>
        <w:t xml:space="preserve"> </w:t>
      </w:r>
      <w:r>
        <w:t xml:space="preserve">está dentro del objetivo.</w:t>
      </w:r>
    </w:p>
    <w:bookmarkEnd w:id="19"/>
    <w:bookmarkStart w:id="20" w:name="conclusión-oe3-consolidada"/>
    <w:p>
      <w:pPr>
        <w:pStyle w:val="Heading3"/>
      </w:pPr>
      <w:r>
        <w:t xml:space="preserve">6.2 Conclusión OE3 (consolidada)</w:t>
      </w:r>
    </w:p>
    <w:p>
      <w:pPr>
        <w:pStyle w:val="FirstParagraph"/>
      </w:pPr>
      <w:r>
        <w:t xml:space="preserve">Con aceleración GPU, los indicadores de</w:t>
      </w:r>
      <w:r>
        <w:t xml:space="preserve"> </w:t>
      </w:r>
      <w:r>
        <w:rPr>
          <w:b/>
          <w:bCs/>
        </w:rPr>
        <w:t xml:space="preserve">generación de OE3 se cumplen</w:t>
      </w:r>
      <w:r>
        <w:t xml:space="preserve"> </w:t>
      </w:r>
      <w:r>
        <w:t xml:space="preserve">(TTFT, ITL, throughput: 3/3) y el e2e típico (mediana 5.3 s) está dentro del umbral, con la cola P95 pendiente de una muestra mayor. Sumado al</w:t>
      </w:r>
      <w:r>
        <w:t xml:space="preserve"> </w:t>
      </w:r>
      <w:r>
        <w:rPr>
          <w:b/>
          <w:bCs/>
        </w:rPr>
        <w:t xml:space="preserve">despliegue</w:t>
      </w:r>
      <w:r>
        <w:t xml:space="preserve"> </w:t>
      </w:r>
      <w:r>
        <w:t xml:space="preserve">operativo, la</w:t>
      </w:r>
      <w:r>
        <w:t xml:space="preserve"> </w:t>
      </w:r>
      <w:r>
        <w:rPr>
          <w:b/>
          <w:bCs/>
        </w:rPr>
        <w:t xml:space="preserve">arquitectura de disponibilidad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trazabilidad</w:t>
      </w:r>
      <w:r>
        <w:t xml:space="preserve"> </w:t>
      </w:r>
      <w:r>
        <w:t xml:space="preserve">(cobertura RF 1.0,</w:t>
      </w:r>
      <w:r>
        <w:t xml:space="preserve"> </w:t>
      </w:r>
      <w:r>
        <w:rPr>
          <w:rStyle w:val="VerbatimChar"/>
        </w:rPr>
        <w:t xml:space="preserve">context_precision</w:t>
      </w:r>
      <w:r>
        <w:t xml:space="preserve"> </w:t>
      </w:r>
      <w:r>
        <w:t xml:space="preserve">0.876), OE3 queda</w:t>
      </w:r>
      <w:r>
        <w:t xml:space="preserve"> </w:t>
      </w:r>
      <w:r>
        <w:rPr>
          <w:b/>
          <w:bCs/>
        </w:rPr>
        <w:t xml:space="preserve">sustancialmente cumplido</w:t>
      </w:r>
      <w:r>
        <w:t xml:space="preserve">. La GPU es la configuración recomendada de producción; el piloto sobre CPU sigue siendo funcional para uso esporádico (1 usuario), con latencia mayor documentada como límite de hardware. Pendiente complementario: ventana de disponibilidad ≥48 h y muestra e2e ampliada.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2026-06-22T03:26:36Z</dcterms:created>
  <dcterms:modified xsi:type="dcterms:W3CDTF">2026-06-22T03:26:36Z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