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2b59159850b4e8b1d51453d7fbcedce7019650"/>
    <w:p>
      <w:pPr>
        <w:pStyle w:val="Heading1"/>
      </w:pPr>
      <w:r>
        <w:t xml:space="preserve">Reporte de Validación Final — Consolidación de los 5 OE</w:t>
      </w:r>
    </w:p>
    <w:p>
      <w:pPr>
        <w:pStyle w:val="FirstParagraph"/>
      </w:pPr>
      <w:r>
        <w:rPr>
          <w:b/>
          <w:bCs/>
        </w:rPr>
        <w:t xml:space="preserve">Tesis:</w:t>
      </w:r>
      <w:r>
        <w:t xml:space="preserve"> </w:t>
      </w:r>
      <w:r>
        <w:t xml:space="preserve">Tutor con IA generativa para Aplicaciones Móviles — IESTP</w:t>
      </w:r>
      <w:r>
        <w:t xml:space="preserve"> </w:t>
      </w:r>
      <w:r>
        <w:t xml:space="preserve">“República Federal de Alemania”</w:t>
      </w:r>
      <w:r>
        <w:t xml:space="preserve"> </w:t>
      </w:r>
      <w:r>
        <w:rPr>
          <w:b/>
          <w:bCs/>
        </w:rPr>
        <w:t xml:space="preserve">Autor:</w:t>
      </w:r>
      <w:r>
        <w:t xml:space="preserve"> </w:t>
      </w:r>
      <w:r>
        <w:t xml:space="preserve">Roger Alessandro Zavaleta Marcelo ·</w:t>
      </w:r>
      <w:r>
        <w:t xml:space="preserve"> </w:t>
      </w:r>
      <w:r>
        <w:rPr>
          <w:b/>
          <w:bCs/>
        </w:rPr>
        <w:t xml:space="preserve">Asesora:</w:t>
      </w:r>
      <w:r>
        <w:t xml:space="preserve"> </w:t>
      </w:r>
      <w:r>
        <w:t xml:space="preserve">Mg. Reyes Burgos, Karla (USAT)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22-jun-2026 (rev. OE3 GPU)</w:t>
      </w:r>
    </w:p>
    <w:p>
      <w:pPr>
        <w:pStyle w:val="BodyText"/>
      </w:pPr>
      <w:r>
        <w:t xml:space="preserve">Este documento consolida el estado de validación de los cinco objetivos específicos. Se reporta con criterio de</w:t>
      </w:r>
      <w:r>
        <w:t xml:space="preserve"> </w:t>
      </w:r>
      <w:r>
        <w:rPr>
          <w:b/>
          <w:bCs/>
        </w:rPr>
        <w:t xml:space="preserve">honestidad académica</w:t>
      </w:r>
      <w:r>
        <w:t xml:space="preserve">: lo validado se marca como tal; lo pendiente (dictamen de jueces OE5) se declara explícitamente.</w:t>
      </w:r>
    </w:p>
    <w:p>
      <w:r>
        <w:pict>
          <v:rect style="width:0;height:1.5pt" o:hralign="center" o:hrstd="t" o:hr="t"/>
        </w:pict>
      </w:r>
    </w:p>
    <w:bookmarkStart w:id="9" w:name="resumen-ejecutivo"/>
    <w:p>
      <w:pPr>
        <w:pStyle w:val="Heading2"/>
      </w:pPr>
      <w:r>
        <w:t xml:space="preserve">Resumen ejecutivo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3780"/>
        <w:gridCol w:w="144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Enunciado (resumen)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OE1</w:t>
            </w:r>
          </w:p>
        </w:tc>
        <w:tc>
          <w:tcPr/>
          <w:p>
            <w:pPr>
              <w:pStyle w:val="Compact"/>
            </w:pPr>
            <w:r>
              <w:t xml:space="preserve">Selección de LLM + embeddings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Validado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reporte-LLM.docx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reporte-OE1-metricas-oficiales.md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OE2</w:t>
            </w:r>
          </w:p>
        </w:tc>
        <w:tc>
          <w:tcPr/>
          <w:p>
            <w:pPr>
              <w:pStyle w:val="Compact"/>
            </w:pPr>
            <w:r>
              <w:t xml:space="preserve">Validación RAGAS del pipeline RAG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Validado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reporte-RAGAS.md/.docx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OE3</w:t>
            </w:r>
          </w:p>
        </w:tc>
        <w:tc>
          <w:tcPr/>
          <w:p>
            <w:pPr>
              <w:pStyle w:val="Compact"/>
            </w:pPr>
            <w:r>
              <w:t xml:space="preserve">Despliegue en GCE (Docker) con rendimiento/disponibilidad/trazabilidad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Desplegado; rendimiento de generación cumple sobre GPU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oe3-medicion.md</w:t>
            </w:r>
            <w:r>
              <w:t xml:space="preserve"> </w:t>
            </w:r>
            <w:r>
              <w:t xml:space="preserve">§6, este doc §OE3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OE4</w:t>
            </w:r>
          </w:p>
        </w:tc>
        <w:tc>
          <w:tcPr/>
          <w:p>
            <w:pPr>
              <w:pStyle w:val="Compact"/>
            </w:pPr>
            <w:r>
              <w:t xml:space="preserve">Mejora del rendimiento académico (pretest/postest, t pareada)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Validado</w:t>
            </w:r>
            <w:r>
              <w:t xml:space="preserve"> </w:t>
            </w:r>
            <w:r>
              <w:t xml:space="preserve">(n=49; t(48)=14.85, p&lt;0.001; d=2.12)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reporte-rendimiento-academico.md/.docx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datos-pretest-postest.csv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OE5</w:t>
            </w:r>
          </w:p>
        </w:tc>
        <w:tc>
          <w:tcPr/>
          <w:p>
            <w:pPr>
              <w:pStyle w:val="Compact"/>
            </w:pPr>
            <w:r>
              <w:t xml:space="preserve">Adecuación funcional ISO/IEC 25010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  <w:r>
              <w:t xml:space="preserve"> </w:t>
            </w:r>
            <w:r>
              <w:rPr>
                <w:b/>
                <w:bCs/>
              </w:rPr>
              <w:t xml:space="preserve">Interno completo; dictamen 2 jueces pendiente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matriz-trazabilidad-ISO25010.md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reporte-ISO25010.md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oe1-selección-llm-embeddings"/>
    <w:p>
      <w:pPr>
        <w:pStyle w:val="Heading2"/>
      </w:pPr>
      <w:r>
        <w:t xml:space="preserve">OE1 — Selección LLM + embeddings ✅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Generación:</w:t>
      </w:r>
      <w:r>
        <w:t xml:space="preserve"> </w:t>
      </w:r>
      <w:r>
        <w:t xml:space="preserve">Accuracy 0.72 (≥0.70) · Likert media 4.325 (≥4.0), juez independiente</w:t>
      </w:r>
      <w:r>
        <w:t xml:space="preserve"> </w:t>
      </w:r>
      <w:r>
        <w:rPr>
          <w:rStyle w:val="VerbatimChar"/>
        </w:rPr>
        <w:t xml:space="preserve">llama3.1:8b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Recuperación:</w:t>
      </w:r>
      <w:r>
        <w:t xml:space="preserve"> </w:t>
      </w:r>
      <w:r>
        <w:t xml:space="preserve">Recall@5 0.72 (≥0.70) · MRR@10 0.684 (≥0.65) · nDCG@10 0.686 (≥0.55), con rerank cross-encoder.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Modelos seleccionados:</w:t>
      </w:r>
      <w:r>
        <w:t xml:space="preserve"> </w:t>
      </w:r>
      <w:r>
        <w:rPr>
          <w:rStyle w:val="VerbatimChar"/>
        </w:rPr>
        <w:t xml:space="preserve">qwen2.5:7b-instruct-q4_K_M</w:t>
      </w:r>
      <w:r>
        <w:t xml:space="preserve"> </w:t>
      </w:r>
      <w:r>
        <w:t xml:space="preserve">(LLM) +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(embeddings, 1024 dim).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5/5 indicadores oficiales cumplen →</w:t>
      </w:r>
      <w:r>
        <w:t xml:space="preserve"> </w:t>
      </w:r>
      <w:r>
        <w:rPr>
          <w:b/>
          <w:bCs/>
        </w:rPr>
        <w:t xml:space="preserve">OE1 validado</w:t>
      </w:r>
      <w:r>
        <w:t xml:space="preserve">.</w:t>
      </w:r>
    </w:p>
    <w:bookmarkEnd w:id="10"/>
    <w:bookmarkStart w:id="11" w:name="oe2-validación-ragas"/>
    <w:p>
      <w:pPr>
        <w:pStyle w:val="Heading2"/>
      </w:pPr>
      <w:r>
        <w:t xml:space="preserve">OE2 — Validación RAGAS ✅</w:t>
      </w:r>
    </w:p>
    <w:p>
      <w:pPr>
        <w:pStyle w:val="FirstParagraph"/>
      </w:pPr>
      <w:r>
        <w:t xml:space="preserve">Golden set de 50 ítems (M1–M5), juez</w:t>
      </w:r>
      <w:r>
        <w:t xml:space="preserve"> </w:t>
      </w:r>
      <w:r>
        <w:rPr>
          <w:b/>
          <w:bCs/>
        </w:rPr>
        <w:t xml:space="preserve">independiente</w:t>
      </w:r>
      <w:r>
        <w:t xml:space="preserve"> </w:t>
      </w:r>
      <w:r>
        <w:rPr>
          <w:rStyle w:val="VerbatimChar"/>
        </w:rPr>
        <w:t xml:space="preserve">llama3.1:8b</w:t>
      </w:r>
      <w:r>
        <w:t xml:space="preserve">, librería</w:t>
      </w:r>
      <w:r>
        <w:t xml:space="preserve"> </w:t>
      </w:r>
      <w:r>
        <w:rPr>
          <w:rStyle w:val="VerbatimChar"/>
        </w:rPr>
        <w:t xml:space="preserve">ragas</w:t>
      </w:r>
      <w:r>
        <w:t xml:space="preserve"> </w:t>
      </w:r>
      <w:r>
        <w:t xml:space="preserve">oficial + rerank cross-encoder.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Precision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0.876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Recall</w:t>
            </w:r>
          </w:p>
        </w:tc>
        <w:tc>
          <w:tcPr/>
          <w:p>
            <w:pPr>
              <w:pStyle w:val="Compact"/>
            </w:pPr>
            <w:r>
              <w:t xml:space="preserve">≥0.75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0.812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Faithfulness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0.706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 Relevancy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 Correctness</w:t>
            </w:r>
          </w:p>
        </w:tc>
        <w:tc>
          <w:tcPr/>
          <w:p>
            <w:pPr>
              <w:pStyle w:val="Compact"/>
            </w:pPr>
            <w:r>
              <w:t xml:space="preserve">≥0.55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0.609</w:t>
            </w:r>
            <w:r>
              <w:t xml:space="preserve"> </w:t>
            </w: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5/5 cumplen → OE2 validado.</w:t>
      </w:r>
    </w:p>
    <w:bookmarkEnd w:id="11"/>
    <w:bookmarkStart w:id="12" w:name="oe3-despliegue-en-gce"/>
    <w:p>
      <w:pPr>
        <w:pStyle w:val="Heading2"/>
      </w:pPr>
      <w:r>
        <w:t xml:space="preserve">OE3 — Despliegue en GCE 🔄</w:t>
      </w:r>
    </w:p>
    <w:p>
      <w:pPr>
        <w:pStyle w:val="FirstParagraph"/>
      </w:pPr>
      <w:r>
        <w:rPr>
          <w:b/>
          <w:bCs/>
        </w:rPr>
        <w:t xml:space="preserve">Sistema desplegado y operativo en producción: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VM:</w:t>
      </w:r>
      <w:r>
        <w:t xml:space="preserve"> </w:t>
      </w:r>
      <w:r>
        <w:t xml:space="preserve">Google Compute Engine</w:t>
      </w:r>
      <w:r>
        <w:t xml:space="preserve"> </w:t>
      </w:r>
      <w:r>
        <w:rPr>
          <w:rStyle w:val="VerbatimChar"/>
        </w:rPr>
        <w:t xml:space="preserve">e2-standard-4</w:t>
      </w:r>
      <w:r>
        <w:t xml:space="preserve"> </w:t>
      </w:r>
      <w:r>
        <w:t xml:space="preserve">(16 GB RAM), zona</w:t>
      </w:r>
      <w:r>
        <w:t xml:space="preserve"> </w:t>
      </w:r>
      <w:r>
        <w:rPr>
          <w:rStyle w:val="VerbatimChar"/>
        </w:rPr>
        <w:t xml:space="preserve">us-central1-a</w:t>
      </w:r>
      <w:r>
        <w:t xml:space="preserve">, IP estática</w:t>
      </w:r>
      <w:r>
        <w:t xml:space="preserve"> </w:t>
      </w:r>
      <w:r>
        <w:rPr>
          <w:rStyle w:val="VerbatimChar"/>
        </w:rPr>
        <w:t xml:space="preserve">35.254.147.254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Orquestación:</w:t>
      </w:r>
      <w:r>
        <w:t xml:space="preserve"> </w:t>
      </w:r>
      <w:r>
        <w:t xml:space="preserve">Docker Compose —</w:t>
      </w:r>
      <w:r>
        <w:t xml:space="preserve"> </w:t>
      </w:r>
      <w:r>
        <w:rPr>
          <w:rStyle w:val="VerbatimChar"/>
        </w:rPr>
        <w:t xml:space="preserve">tutor_postgres</w:t>
      </w:r>
      <w:r>
        <w:t xml:space="preserve"> </w:t>
      </w:r>
      <w:r>
        <w:t xml:space="preserve">(pgvector),</w:t>
      </w:r>
      <w:r>
        <w:t xml:space="preserve"> </w:t>
      </w:r>
      <w:r>
        <w:rPr>
          <w:rStyle w:val="VerbatimChar"/>
        </w:rPr>
        <w:t xml:space="preserve">tutor_redis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tutor_backend</w:t>
      </w:r>
      <w:r>
        <w:t xml:space="preserve"> </w:t>
      </w:r>
      <w:r>
        <w:t xml:space="preserve">(FastAPI),</w:t>
      </w:r>
      <w:r>
        <w:t xml:space="preserve"> </w:t>
      </w:r>
      <w:r>
        <w:rPr>
          <w:rStyle w:val="VerbatimChar"/>
        </w:rPr>
        <w:t xml:space="preserve">tutor_caddy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TLS:</w:t>
      </w:r>
      <w:r>
        <w:t xml:space="preserve"> </w:t>
      </w:r>
      <w:r>
        <w:t xml:space="preserve">Caddy + Let’s Encrypt en</w:t>
      </w:r>
      <w:r>
        <w:t xml:space="preserve"> </w:t>
      </w:r>
      <w:r>
        <w:rPr>
          <w:rStyle w:val="VerbatimChar"/>
        </w:rPr>
        <w:t xml:space="preserve">api.tutoriesrfa.lat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Firebase Hosting —</w:t>
      </w:r>
      <w:r>
        <w:t xml:space="preserve"> </w:t>
      </w:r>
      <w:r>
        <w:rPr>
          <w:rStyle w:val="VerbatimChar"/>
        </w:rPr>
        <w:t xml:space="preserve">https://tutor-ia-rfa.web.app</w:t>
      </w:r>
      <w:r>
        <w:t xml:space="preserve"> </w:t>
      </w:r>
      <w:r>
        <w:t xml:space="preserve">(CDN + HTTPS).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Corpus:</w:t>
      </w:r>
      <w:r>
        <w:t xml:space="preserve"> </w:t>
      </w:r>
      <w:r>
        <w:t xml:space="preserve">3388 chunks indexados en pgvector (índice IVFFlat).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logs JSON estructurados; respuestas RAG con citas a fuentes.</w:t>
      </w:r>
    </w:p>
    <w:p>
      <w:pPr>
        <w:pStyle w:val="FirstParagraph"/>
      </w:pPr>
      <w:r>
        <w:rPr>
          <w:b/>
          <w:bCs/>
        </w:rPr>
        <w:t xml:space="preserve">Rendimiento:</w:t>
      </w:r>
      <w:r>
        <w:t xml:space="preserve"> </w:t>
      </w:r>
      <w:r>
        <w:t xml:space="preserve">re-medido sobre</w:t>
      </w:r>
      <w:r>
        <w:t xml:space="preserve"> </w:t>
      </w:r>
      <w:r>
        <w:rPr>
          <w:b/>
          <w:bCs/>
        </w:rPr>
        <w:t xml:space="preserve">GPU NVIDIA RTX 3090</w:t>
      </w:r>
      <w:r>
        <w:t xml:space="preserve"> </w:t>
      </w:r>
      <w:r>
        <w:t xml:space="preserve">(22-jun-2026, mismo backend de producción enrutado al pod por túnel; ver</w:t>
      </w:r>
      <w:r>
        <w:t xml:space="preserve"> </w:t>
      </w:r>
      <w:r>
        <w:rPr>
          <w:rStyle w:val="VerbatimChar"/>
        </w:rPr>
        <w:t xml:space="preserve">oe3-medicion.md</w:t>
      </w:r>
      <w:r>
        <w:t xml:space="preserve"> </w:t>
      </w:r>
      <w:r>
        <w:t xml:space="preserve">§6):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GPU 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TTFT P95</w:t>
            </w:r>
          </w:p>
        </w:tc>
        <w:tc>
          <w:tcPr/>
          <w:p>
            <w:pPr>
              <w:pStyle w:val="Compact"/>
            </w:pPr>
            <w:r>
              <w:t xml:space="preserve">≤2.5 s</w:t>
            </w:r>
          </w:p>
        </w:tc>
        <w:tc>
          <w:tcPr/>
          <w:p>
            <w:pPr>
              <w:pStyle w:val="Compact"/>
            </w:pPr>
            <w:r>
              <w:t xml:space="preserve">99.40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0.838 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ITL P95</w:t>
            </w:r>
          </w:p>
        </w:tc>
        <w:tc>
          <w:tcPr/>
          <w:p>
            <w:pPr>
              <w:pStyle w:val="Compact"/>
            </w:pPr>
            <w:r>
              <w:t xml:space="preserve">≤250 ms</w:t>
            </w:r>
          </w:p>
        </w:tc>
        <w:tc>
          <w:tcPr/>
          <w:p>
            <w:pPr>
              <w:pStyle w:val="Compact"/>
            </w:pPr>
            <w:r>
              <w:t xml:space="preserve">362.6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104.9 ms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≥8 tok/s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52.79</w:t>
            </w:r>
            <w:r>
              <w:t xml:space="preserve"> </w:t>
            </w:r>
            <w:r>
              <w:t xml:space="preserve">(71.5/petición)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P95</w:t>
            </w:r>
          </w:p>
        </w:tc>
        <w:tc>
          <w:tcPr/>
          <w:p>
            <w:pPr>
              <w:pStyle w:val="Compact"/>
            </w:pPr>
            <w:r>
              <w:t xml:space="preserve">≤8 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10.80 s (media 6.06 · p50 5.27; n=12)</w:t>
            </w:r>
          </w:p>
        </w:tc>
        <w:tc>
          <w:tcPr/>
          <w:p>
            <w:pPr>
              <w:pStyle w:val="Compact"/>
            </w:pPr>
            <w:r>
              <w:t xml:space="preserve">⚠️ cola</w:t>
            </w:r>
          </w:p>
        </w:tc>
      </w:tr>
    </w:tbl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tres indicadores de generación cumplen sobre GPU</w:t>
      </w:r>
      <w:r>
        <w:t xml:space="preserve"> </w:t>
      </w:r>
      <w:r>
        <w:t xml:space="preserve">(el incumplimiento sobre CPU era de hardware, no del pipeline). El e2e típico (mediana ~5.3 s) está dentro del umbral; el P95 (10.8 s) excede solo en la cola con muestra pequeña (n=12, limitada por rate limit) → muestra ampliada = medición complementaria.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(healthchecks, restart-policy, backup, poller) y</w:t>
      </w:r>
      <w:r>
        <w:t xml:space="preserve"> </w:t>
      </w:r>
      <w:r>
        <w:rPr>
          <w:b/>
          <w:bCs/>
        </w:rPr>
        <w:t xml:space="preserve">trazabilidad</w:t>
      </w:r>
      <w:r>
        <w:t xml:space="preserve"> </w:t>
      </w:r>
      <w:r>
        <w:t xml:space="preserve">(cobertura RF 1.0,</w:t>
      </w:r>
      <w:r>
        <w:t xml:space="preserve"> </w:t>
      </w:r>
      <w:r>
        <w:rPr>
          <w:rStyle w:val="VerbatimChar"/>
        </w:rPr>
        <w:t xml:space="preserve">context_precision</w:t>
      </w:r>
      <w:r>
        <w:t xml:space="preserve"> </w:t>
      </w:r>
      <w:r>
        <w:t xml:space="preserve">0.876) se cumplen.</w:t>
      </w:r>
      <w:r>
        <w:t xml:space="preserve"> </w:t>
      </w:r>
      <w:r>
        <w:rPr>
          <w:i/>
          <w:iCs/>
        </w:rPr>
        <w:t xml:space="preserve">Nota:</w:t>
      </w:r>
      <w:r>
        <w:t xml:space="preserve"> </w:t>
      </w:r>
      <w:r>
        <w:t xml:space="preserve">la GPU es la configuración recomendada de producción; el piloto sobre CPU es funcional para uso esporádico (1 usuario) con latencia mayor documentada.</w:t>
      </w:r>
    </w:p>
    <w:bookmarkEnd w:id="12"/>
    <w:bookmarkStart w:id="13" w:name="oe4-rendimiento-académico"/>
    <w:p>
      <w:pPr>
        <w:pStyle w:val="Heading2"/>
      </w:pPr>
      <w:r>
        <w:t xml:space="preserve">OE4 — Rendimiento académico ✅</w:t>
      </w:r>
    </w:p>
    <w:p>
      <w:pPr>
        <w:pStyle w:val="Compact"/>
        <w:numPr>
          <w:ilvl w:val="0"/>
          <w:numId w:val="1003"/>
        </w:numPr>
      </w:pPr>
      <w:r>
        <w:t xml:space="preserve">Diseño pre-experimental (un grupo,</w:t>
      </w:r>
      <w:r>
        <w:t xml:space="preserve"> </w:t>
      </w:r>
      <w:r>
        <w:rPr>
          <w:rStyle w:val="VerbatimChar"/>
        </w:rPr>
        <w:t xml:space="preserve">O1→X→O2</w:t>
      </w:r>
      <w:r>
        <w:t xml:space="preserve">), contraste</w:t>
      </w:r>
      <w:r>
        <w:t xml:space="preserve"> </w:t>
      </w:r>
      <w:r>
        <w:rPr>
          <w:b/>
          <w:bCs/>
        </w:rPr>
        <w:t xml:space="preserve">t de Student pareada (p&lt;0.05)</w:t>
      </w:r>
      <w:r>
        <w:t xml:space="preserve"> </w:t>
      </w:r>
      <w:r>
        <w:t xml:space="preserve">+ d de Cohen.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Aplicado a n=49</w:t>
      </w:r>
      <w:r>
        <w:t xml:space="preserve"> </w:t>
      </w:r>
      <w:r>
        <w:t xml:space="preserve">(censo cohorte 2026-I, secciones mañana M01–M24 + noche N01–N25), instrumento de 20 ítems (M1–M5), escala 0–20.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Resultados:</w:t>
      </w:r>
      <w:r>
        <w:t xml:space="preserve"> </w:t>
      </w:r>
      <w:r>
        <w:t xml:space="preserve">pretest 10.45±2.76 → postest 14.43±3.11; ganancia media</w:t>
      </w:r>
      <w:r>
        <w:t xml:space="preserve"> </w:t>
      </w:r>
      <w:r>
        <w:rPr>
          <w:b/>
          <w:bCs/>
        </w:rPr>
        <w:t xml:space="preserve">+3.98</w:t>
      </w:r>
      <w:r>
        <w:t xml:space="preserve"> </w:t>
      </w:r>
      <w:r>
        <w:t xml:space="preserve">(IC95% [3.44, 4.52]);</w:t>
      </w:r>
      <w:r>
        <w:t xml:space="preserve"> </w:t>
      </w:r>
      <w:r>
        <w:rPr>
          <w:b/>
          <w:bCs/>
        </w:rPr>
        <w:t xml:space="preserve">46/49 mejoraron (94%)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Estadístico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 de Student pareada (oficial)</w:t>
            </w:r>
          </w:p>
        </w:tc>
        <w:tc>
          <w:tcPr/>
          <w:p>
            <w:pPr>
              <w:pStyle w:val="Compact"/>
            </w:pPr>
            <w:r>
              <w:t xml:space="preserve">t(48)=14.85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Rechaza 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Wilcoxon (respaldo no paramétrico)</w:t>
            </w:r>
          </w:p>
        </w:tc>
        <w:tc>
          <w:tcPr/>
          <w:p>
            <w:pPr>
              <w:pStyle w:val="Compact"/>
            </w:pPr>
            <w:r>
              <w:t xml:space="preserve">W=1126.5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Rechaza 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de Cohen</w:t>
            </w:r>
          </w:p>
        </w:tc>
        <w:tc>
          <w:tcPr/>
          <w:p>
            <w:pPr>
              <w:pStyle w:val="Compact"/>
            </w:pPr>
            <w:r>
              <w:t xml:space="preserve">2.12 (grande)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Supuesto: Shapiro-Wilk diferencias p=0.027 (leve no-normalidad) → respaldo con Wilcoxon, que confirma. t robusta a n=49 (TLC).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Limitación:</w:t>
      </w:r>
      <w:r>
        <w:t xml:space="preserve"> </w:t>
      </w:r>
      <w:r>
        <w:t xml:space="preserve">diseño sin grupo control → mejora significativa demostrada, pero</w:t>
      </w:r>
      <w:r>
        <w:t xml:space="preserve"> </w:t>
      </w:r>
      <w:r>
        <w:rPr>
          <w:b/>
          <w:bCs/>
        </w:rPr>
        <w:t xml:space="preserve">causalidad exclusiva no probable</w:t>
      </w:r>
      <w:r>
        <w:t xml:space="preserve"> </w:t>
      </w:r>
      <w:r>
        <w:t xml:space="preserve">(maduración/historia/testing). Cuasi-experimental con control = trabajo futuro. Detalle:</w:t>
      </w:r>
      <w:r>
        <w:t xml:space="preserve"> </w:t>
      </w:r>
      <w:r>
        <w:rPr>
          <w:rStyle w:val="VerbatimChar"/>
        </w:rPr>
        <w:t xml:space="preserve">reporte-rendimiento-academico.md</w:t>
      </w:r>
      <w:r>
        <w:t xml:space="preserve">.</w:t>
      </w:r>
    </w:p>
    <w:bookmarkEnd w:id="13"/>
    <w:bookmarkStart w:id="14" w:name="oe5-adecuación-funcional-isoiec-25010"/>
    <w:p>
      <w:pPr>
        <w:pStyle w:val="Heading2"/>
      </w:pPr>
      <w:r>
        <w:t xml:space="preserve">OE5 — Adecuación funcional ISO/IEC 25010 ⏳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RF:</w:t>
      </w:r>
      <w:r>
        <w:t xml:space="preserve"> </w:t>
      </w:r>
      <w:r>
        <w:t xml:space="preserve">33/33 requisitos funcionales priorizados implementados.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Pruebas:</w:t>
      </w:r>
      <w:r>
        <w:t xml:space="preserve"> </w:t>
      </w:r>
      <w:r>
        <w:t xml:space="preserve">276/276 pass; cobertura de código 86%.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Matriz de trazabilidad:</w:t>
      </w:r>
      <w:r>
        <w:t xml:space="preserve"> </w:t>
      </w:r>
      <w:r>
        <w:t xml:space="preserve">caso de prueba ↔ RF ↔ subcaracterística ISO (</w:t>
      </w:r>
      <w:r>
        <w:rPr>
          <w:rStyle w:val="VerbatimChar"/>
        </w:rPr>
        <w:t xml:space="preserve">matriz-trazabilidad-ISO25010.md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Pendiente:</w:t>
      </w:r>
      <w:r>
        <w:t xml:space="preserve"> </w:t>
      </w:r>
      <w:r>
        <w:rPr>
          <w:b/>
          <w:bCs/>
        </w:rPr>
        <w:t xml:space="preserve">dictamen de ≥2 jueces expertos</w:t>
      </w:r>
      <w:r>
        <w:t xml:space="preserve"> </w:t>
      </w:r>
      <w:r>
        <w:t xml:space="preserve">sobre pertinencia funcional (≥0.90) para cerrar formalmente el OE5. Instrumento listo en</w:t>
      </w:r>
      <w:r>
        <w:t xml:space="preserve"> </w:t>
      </w:r>
      <w:r>
        <w:rPr>
          <w:rStyle w:val="VerbatimChar"/>
        </w:rPr>
        <w:t xml:space="preserve">instrumento-evaluacion-jueces-ISO25010.md</w:t>
      </w:r>
      <w:r>
        <w:t xml:space="preserve">.</w:t>
      </w:r>
      <w:r>
        <w:t xml:space="preserve"> </w:t>
      </w:r>
      <w:r>
        <w:rPr>
          <w:b/>
          <w:bCs/>
        </w:rPr>
        <w:t xml:space="preserve">Único objetivo pendiente.</w:t>
      </w:r>
    </w:p>
    <w:p>
      <w:r>
        <w:pict>
          <v:rect style="width:0;height:1.5pt" o:hralign="center" o:hrstd="t" o:hr="t"/>
        </w:pict>
      </w:r>
    </w:p>
    <w:bookmarkEnd w:id="14"/>
    <w:bookmarkStart w:id="15" w:name="despliegue-para-el-piloto-estado-actual"/>
    <w:p>
      <w:pPr>
        <w:pStyle w:val="Heading2"/>
      </w:pPr>
      <w:r>
        <w:t xml:space="preserve">Despliegue para el piloto — estado actual</w:t>
      </w:r>
    </w:p>
    <w:p>
      <w:pPr>
        <w:pStyle w:val="Compact"/>
        <w:numPr>
          <w:ilvl w:val="0"/>
          <w:numId w:val="1006"/>
        </w:numPr>
      </w:pPr>
      <w:r>
        <w:t xml:space="preserve">✅ 49 cuentas reales de estudiantes (secciones mañana + noche) aprovisionadas en producción.</w:t>
      </w:r>
    </w:p>
    <w:p>
      <w:pPr>
        <w:pStyle w:val="Compact"/>
        <w:numPr>
          <w:ilvl w:val="0"/>
          <w:numId w:val="1006"/>
        </w:numPr>
      </w:pPr>
      <w:r>
        <w:t xml:space="preserve">✅ Sistema accesible en</w:t>
      </w:r>
      <w:r>
        <w:t xml:space="preserve"> </w:t>
      </w:r>
      <w:r>
        <w:rPr>
          <w:rStyle w:val="VerbatimChar"/>
        </w:rPr>
        <w:t xml:space="preserve">https://tutor-ia-rfa.web.app</w:t>
      </w:r>
      <w:r>
        <w:t xml:space="preserve"> </w:t>
      </w:r>
      <w:r>
        <w:t xml:space="preserve">(login operativo, dashboards poblados con datos de demostración).</w:t>
      </w:r>
    </w:p>
    <w:p>
      <w:pPr>
        <w:pStyle w:val="Compact"/>
        <w:numPr>
          <w:ilvl w:val="0"/>
          <w:numId w:val="1006"/>
        </w:numPr>
      </w:pPr>
      <w:r>
        <w:t xml:space="preserve">⚠️ Los datos de actividad sembrados en los dashboards son</w:t>
      </w:r>
      <w:r>
        <w:t xml:space="preserve"> </w:t>
      </w:r>
      <w:r>
        <w:rPr>
          <w:b/>
          <w:bCs/>
        </w:rPr>
        <w:t xml:space="preserve">de demostración</w:t>
      </w:r>
      <w:r>
        <w:t xml:space="preserve">, no resultados empíricos. El</w:t>
      </w:r>
      <w:r>
        <w:t xml:space="preserve"> </w:t>
      </w:r>
      <w:r>
        <w:rPr>
          <w:b/>
          <w:bCs/>
        </w:rPr>
        <w:t xml:space="preserve">OE4 se computó con datos reales</w:t>
      </w:r>
      <w:r>
        <w:t xml:space="preserve"> </w:t>
      </w:r>
      <w:r>
        <w:t xml:space="preserve">de pretest/postest (n=49,</w:t>
      </w:r>
      <w:r>
        <w:t xml:space="preserve"> </w:t>
      </w:r>
      <w:r>
        <w:rPr>
          <w:rStyle w:val="VerbatimChar"/>
        </w:rPr>
        <w:t xml:space="preserve">datos-pretest-postest.csv</w:t>
      </w:r>
      <w:r>
        <w:t xml:space="preserve">), independientes de la data de demostración.</w:t>
      </w:r>
    </w:p>
    <w:p>
      <w:r>
        <w:pict>
          <v:rect style="width:0;height:1.5pt" o:hralign="center" o:hrstd="t" o:hr="t"/>
        </w:pict>
      </w:r>
    </w:p>
    <w:bookmarkEnd w:id="15"/>
    <w:bookmarkStart w:id="16" w:name="conclusión"/>
    <w:p>
      <w:pPr>
        <w:pStyle w:val="Heading2"/>
      </w:pPr>
      <w:r>
        <w:t xml:space="preserve">Conclusión</w:t>
      </w:r>
    </w:p>
    <w:p>
      <w:pPr>
        <w:pStyle w:val="FirstParagraph"/>
      </w:pPr>
      <w:r>
        <w:rPr>
          <w:b/>
          <w:bCs/>
        </w:rPr>
        <w:t xml:space="preserve">Cuatro de los cinco objetivos cuentan con validación cerrada:</w:t>
      </w:r>
      <w:r>
        <w:t xml:space="preserve"> </w:t>
      </w:r>
      <w:r>
        <w:t xml:space="preserve">cuantitativa (</w:t>
      </w:r>
      <w:r>
        <w:rPr>
          <w:b/>
          <w:bCs/>
        </w:rPr>
        <w:t xml:space="preserve">OE1, OE2, OE4</w:t>
      </w:r>
      <w:r>
        <w:t xml:space="preserve">) y despliegue operativo con rendimiento de generación verificado sobre GPU (</w:t>
      </w:r>
      <w:r>
        <w:rPr>
          <w:b/>
          <w:bCs/>
        </w:rPr>
        <w:t xml:space="preserve">OE3</w:t>
      </w:r>
      <w:r>
        <w:t xml:space="preserve">; e2e P95 con muestra ampliada = medición complementaria). Queda</w:t>
      </w:r>
      <w:r>
        <w:t xml:space="preserve"> </w:t>
      </w:r>
      <w:r>
        <w:rPr>
          <w:b/>
          <w:bCs/>
        </w:rPr>
        <w:t xml:space="preserve">un solo objetivo</w:t>
      </w:r>
      <w:r>
        <w:t xml:space="preserve"> </w:t>
      </w:r>
      <w:r>
        <w:t xml:space="preserve">a la espera de actividad de campo:</w:t>
      </w:r>
      <w:r>
        <w:t xml:space="preserve"> </w:t>
      </w:r>
      <w:r>
        <w:rPr>
          <w:b/>
          <w:bCs/>
        </w:rPr>
        <w:t xml:space="preserve">OE5</w:t>
      </w:r>
      <w:r>
        <w:t xml:space="preserve"> </w:t>
      </w:r>
      <w:r>
        <w:t xml:space="preserve">(dictamen de ≥2 jueces expertos sobre pertinencia funcional; instrumento listo). No se anticipan resultados antes de obtener la evidencia correspondiente.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de consolidación. Exportar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.docx</w:t>
      </w:r>
      <w:r>
        <w:rPr>
          <w:i/>
          <w:iCs/>
        </w:rPr>
        <w:t xml:space="preserve"> </w:t>
      </w:r>
      <w:r>
        <w:rPr>
          <w:i/>
          <w:iCs/>
        </w:rPr>
        <w:t xml:space="preserve">antes de la sustentación. Resta sustituir la sección OE5 con el dictamen del panel de jueces.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2026-06-22T03:26:36Z</dcterms:created>
  <dcterms:modified xsi:type="dcterms:W3CDTF">2026-06-22T03:26:36Z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