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4b1aab700191b4704288d2e54ef40509e3c3c4"/>
    <w:p>
      <w:pPr>
        <w:pStyle w:val="Heading1"/>
      </w:pPr>
      <w:r>
        <w:t xml:space="preserve">Reporte de Validación Final — Consolidación de los 5 OE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 "República Federal de Alemania"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02-jun-2026</w:t>
      </w:r>
    </w:p>
    <w:p>
      <w:pPr>
        <w:pStyle w:val="BodyText"/>
      </w:pPr>
      <w:r>
        <w:t xml:space="preserve">Este documento consolida el estado de validación de los cinco objetivos específicos. Se reporta con criterio de</w:t>
      </w:r>
      <w:r>
        <w:t xml:space="preserve"> </w:t>
      </w:r>
      <w:r>
        <w:rPr>
          <w:b/>
          <w:bCs/>
        </w:rPr>
        <w:t xml:space="preserve">honestidad académica</w:t>
      </w:r>
      <w:r>
        <w:t xml:space="preserve">: lo validado se marca como tal; lo pendiente (piloto OE4, dictamen de jueces OE5) se declara explícitamente.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Enunciado (resumen)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Selección de LLM + embeddings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reporte-LLM.docx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reporte-OE1-metricas-oficiales.md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OE2</w:t>
            </w:r>
          </w:p>
        </w:tc>
        <w:tc>
          <w:tcPr/>
          <w:p>
            <w:pPr>
              <w:pStyle w:val="Compact"/>
            </w:pPr>
            <w:r>
              <w:t xml:space="preserve">Validación RAGAS del pipeline RAG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Validado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reporte-RAGAS.md/.docx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Despliegue en GCE (Docker) con rendimiento/disponibilidad/trazabilidad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Desplegado; métricas re-medidas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oe3-medicion.md</w:t>
            </w:r>
            <w:r>
              <w:t xml:space="preserve">, este doc §OE3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Mejora del rendimiento académico (pretest/postest, t pareada)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Método e instrumento listos; piloto S8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instrumento-pretest-postest-OE4.md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reporte-rendimiento-academico.md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Adecuación funcional ISO/IEC 25010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b/>
                <w:bCs/>
              </w:rPr>
              <w:t xml:space="preserve">Interno completo; dictamen 2 jueces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matriz-trazabilidad-ISO25010.md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reporte-ISO25010.md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313fe185706147587d2fd1603aed573c179c186"/>
    <w:p>
      <w:pPr>
        <w:pStyle w:val="Heading2"/>
      </w:pPr>
      <w:r>
        <w:t xml:space="preserve">OE1 — Selección LLM + embeddings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Generación:</w:t>
      </w:r>
      <w:r>
        <w:t xml:space="preserve"> </w:t>
      </w:r>
      <w:r>
        <w:t xml:space="preserve">Accuracy 0.72 (≥0.70) · Likert media 4.325 (≥4.0), juez 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Recuperación:</w:t>
      </w:r>
      <w:r>
        <w:t xml:space="preserve"> </w:t>
      </w:r>
      <w:r>
        <w:t xml:space="preserve">Recall@5 0.72 (≥0.70) · MRR@10 0.684 (≥0.65) · nDCG@10 0.686 (≥0.55), con rerank cross-encoder.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Modelos seleccionados:</w:t>
      </w:r>
      <w:r>
        <w:t xml:space="preserve"> </w:t>
      </w:r>
      <w:r>
        <w:rPr>
          <w:rStyle w:val="VerbatimChar"/>
        </w:rPr>
        <w:t xml:space="preserve">qwen2.5:7b-instruct-q4_K_M</w:t>
      </w:r>
      <w:r>
        <w:t xml:space="preserve"> </w:t>
      </w:r>
      <w:r>
        <w:t xml:space="preserve">(LLM) +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(embeddings, 1024 dim).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5/5 indicadores oficiales cumplen →</w:t>
      </w:r>
      <w:r>
        <w:t xml:space="preserve"> </w:t>
      </w:r>
      <w:r>
        <w:rPr>
          <w:b/>
          <w:bCs/>
        </w:rPr>
        <w:t xml:space="preserve">OE1 validado</w:t>
      </w:r>
      <w:r>
        <w:t xml:space="preserve">.</w:t>
      </w:r>
    </w:p>
    <w:bookmarkEnd w:id="10"/>
    <w:bookmarkStart w:id="11" w:name="oe2--validación-ragas-white_check_mark"/>
    <w:p>
      <w:pPr>
        <w:pStyle w:val="Heading2"/>
      </w:pPr>
      <w:r>
        <w:t xml:space="preserve">OE2 — Validación RAGAS ✅</w:t>
      </w:r>
    </w:p>
    <w:p>
      <w:pPr>
        <w:pStyle w:val="FirstParagraph"/>
      </w:pPr>
      <w:r>
        <w:t xml:space="preserve">Golden set de 50 ítems (M1–M5), juez</w:t>
      </w:r>
      <w:r>
        <w:t xml:space="preserve"> </w:t>
      </w:r>
      <w:r>
        <w:rPr>
          <w:b/>
          <w:bCs/>
        </w:rPr>
        <w:t xml:space="preserve">independiente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, librería</w:t>
      </w:r>
      <w:r>
        <w:t xml:space="preserve"> </w:t>
      </w:r>
      <w:r>
        <w:rPr>
          <w:rStyle w:val="VerbatimChar"/>
        </w:rPr>
        <w:t xml:space="preserve">ragas</w:t>
      </w:r>
      <w:r>
        <w:t xml:space="preserve"> </w:t>
      </w:r>
      <w:r>
        <w:t xml:space="preserve">oficial + rerank cross-encoder.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Precision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Recall</w:t>
            </w:r>
          </w:p>
        </w:tc>
        <w:tc>
          <w:tcPr/>
          <w:p>
            <w:pPr>
              <w:pStyle w:val="Compact"/>
            </w:pPr>
            <w:r>
              <w:t xml:space="preserve">≥0.75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0.812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Faithfulness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0.706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Relevancy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Correctness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0.609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5/5 cumplen → OE2 validado.</w:t>
      </w:r>
    </w:p>
    <w:bookmarkEnd w:id="11"/>
    <w:bookmarkStart w:id="12" w:name="X214fb09801189fe4cdc9e0596313091270736df"/>
    <w:p>
      <w:pPr>
        <w:pStyle w:val="Heading2"/>
      </w:pPr>
      <w:r>
        <w:t xml:space="preserve">OE3 — Despliegue en GCE 🔄</w:t>
      </w:r>
    </w:p>
    <w:p>
      <w:pPr>
        <w:pStyle w:val="FirstParagraph"/>
      </w:pPr>
      <w:r>
        <w:rPr>
          <w:b/>
          <w:bCs/>
        </w:rPr>
        <w:t xml:space="preserve">Sistema desplegado y operativo en producción: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VM:</w:t>
      </w:r>
      <w:r>
        <w:t xml:space="preserve"> </w:t>
      </w:r>
      <w:r>
        <w:t xml:space="preserve">Google Compute Engine</w:t>
      </w:r>
      <w:r>
        <w:t xml:space="preserve"> </w:t>
      </w:r>
      <w:r>
        <w:rPr>
          <w:rStyle w:val="VerbatimChar"/>
        </w:rPr>
        <w:t xml:space="preserve">e2-standard-4</w:t>
      </w:r>
      <w:r>
        <w:t xml:space="preserve"> </w:t>
      </w:r>
      <w:r>
        <w:t xml:space="preserve">(16 GB RAM), zona</w:t>
      </w:r>
      <w:r>
        <w:t xml:space="preserve"> </w:t>
      </w:r>
      <w:r>
        <w:rPr>
          <w:rStyle w:val="VerbatimChar"/>
        </w:rPr>
        <w:t xml:space="preserve">us-central1-a</w:t>
      </w:r>
      <w:r>
        <w:t xml:space="preserve">, IP estática</w:t>
      </w:r>
      <w:r>
        <w:t xml:space="preserve"> </w:t>
      </w:r>
      <w:r>
        <w:rPr>
          <w:rStyle w:val="VerbatimChar"/>
        </w:rPr>
        <w:t xml:space="preserve">35.254.147.254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Orquestación:</w:t>
      </w:r>
      <w:r>
        <w:t xml:space="preserve"> </w:t>
      </w:r>
      <w:r>
        <w:t xml:space="preserve">Docker Compose —</w:t>
      </w:r>
      <w:r>
        <w:t xml:space="preserve"> </w:t>
      </w:r>
      <w:r>
        <w:rPr>
          <w:rStyle w:val="VerbatimChar"/>
        </w:rPr>
        <w:t xml:space="preserve">tutor_postgres</w:t>
      </w:r>
      <w:r>
        <w:t xml:space="preserve"> </w:t>
      </w:r>
      <w:r>
        <w:t xml:space="preserve">(pgvector),</w:t>
      </w:r>
      <w:r>
        <w:t xml:space="preserve"> </w:t>
      </w:r>
      <w:r>
        <w:rPr>
          <w:rStyle w:val="VerbatimChar"/>
        </w:rPr>
        <w:t xml:space="preserve">tutor_redis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tutor_backend</w:t>
      </w:r>
      <w:r>
        <w:t xml:space="preserve"> </w:t>
      </w:r>
      <w:r>
        <w:t xml:space="preserve">(FastAPI),</w:t>
      </w:r>
      <w:r>
        <w:t xml:space="preserve"> </w:t>
      </w:r>
      <w:r>
        <w:rPr>
          <w:rStyle w:val="VerbatimChar"/>
        </w:rPr>
        <w:t xml:space="preserve">tutor_caddy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TLS:</w:t>
      </w:r>
      <w:r>
        <w:t xml:space="preserve"> </w:t>
      </w:r>
      <w:r>
        <w:t xml:space="preserve">Caddy + Let's Encrypt en</w:t>
      </w:r>
      <w:r>
        <w:t xml:space="preserve"> </w:t>
      </w:r>
      <w:r>
        <w:rPr>
          <w:rStyle w:val="VerbatimChar"/>
        </w:rPr>
        <w:t xml:space="preserve">api.tutoriesrfa.lat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Firebase Hosting —</w:t>
      </w:r>
      <w:r>
        <w:t xml:space="preserve"> </w:t>
      </w:r>
      <w:r>
        <w:rPr>
          <w:rStyle w:val="VerbatimChar"/>
        </w:rPr>
        <w:t xml:space="preserve">https://tutor-ia-rfa.web.app</w:t>
      </w:r>
      <w:r>
        <w:t xml:space="preserve"> </w:t>
      </w:r>
      <w:r>
        <w:t xml:space="preserve">(CDN + HTTPS).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3388 chunks indexados en pgvector (índice IVFFlat).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Trazabilidad:</w:t>
      </w:r>
      <w:r>
        <w:t xml:space="preserve"> </w:t>
      </w:r>
      <w:r>
        <w:t xml:space="preserve">logs JSON estructurados; respuestas RAG con citas a fuentes.</w:t>
      </w:r>
    </w:p>
    <w:p>
      <w:pPr>
        <w:pStyle w:val="FirstParagraph"/>
      </w:pPr>
      <w:r>
        <w:rPr>
          <w:b/>
          <w:bCs/>
        </w:rPr>
        <w:t xml:space="preserve">Rendimiento: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oe3-medicion.md</w:t>
      </w:r>
      <w:r>
        <w:t xml:space="preserve"> </w:t>
      </w:r>
      <w:r>
        <w:t xml:space="preserve">(re-medición 02-jun-2026).</w:t>
      </w:r>
      <w:r>
        <w:t xml:space="preserve"> </w:t>
      </w:r>
      <w:r>
        <w:rPr>
          <w:i/>
          <w:iCs/>
        </w:rPr>
        <w:t xml:space="preserve">Nota de límite:</w:t>
      </w:r>
      <w:r>
        <w:t xml:space="preserve"> </w:t>
      </w:r>
      <w:r>
        <w:t xml:space="preserve">la VM es</w:t>
      </w:r>
      <w:r>
        <w:t xml:space="preserve"> </w:t>
      </w:r>
      <w:r>
        <w:rPr>
          <w:b/>
          <w:bCs/>
        </w:rPr>
        <w:t xml:space="preserve">CPU-only</w:t>
      </w:r>
      <w:r>
        <w:t xml:space="preserve"> </w:t>
      </w:r>
      <w:r>
        <w:t xml:space="preserve">(sin GPU); los umbrales de TTFT/ITL/e2e fueron calibrados para hardware con GPU. El rendimiento bajo CPU es una</w:t>
      </w:r>
      <w:r>
        <w:t xml:space="preserve"> </w:t>
      </w:r>
      <w:r>
        <w:rPr>
          <w:b/>
          <w:bCs/>
        </w:rPr>
        <w:t xml:space="preserve">limitación documentada</w:t>
      </w:r>
      <w:r>
        <w:t xml:space="preserve">; la mejora vía instancia con GPU es</w:t>
      </w:r>
      <w:r>
        <w:t xml:space="preserve"> </w:t>
      </w:r>
      <w:r>
        <w:rPr>
          <w:b/>
          <w:bCs/>
        </w:rPr>
        <w:t xml:space="preserve">trabajo futuro</w:t>
      </w:r>
      <w:r>
        <w:t xml:space="preserve">. Disponibilidad y trazabilidad se cumplen.</w:t>
      </w:r>
    </w:p>
    <w:bookmarkEnd w:id="12"/>
    <w:bookmarkStart w:id="13" w:name="Xbd851be44a3df232e705c8a91fc0f2272a435ee"/>
    <w:p>
      <w:pPr>
        <w:pStyle w:val="Heading2"/>
      </w:pPr>
      <w:r>
        <w:t xml:space="preserve">OE4 — Rendimiento académico ⏳</w:t>
      </w:r>
    </w:p>
    <w:p>
      <w:pPr>
        <w:pStyle w:val="Compact"/>
        <w:numPr>
          <w:ilvl w:val="0"/>
          <w:numId w:val="1003"/>
        </w:numPr>
      </w:pPr>
      <w:r>
        <w:t xml:space="preserve">Diseño pre-experimental (un grupo, pretest/postest), contraste</w:t>
      </w:r>
      <w:r>
        <w:t xml:space="preserve"> </w:t>
      </w:r>
      <w:r>
        <w:rPr>
          <w:b/>
          <w:bCs/>
        </w:rPr>
        <w:t xml:space="preserve">t de Student pareada (p&lt;0.05)</w:t>
      </w:r>
      <w:r>
        <w:t xml:space="preserve"> </w:t>
      </w:r>
      <w:r>
        <w:t xml:space="preserve">+ d de Cohen.</w:t>
      </w:r>
    </w:p>
    <w:p>
      <w:pPr>
        <w:pStyle w:val="Compact"/>
        <w:numPr>
          <w:ilvl w:val="0"/>
          <w:numId w:val="1003"/>
        </w:numPr>
      </w:pPr>
      <w:r>
        <w:t xml:space="preserve">Instrumento de 20 ítems (M1–M5) construido y listo para validación por jueces.</w:t>
      </w:r>
    </w:p>
    <w:p>
      <w:pPr>
        <w:pStyle w:val="Compact"/>
        <w:numPr>
          <w:ilvl w:val="0"/>
          <w:numId w:val="1003"/>
        </w:numPr>
      </w:pPr>
      <w:r>
        <w:t xml:space="preserve">Pipeline de análisis validado (</w:t>
      </w:r>
      <w:r>
        <w:rPr>
          <w:rStyle w:val="VerbatimChar"/>
        </w:rPr>
        <w:t xml:space="preserve">pretest_postest_analysis.ipynb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49 cuentas de estudiantes</w:t>
      </w:r>
      <w:r>
        <w:t xml:space="preserve"> </w:t>
      </w:r>
      <w:r>
        <w:t xml:space="preserve">creadas en producción para el piloto.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Pendiente:</w:t>
      </w:r>
      <w:r>
        <w:t xml:space="preserve"> </w:t>
      </w:r>
      <w:r>
        <w:t xml:space="preserve">aplicación del pretest/postest al grupo piloto (10–15) y cómputo de resultados —</w:t>
      </w:r>
      <w:r>
        <w:t xml:space="preserve"> </w:t>
      </w:r>
      <w:r>
        <w:rPr>
          <w:b/>
          <w:bCs/>
        </w:rPr>
        <w:t xml:space="preserve">Sprint 8 (29-jun – 10-jul)</w:t>
      </w:r>
      <w:r>
        <w:t xml:space="preserve">.</w:t>
      </w:r>
    </w:p>
    <w:bookmarkEnd w:id="13"/>
    <w:bookmarkStart w:id="14" w:name="X77610933cc93f24564b11d3fe07415cc34c323f"/>
    <w:p>
      <w:pPr>
        <w:pStyle w:val="Heading2"/>
      </w:pPr>
      <w:r>
        <w:t xml:space="preserve">OE5 — Adecuación funcional ISO/IEC 25010 ⏳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Cobertura RF:</w:t>
      </w:r>
      <w:r>
        <w:t xml:space="preserve"> </w:t>
      </w:r>
      <w:r>
        <w:t xml:space="preserve">33/33 requisitos funcionales priorizados implementados.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Pruebas:</w:t>
      </w:r>
      <w:r>
        <w:t xml:space="preserve"> </w:t>
      </w:r>
      <w:r>
        <w:t xml:space="preserve">276/276 pass; cobertura de código 86%.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Matriz de trazabilidad:</w:t>
      </w:r>
      <w:r>
        <w:t xml:space="preserve"> </w:t>
      </w:r>
      <w:r>
        <w:t xml:space="preserve">caso de prueba ↔ RF ↔ subcaracterística ISO (</w:t>
      </w:r>
      <w:r>
        <w:rPr>
          <w:rStyle w:val="VerbatimChar"/>
        </w:rPr>
        <w:t xml:space="preserve">matriz-trazabilidad-ISO25010.md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Pendiente:</w:t>
      </w:r>
      <w:r>
        <w:t xml:space="preserve"> </w:t>
      </w:r>
      <w:r>
        <w:rPr>
          <w:b/>
          <w:bCs/>
        </w:rPr>
        <w:t xml:space="preserve">dictamen de ≥2 jueces expertos</w:t>
      </w:r>
      <w:r>
        <w:t xml:space="preserve"> </w:t>
      </w:r>
      <w:r>
        <w:t xml:space="preserve">sobre pertinencia funcional (≥0.90) para cerrar formalmente el OE5. Los mismos jueces pueden validar el instrumento del OE4.</w:t>
      </w:r>
    </w:p>
    <w:p>
      <w:r>
        <w:pict>
          <v:rect style="width:0;height:1.5pt" o:hralign="center" o:hrstd="t" o:hr="t"/>
        </w:pict>
      </w:r>
    </w:p>
    <w:bookmarkEnd w:id="14"/>
    <w:bookmarkStart w:id="15" w:name="despliegue-para-el-piloto--estado-actual"/>
    <w:p>
      <w:pPr>
        <w:pStyle w:val="Heading2"/>
      </w:pPr>
      <w:r>
        <w:t xml:space="preserve">Despliegue para el piloto — estado actual</w:t>
      </w:r>
    </w:p>
    <w:p>
      <w:pPr>
        <w:pStyle w:val="Compact"/>
        <w:numPr>
          <w:ilvl w:val="0"/>
          <w:numId w:val="1005"/>
        </w:numPr>
      </w:pPr>
      <w:r>
        <w:t xml:space="preserve">✅ 49 cuentas reales de estudiantes (secciones mañana + noche) aprovisionadas en producción.</w:t>
      </w:r>
    </w:p>
    <w:p>
      <w:pPr>
        <w:pStyle w:val="Compact"/>
        <w:numPr>
          <w:ilvl w:val="0"/>
          <w:numId w:val="1005"/>
        </w:numPr>
      </w:pPr>
      <w:r>
        <w:t xml:space="preserve">✅ Sistema accesible en</w:t>
      </w:r>
      <w:r>
        <w:t xml:space="preserve"> </w:t>
      </w:r>
      <w:r>
        <w:rPr>
          <w:rStyle w:val="VerbatimChar"/>
        </w:rPr>
        <w:t xml:space="preserve">https://tutor-ia-rfa.web.app</w:t>
      </w:r>
      <w:r>
        <w:t xml:space="preserve"> </w:t>
      </w:r>
      <w:r>
        <w:t xml:space="preserve">(login operativo, dashboards poblados con datos de demostración).</w:t>
      </w:r>
    </w:p>
    <w:p>
      <w:pPr>
        <w:pStyle w:val="Compact"/>
        <w:numPr>
          <w:ilvl w:val="0"/>
          <w:numId w:val="1005"/>
        </w:numPr>
      </w:pPr>
      <w:r>
        <w:t xml:space="preserve">⚠️ Los datos de actividad sembrados son</w:t>
      </w:r>
      <w:r>
        <w:t xml:space="preserve"> </w:t>
      </w:r>
      <w:r>
        <w:rPr>
          <w:b/>
          <w:bCs/>
        </w:rPr>
        <w:t xml:space="preserve">de demostración</w:t>
      </w:r>
      <w:r>
        <w:t xml:space="preserve">, no resultados empíricos. El OE4 se medirá con datos reales del piloto.</w:t>
      </w:r>
    </w:p>
    <w:p>
      <w:r>
        <w:pict>
          <v:rect style="width:0;height:1.5pt" o:hralign="center" o:hrstd="t" o:hr="t"/>
        </w:pict>
      </w:r>
    </w:p>
    <w:bookmarkEnd w:id="15"/>
    <w:bookmarkStart w:id="16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Tres objetivos cuentan con validación cuantitativa cerrada (</w:t>
      </w:r>
      <w:r>
        <w:rPr>
          <w:b/>
          <w:bCs/>
        </w:rPr>
        <w:t xml:space="preserve">OE1, OE2</w:t>
      </w:r>
      <w:r>
        <w:t xml:space="preserve">) o despliegue operativo (</w:t>
      </w:r>
      <w:r>
        <w:rPr>
          <w:b/>
          <w:bCs/>
        </w:rPr>
        <w:t xml:space="preserve">OE3</w:t>
      </w:r>
      <w:r>
        <w:t xml:space="preserve">). Dos quedan con el método y la infraestructura listos, a la espera de actividades de campo programadas:</w:t>
      </w:r>
      <w:r>
        <w:t xml:space="preserve"> </w:t>
      </w:r>
      <w:r>
        <w:rPr>
          <w:b/>
          <w:bCs/>
        </w:rPr>
        <w:t xml:space="preserve">OE4</w:t>
      </w:r>
      <w:r>
        <w:t xml:space="preserve"> </w:t>
      </w:r>
      <w:r>
        <w:t xml:space="preserve">(piloto, Sprint 8) y</w:t>
      </w:r>
      <w:r>
        <w:t xml:space="preserve"> </w:t>
      </w:r>
      <w:r>
        <w:rPr>
          <w:b/>
          <w:bCs/>
        </w:rPr>
        <w:t xml:space="preserve">OE5</w:t>
      </w:r>
      <w:r>
        <w:t xml:space="preserve"> </w:t>
      </w:r>
      <w:r>
        <w:t xml:space="preserve">(dictamen de jueces). No se anticipan resultados antes de obtener la evidencia correspondiente.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consolidación. Exportar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.docx</w:t>
      </w:r>
      <w:r>
        <w:rPr>
          <w:i/>
          <w:iCs/>
        </w:rPr>
        <w:t xml:space="preserve"> </w:t>
      </w:r>
      <w:r>
        <w:rPr>
          <w:i/>
          <w:iCs/>
        </w:rPr>
        <w:t xml:space="preserve">antes de la sustentación. Sustituir secciones marcadas "pendiente" con los datos reales conforme se ejecuten el piloto (OE4) y el panel de jueces (OE5).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2026-06-02T18:21:40Z</dcterms:created>
  <dcterms:modified xsi:type="dcterms:W3CDTF">2026-06-02T18:21:40Z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