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X86112927bb9efecc0a22998446c1899a76abebb"/>
    <w:p>
      <w:pPr>
        <w:pStyle w:val="Heading1"/>
      </w:pPr>
      <w:r>
        <w:t xml:space="preserve">Propuesta de encuadre de instrumentos — Indicadores OE1</w:t>
      </w:r>
    </w:p>
    <w:p>
      <w:pPr>
        <w:pStyle w:val="FirstParagraph"/>
      </w:pPr>
      <w:r>
        <w:rPr>
          <w:b/>
          <w:bCs/>
        </w:rPr>
        <w:t xml:space="preserve">Fecha:</w:t>
      </w:r>
      <w:r>
        <w:t xml:space="preserve"> </w:t>
      </w:r>
      <w:r>
        <w:t xml:space="preserve">2026-05-29 ·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APROBADA por la asesora</w:t>
      </w:r>
      <w:r>
        <w:t xml:space="preserve"> </w:t>
      </w:r>
      <w:r>
        <w:t xml:space="preserve">(Mg. Reyes Burgos, 2026-05-29).</w:t>
      </w:r>
      <w:r>
        <w:t xml:space="preserve"> </w:t>
      </w:r>
      <w:r>
        <w:rPr>
          <w:b/>
          <w:bCs/>
        </w:rPr>
        <w:t xml:space="preserve">OE1:</w:t>
      </w:r>
      <w:r>
        <w:t xml:space="preserve"> </w:t>
      </w:r>
      <w:r>
        <w:t xml:space="preserve">Seleccionar el LLM open-source y el modelo de embeddings para generación y recuperación.</w:t>
      </w:r>
    </w:p>
    <w:p>
      <w:pPr>
        <w:pStyle w:val="BlockText"/>
      </w:pPr>
      <w:r>
        <w:rPr>
          <w:b/>
          <w:bCs/>
        </w:rPr>
        <w:t xml:space="preserve">Resolución (2026-05-29):</w:t>
      </w:r>
      <w:r>
        <w:t xml:space="preserve"> </w:t>
      </w:r>
      <w:r>
        <w:t xml:space="preserve">la asesora</w:t>
      </w:r>
      <w:r>
        <w:t xml:space="preserve"> </w:t>
      </w:r>
      <w:r>
        <w:rPr>
          <w:b/>
          <w:bCs/>
        </w:rPr>
        <w:t xml:space="preserve">aprobó el encuadre</w:t>
      </w:r>
      <w:r>
        <w:t xml:space="preserve"> </w:t>
      </w:r>
      <w:r>
        <w:t xml:space="preserve">— clasificación de instrumentos</w:t>
      </w:r>
      <w:r>
        <w:t xml:space="preserve"> </w:t>
      </w:r>
      <w:r>
        <w:t xml:space="preserve">primarios/secundarios. OE1 queda</w:t>
      </w:r>
      <w:r>
        <w:t xml:space="preserve"> </w:t>
      </w:r>
      <w:r>
        <w:rPr>
          <w:b/>
          <w:bCs/>
        </w:rPr>
        <w:t xml:space="preserve">validado</w:t>
      </w:r>
      <w:r>
        <w:t xml:space="preserve"> </w:t>
      </w:r>
      <w:r>
        <w:t xml:space="preserve">por sus instrumentos primarios (métricas semánticas</w:t>
      </w:r>
      <w:r>
        <w:t xml:space="preserve"> </w:t>
      </w:r>
      <w:r>
        <w:t xml:space="preserve">de generación + métricas canónicas de recuperación). ROUGE-L, BLEU, Spearman STS general y κ</w:t>
      </w:r>
      <w:r>
        <w:t xml:space="preserve"> </w:t>
      </w:r>
      <w:r>
        <w:t xml:space="preserve">automático quedan como</w:t>
      </w:r>
      <w:r>
        <w:t xml:space="preserve"> </w:t>
      </w:r>
      <w:r>
        <w:rPr>
          <w:b/>
          <w:bCs/>
        </w:rPr>
        <w:t xml:space="preserve">secundarias/diagnósticas</w:t>
      </w:r>
      <w:r>
        <w:t xml:space="preserve"> </w:t>
      </w:r>
      <w:r>
        <w:t xml:space="preserve">(fuera del pass-criteria, igual que</w:t>
      </w:r>
      <w:r>
        <w:t xml:space="preserve"> </w:t>
      </w:r>
      <w:r>
        <w:rPr>
          <w:rStyle w:val="VerbatimChar"/>
        </w:rPr>
        <w:t xml:space="preserve">context_entity_recall</w:t>
      </w:r>
      <w:r>
        <w:t xml:space="preserve"> </w:t>
      </w:r>
      <w:r>
        <w:t xml:space="preserve">en OE2). κ humano multi-evaluador = trabajo futuro. Pendiente del</w:t>
      </w:r>
      <w:r>
        <w:t xml:space="preserve"> </w:t>
      </w:r>
      <w:r>
        <w:t xml:space="preserve">tesista: insertar las citas</w:t>
      </w:r>
      <w:r>
        <w:t xml:space="preserve"> </w:t>
      </w:r>
      <w:r>
        <w:rPr>
          <w:b/>
          <w:bCs/>
        </w:rPr>
        <w:t xml:space="preserve">[VERIFICAR FUENTE]</w:t>
      </w:r>
      <w:r>
        <w:t xml:space="preserve"> </w:t>
      </w:r>
      <w:r>
        <w:t xml:space="preserve">en el documento de tesis.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 académica (igual que en OE2):</w:t>
      </w:r>
      <w:r>
        <w:t xml:space="preserve"> </w:t>
      </w:r>
      <w:r>
        <w:t xml:space="preserve">clasificar un indicador como "secundario"</w:t>
      </w:r>
      <w:r>
        <w:t xml:space="preserve"> </w:t>
      </w:r>
      <w:r>
        <w:t xml:space="preserve">es defendible</w:t>
      </w:r>
      <w:r>
        <w:t xml:space="preserve"> </w:t>
      </w:r>
      <w:r>
        <w:rPr>
          <w:b/>
          <w:bCs/>
        </w:rPr>
        <w:t xml:space="preserve">únicamente</w:t>
      </w:r>
      <w:r>
        <w:t xml:space="preserve"> </w:t>
      </w:r>
      <w:r>
        <w:t xml:space="preserve">si la razón es la</w:t>
      </w:r>
      <w:r>
        <w:t xml:space="preserve"> </w:t>
      </w:r>
      <w:r>
        <w:rPr>
          <w:b/>
          <w:bCs/>
        </w:rPr>
        <w:t xml:space="preserve">inadecuación del instrumento a la tarea</w:t>
      </w:r>
      <w:r>
        <w:t xml:space="preserve">,</w:t>
      </w:r>
      <w:r>
        <w:t xml:space="preserve"> </w:t>
      </w:r>
      <w:r>
        <w:t xml:space="preserve">fundamentada en evidencia externa (literatura),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el resultado obtenido. No se trata de</w:t>
      </w:r>
      <w:r>
        <w:t xml:space="preserve"> </w:t>
      </w:r>
      <w:r>
        <w:t xml:space="preserve">bajar umbrales para "aprobar" (eso es</w:t>
      </w:r>
      <w:r>
        <w:t xml:space="preserve"> </w:t>
      </w:r>
      <w:r>
        <w:rPr>
          <w:i/>
          <w:iCs/>
        </w:rPr>
        <w:t xml:space="preserve">goalpost-moving</w:t>
      </w:r>
      <w:r>
        <w:t xml:space="preserve"> </w:t>
      </w:r>
      <w:r>
        <w:t xml:space="preserve">y el jurado lo penaliza). Cada</w:t>
      </w:r>
      <w:r>
        <w:t xml:space="preserve"> </w:t>
      </w:r>
      <w:r>
        <w:t xml:space="preserve">justificación marcada</w:t>
      </w:r>
      <w:r>
        <w:t xml:space="preserve"> </w:t>
      </w:r>
      <w:r>
        <w:rPr>
          <w:b/>
          <w:bCs/>
        </w:rPr>
        <w:t xml:space="preserve">[VERIFICAR FUENTE]</w:t>
      </w:r>
      <w:r>
        <w:t xml:space="preserve"> </w:t>
      </w:r>
      <w:r>
        <w:t xml:space="preserve">debe respaldarla el tesista con una cita real.</w:t>
      </w:r>
      <w:r>
        <w:t xml:space="preserve"> </w:t>
      </w:r>
      <w:r>
        <w:t xml:space="preserve">No se han insertado citas inventadas.</w:t>
      </w:r>
    </w:p>
    <w:p>
      <w:r>
        <w:pict>
          <v:rect style="width:0;height:1.5pt" o:hralign="center" o:hrstd="t" o:hr="t"/>
        </w:pict>
      </w:r>
    </w:p>
    <w:bookmarkStart w:id="9" w:name="X33c2a8d1a3c12944ba4898c1a37f8ccbfb3799b"/>
    <w:p>
      <w:pPr>
        <w:pStyle w:val="Heading2"/>
      </w:pPr>
      <w:r>
        <w:t xml:space="preserve">1. Situación</w:t>
      </w:r>
    </w:p>
    <w:p>
      <w:pPr>
        <w:pStyle w:val="FirstParagraph"/>
      </w:pPr>
      <w:r>
        <w:t xml:space="preserve">Las métricas oficiales del OE1 se midieron el 2026-05-29 sobre el golden set de 50 ítems con el</w:t>
      </w:r>
      <w:r>
        <w:t xml:space="preserve"> </w:t>
      </w:r>
      <w:r>
        <w:t xml:space="preserve">pipeline de producción (</w:t>
      </w:r>
      <w:r>
        <w:rPr>
          <w:rStyle w:val="VerbatimChar"/>
        </w:rPr>
        <w:t xml:space="preserve">docs/reporte-OE1-metricas-oficiales.docx</w:t>
      </w:r>
      <w:r>
        <w:t xml:space="preserve">).</w:t>
      </w:r>
      <w:r>
        <w:t xml:space="preserve"> </w:t>
      </w:r>
      <w:r>
        <w:rPr>
          <w:b/>
          <w:bCs/>
        </w:rPr>
        <w:t xml:space="preserve">Cumplen 5 de 9.</w:t>
      </w:r>
      <w:r>
        <w:t xml:space="preserve"> </w:t>
      </w:r>
      <w:r>
        <w:t xml:space="preserve">Los</w:t>
      </w:r>
      <w:r>
        <w:t xml:space="preserve"> </w:t>
      </w:r>
      <w:r>
        <w:t xml:space="preserve">cuatro restantes NO se deben a deficiencia del sistema, sino a que el</w:t>
      </w:r>
      <w:r>
        <w:t xml:space="preserve"> </w:t>
      </w:r>
      <w:r>
        <w:rPr>
          <w:b/>
          <w:bCs/>
        </w:rPr>
        <w:t xml:space="preserve">instrumento no es</w:t>
      </w:r>
      <w:r>
        <w:rPr>
          <w:b/>
          <w:bCs/>
        </w:rPr>
        <w:t xml:space="preserve"> </w:t>
      </w:r>
      <w:r>
        <w:rPr>
          <w:b/>
          <w:bCs/>
        </w:rPr>
        <w:t xml:space="preserve">apropiado para la tarea o la clase de tecnología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Umbral</w:t>
            </w:r>
          </w:p>
        </w:tc>
        <w:tc>
          <w:tcPr/>
          <w:p>
            <w:pPr>
              <w:pStyle w:val="Compact"/>
            </w:pPr>
            <w:r>
              <w:t xml:space="preserve">Medido</w:t>
            </w:r>
          </w:p>
        </w:tc>
        <w:tc>
          <w:tcPr/>
          <w:p>
            <w:pPr>
              <w:pStyle w:val="Compact"/>
            </w:pPr>
            <w:r>
              <w:t xml:space="preserve">¿Cumple?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ROUGE-L (F1)</w:t>
            </w:r>
          </w:p>
        </w:tc>
        <w:tc>
          <w:tcPr/>
          <w:p>
            <w:pPr>
              <w:pStyle w:val="Compact"/>
            </w:pPr>
            <w:r>
              <w:t xml:space="preserve">≥0.35</w:t>
            </w:r>
          </w:p>
        </w:tc>
        <w:tc>
          <w:tcPr/>
          <w:p>
            <w:pPr>
              <w:pStyle w:val="Compact"/>
            </w:pPr>
            <w:r>
              <w:t xml:space="preserve">0.171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BLEU</w:t>
            </w:r>
          </w:p>
        </w:tc>
        <w:tc>
          <w:tcPr/>
          <w:p>
            <w:pPr>
              <w:pStyle w:val="Compact"/>
            </w:pPr>
            <w:r>
              <w:t xml:space="preserve">≥0.25</w:t>
            </w:r>
          </w:p>
        </w:tc>
        <w:tc>
          <w:tcPr/>
          <w:p>
            <w:pPr>
              <w:pStyle w:val="Compact"/>
            </w:pPr>
            <w:r>
              <w:t xml:space="preserve">0.059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≥0.70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Likert media</w:t>
            </w:r>
          </w:p>
        </w:tc>
        <w:tc>
          <w:tcPr/>
          <w:p>
            <w:pPr>
              <w:pStyle w:val="Compact"/>
            </w:pPr>
            <w:r>
              <w:t xml:space="preserve">≥4.0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4.325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Cohen's κ inter-juez</w:t>
            </w:r>
          </w:p>
        </w:tc>
        <w:tc>
          <w:tcPr/>
          <w:p>
            <w:pPr>
              <w:pStyle w:val="Compact"/>
            </w:pPr>
            <w:r>
              <w:t xml:space="preserve">≥0.60</w:t>
            </w:r>
          </w:p>
        </w:tc>
        <w:tc>
          <w:tcPr/>
          <w:p>
            <w:pPr>
              <w:pStyle w:val="Compact"/>
            </w:pPr>
            <w:r>
              <w:t xml:space="preserve">0.211 (Likert) / 0.239 (binario)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Recall@5</w:t>
            </w:r>
          </w:p>
        </w:tc>
        <w:tc>
          <w:tcPr/>
          <w:p>
            <w:pPr>
              <w:pStyle w:val="Compact"/>
            </w:pPr>
            <w:r>
              <w:t xml:space="preserve">≥0.70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MRR@10</w:t>
            </w:r>
          </w:p>
        </w:tc>
        <w:tc>
          <w:tcPr/>
          <w:p>
            <w:pPr>
              <w:pStyle w:val="Compact"/>
            </w:pPr>
            <w:r>
              <w:t xml:space="preserve">≥0.65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0.684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nDCG@10</w:t>
            </w:r>
          </w:p>
        </w:tc>
        <w:tc>
          <w:tcPr/>
          <w:p>
            <w:pPr>
              <w:pStyle w:val="Compact"/>
            </w:pPr>
            <w:r>
              <w:t xml:space="preserve">≥0.55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0.686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Spearman STS</w:t>
            </w:r>
          </w:p>
        </w:tc>
        <w:tc>
          <w:tcPr/>
          <w:p>
            <w:pPr>
              <w:pStyle w:val="Compact"/>
            </w:pPr>
            <w:r>
              <w:t xml:space="preserve">≥0.70</w:t>
            </w:r>
          </w:p>
        </w:tc>
        <w:tc>
          <w:tcPr/>
          <w:p>
            <w:pPr>
              <w:pStyle w:val="Compact"/>
            </w:pPr>
            <w:r>
              <w:t xml:space="preserve">0.664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3480c52668beee5d4370c377eb2ba4c36d525ca"/>
    <w:p>
      <w:pPr>
        <w:pStyle w:val="Heading2"/>
      </w:pPr>
      <w:r>
        <w:t xml:space="preserve">2. Principio (precedente OE2 ya aprobado)</w:t>
      </w:r>
    </w:p>
    <w:p>
      <w:pPr>
        <w:pStyle w:val="FirstParagraph"/>
      </w:pPr>
      <w:r>
        <w:t xml:space="preserve">La asesora ya aceptó el 2026-05-29, en OE2, tratar</w:t>
      </w:r>
      <w:r>
        <w:t xml:space="preserve"> </w:t>
      </w:r>
      <w:r>
        <w:rPr>
          <w:rStyle w:val="VerbatimChar"/>
        </w:rPr>
        <w:t xml:space="preserve">context_entity_recall</w:t>
      </w:r>
      <w:r>
        <w:t xml:space="preserve"> </w:t>
      </w:r>
      <w:r>
        <w:t xml:space="preserve">como</w:t>
      </w:r>
      <w:r>
        <w:t xml:space="preserve"> </w:t>
      </w:r>
      <w:r>
        <w:rPr>
          <w:b/>
          <w:bCs/>
        </w:rPr>
        <w:t xml:space="preserve">métrica</w:t>
      </w:r>
      <w:r>
        <w:rPr>
          <w:b/>
          <w:bCs/>
        </w:rPr>
        <w:t xml:space="preserve"> </w:t>
      </w:r>
      <w:r>
        <w:rPr>
          <w:b/>
          <w:bCs/>
        </w:rPr>
        <w:t xml:space="preserve">secundaria/informativa</w:t>
      </w:r>
      <w:r>
        <w:t xml:space="preserve"> </w:t>
      </w:r>
      <w:r>
        <w:t xml:space="preserve">(fuera del pass-criteria) porque su bajo valor era un artefacto del</w:t>
      </w:r>
      <w:r>
        <w:t xml:space="preserve"> </w:t>
      </w:r>
      <w:r>
        <w:t xml:space="preserve">instrumento (matching literal de entidades), no de la recuperación. Se aplica el</w:t>
      </w:r>
      <w:r>
        <w:t xml:space="preserve"> </w:t>
      </w:r>
      <w:r>
        <w:rPr>
          <w:b/>
          <w:bCs/>
        </w:rPr>
        <w:t xml:space="preserve">mismo</w:t>
      </w:r>
      <w:r>
        <w:rPr>
          <w:b/>
          <w:bCs/>
        </w:rPr>
        <w:t xml:space="preserve"> </w:t>
      </w:r>
      <w:r>
        <w:rPr>
          <w:b/>
          <w:bCs/>
        </w:rPr>
        <w:t xml:space="preserve">principio</w:t>
      </w:r>
      <w:r>
        <w:t xml:space="preserve"> </w:t>
      </w:r>
      <w:r>
        <w:t xml:space="preserve">al OE1:</w:t>
      </w:r>
      <w:r>
        <w:t xml:space="preserve"> </w:t>
      </w:r>
      <w:r>
        <w:rPr>
          <w:b/>
          <w:bCs/>
        </w:rPr>
        <w:t xml:space="preserve">clasificar cada indicador como primario o secundario según su adecuación a</w:t>
      </w:r>
      <w:r>
        <w:rPr>
          <w:b/>
          <w:bCs/>
        </w:rPr>
        <w:t xml:space="preserve"> </w:t>
      </w:r>
      <w:r>
        <w:rPr>
          <w:b/>
          <w:bCs/>
        </w:rPr>
        <w:t xml:space="preserve">la tarea</w:t>
      </w:r>
      <w:r>
        <w:t xml:space="preserve">, en vez de mover umbrales.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Generación — primarias:</w:t>
      </w:r>
      <w:r>
        <w:t xml:space="preserve"> </w:t>
      </w:r>
      <w:r>
        <w:t xml:space="preserve">métricas</w:t>
      </w:r>
      <w:r>
        <w:t xml:space="preserve"> </w:t>
      </w:r>
      <w:r>
        <w:rPr>
          <w:b/>
          <w:bCs/>
        </w:rPr>
        <w:t xml:space="preserve">semánticas</w:t>
      </w:r>
      <w:r>
        <w:t xml:space="preserve"> </w:t>
      </w:r>
      <w:r>
        <w:t xml:space="preserve">(Accuracy, Likert) + las RAGAS de OE2.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Generación — secundarias:</w:t>
      </w:r>
      <w:r>
        <w:t xml:space="preserve"> </w:t>
      </w:r>
      <w:r>
        <w:t xml:space="preserve">ROUGE-L, BLEU (n-gram) y κ automático.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Recuperación — primarias:</w:t>
      </w:r>
      <w:r>
        <w:t xml:space="preserve"> </w:t>
      </w:r>
      <w:r>
        <w:t xml:space="preserve">Recall@5, MRR@10, nDCG@10 (canónicas; cumplen).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Recuperación — secundaria:</w:t>
      </w:r>
      <w:r>
        <w:t xml:space="preserve"> </w:t>
      </w:r>
      <w:r>
        <w:t xml:space="preserve">Spearman STS general.</w:t>
      </w:r>
    </w:p>
    <w:p>
      <w:r>
        <w:pict>
          <v:rect style="width:0;height:1.5pt" o:hralign="center" o:hrstd="t" o:hr="t"/>
        </w:pict>
      </w:r>
    </w:p>
    <w:bookmarkEnd w:id="10"/>
    <w:bookmarkStart w:id="14" w:name="X26b5e23d12468fd68904c2aeb1b6f5b2ef93267"/>
    <w:p>
      <w:pPr>
        <w:pStyle w:val="Heading2"/>
      </w:pPr>
      <w:r>
        <w:t xml:space="preserve">3. Justificación por indicador secundario</w:t>
      </w:r>
    </w:p>
    <w:bookmarkStart w:id="11" w:name="Xef9ad1e43dc3a38c70a163c48118a819512d09e"/>
    <w:p>
      <w:pPr>
        <w:pStyle w:val="Heading3"/>
      </w:pPr>
      <w:r>
        <w:t xml:space="preserve">3.1 ROUGE-L (0.171) y BLEU (0.059) — instrumento inadecuado para QA abierto</w:t>
      </w:r>
    </w:p>
    <w:p>
      <w:pPr>
        <w:pStyle w:val="FirstParagraph"/>
      </w:pPr>
      <w:r>
        <w:t xml:space="preserve">ROUGE y BLEU miden</w:t>
      </w:r>
      <w:r>
        <w:t xml:space="preserve"> </w:t>
      </w:r>
      <w:r>
        <w:rPr>
          <w:b/>
          <w:bCs/>
        </w:rPr>
        <w:t xml:space="preserve">solapamiento de n-gramas</w:t>
      </w:r>
      <w:r>
        <w:t xml:space="preserve"> </w:t>
      </w:r>
      <w:r>
        <w:t xml:space="preserve">con una referencia; fueron diseñados para</w:t>
      </w:r>
      <w:r>
        <w:t xml:space="preserve"> </w:t>
      </w:r>
      <w:r>
        <w:t xml:space="preserve">traducción automática y resumen, donde la salida debe parecerse léxicamente a una referencia</w:t>
      </w:r>
      <w:r>
        <w:t xml:space="preserve"> </w:t>
      </w:r>
      <w:r>
        <w:t xml:space="preserve">corta. El tutor produce respuestas</w:t>
      </w:r>
      <w:r>
        <w:t xml:space="preserve"> </w:t>
      </w:r>
      <w:r>
        <w:rPr>
          <w:b/>
          <w:bCs/>
        </w:rPr>
        <w:t xml:space="preserve">pedagógicas extensas</w:t>
      </w:r>
      <w:r>
        <w:t xml:space="preserve"> </w:t>
      </w:r>
      <w:r>
        <w:t xml:space="preserve">(2-4 párrafos) frente a un</w:t>
      </w:r>
      <w:r>
        <w:t xml:space="preserve"> </w:t>
      </w:r>
      <w:r>
        <w:rPr>
          <w:rStyle w:val="VerbatimChar"/>
        </w:rPr>
        <w:t xml:space="preserve">ground_truth</w:t>
      </w:r>
      <w:r>
        <w:t xml:space="preserve"> </w:t>
      </w:r>
      <w:r>
        <w:t xml:space="preserve">de 1-2 oraciones → la precisión n-gram colapsa (LCS pequeño / respuesta larga) y</w:t>
      </w:r>
      <w:r>
        <w:t xml:space="preserve"> </w:t>
      </w:r>
      <w:r>
        <w:t xml:space="preserve">arrastra F1 y BLEU.</w:t>
      </w:r>
      <w:r>
        <w:t xml:space="preserve"> </w:t>
      </w:r>
      <w:r>
        <w:rPr>
          <w:b/>
          <w:bCs/>
        </w:rPr>
        <w:t xml:space="preserve">No miden corrección semántica</w:t>
      </w:r>
      <w:r>
        <w:t xml:space="preserve">: una respuesta correcta parafraseada puntúa bajo.</w:t>
      </w:r>
    </w:p>
    <w:p>
      <w:pPr>
        <w:pStyle w:val="BodyText"/>
      </w:pPr>
      <w:r>
        <w:t xml:space="preserve">La calidad de generación sí está validada por</w:t>
      </w:r>
      <w:r>
        <w:t xml:space="preserve"> </w:t>
      </w:r>
      <w:r>
        <w:rPr>
          <w:b/>
          <w:bCs/>
        </w:rPr>
        <w:t xml:space="preserve">evidencia convergente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Accuracy</w:t>
      </w:r>
      <w:r>
        <w:t xml:space="preserve"> </w:t>
      </w:r>
      <w:r>
        <w:rPr>
          <w:b/>
          <w:bCs/>
        </w:rPr>
        <w:t xml:space="preserve">0.72</w:t>
      </w:r>
      <w:r>
        <w:t xml:space="preserve"> </w:t>
      </w:r>
      <w:r>
        <w:t xml:space="preserve">(juez independiente llama3.1, consistencia factual).</w:t>
      </w:r>
    </w:p>
    <w:p>
      <w:pPr>
        <w:pStyle w:val="Compact"/>
        <w:numPr>
          <w:ilvl w:val="0"/>
          <w:numId w:val="1002"/>
        </w:numPr>
      </w:pPr>
      <w:r>
        <w:t xml:space="preserve">Likert media</w:t>
      </w:r>
      <w:r>
        <w:t xml:space="preserve"> </w:t>
      </w:r>
      <w:r>
        <w:rPr>
          <w:b/>
          <w:bCs/>
        </w:rPr>
        <w:t xml:space="preserve">4.325</w:t>
      </w:r>
      <w:r>
        <w:t xml:space="preserve"> </w:t>
      </w:r>
      <w:r>
        <w:t xml:space="preserve">(sin alucinaciones 4.86).</w:t>
      </w:r>
    </w:p>
    <w:p>
      <w:pPr>
        <w:pStyle w:val="Compact"/>
        <w:numPr>
          <w:ilvl w:val="0"/>
          <w:numId w:val="1002"/>
        </w:numPr>
      </w:pPr>
      <w:r>
        <w:t xml:space="preserve">RAGAS [OE2]: faithfulness 0.706, answer_relevancy 0.707, answer_correctness 0.609.</w:t>
      </w:r>
    </w:p>
    <w:p>
      <w:pPr>
        <w:pStyle w:val="FirstParagraph"/>
      </w:pPr>
      <w:r>
        <w:rPr>
          <w:b/>
          <w:bCs/>
        </w:rPr>
        <w:t xml:space="preserve">Propuesta:</w:t>
      </w:r>
      <w:r>
        <w:t xml:space="preserve"> </w:t>
      </w:r>
      <w:r>
        <w:t xml:space="preserve">ROUGE-L y BLEU =</w:t>
      </w:r>
      <w:r>
        <w:t xml:space="preserve"> </w:t>
      </w:r>
      <w:r>
        <w:rPr>
          <w:b/>
          <w:bCs/>
        </w:rPr>
        <w:t xml:space="preserve">secundarias/diagnósticas</w:t>
      </w:r>
      <w:r>
        <w:t xml:space="preserve">. Fundamento: limitación conocida de</w:t>
      </w:r>
      <w:r>
        <w:t xml:space="preserve"> </w:t>
      </w:r>
      <w:r>
        <w:t xml:space="preserve">métricas n-gram para evaluación de QA generativa de forma abierta</w:t>
      </w:r>
      <w:r>
        <w:t xml:space="preserve"> </w:t>
      </w:r>
      <w:r>
        <w:rPr>
          <w:b/>
          <w:bCs/>
        </w:rPr>
        <w:t xml:space="preserve">[VERIFICAR FUENTE: p.ej.</w:t>
      </w:r>
      <w:r>
        <w:rPr>
          <w:b/>
          <w:bCs/>
        </w:rPr>
        <w:t xml:space="preserve"> </w:t>
      </w:r>
      <w:r>
        <w:rPr>
          <w:b/>
          <w:bCs/>
        </w:rPr>
        <w:t xml:space="preserve">literatura sobre limitaciones de ROUGE/BLEU para generación abierta / LLM-as-judge]</w:t>
      </w:r>
      <w:r>
        <w:t xml:space="preserve">.</w:t>
      </w:r>
    </w:p>
    <w:bookmarkEnd w:id="11"/>
    <w:bookmarkStart w:id="12" w:name="Xdd061fcd820fb5013a59b4bf9feab7b0b510a4a"/>
    <w:p>
      <w:pPr>
        <w:pStyle w:val="Heading3"/>
      </w:pPr>
      <w:r>
        <w:t xml:space="preserve">3.2 Cohen's κ (0.211 Likert / 0.239 binario) — fiabilidad inter-juez automatizada</w:t>
      </w:r>
    </w:p>
    <w:p>
      <w:pPr>
        <w:pStyle w:val="FirstParagraph"/>
      </w:pPr>
      <w:r>
        <w:t xml:space="preserve">Dos jueces LLM (llama3.1 vs llama3) sobre las 50 respuestas: acuerdo bruto 76 %, pero κ baja</w:t>
      </w:r>
      <w:r>
        <w:t xml:space="preserve"> </w:t>
      </w:r>
      <w:r>
        <w:t xml:space="preserve">(0.21-0.24) porque (a) el Likert se concentra en 4-5 →</w:t>
      </w:r>
      <w:r>
        <w:t xml:space="preserve"> </w:t>
      </w:r>
      <w:r>
        <w:rPr>
          <w:b/>
          <w:bCs/>
        </w:rPr>
        <w:t xml:space="preserve">paradoja de kappa</w:t>
      </w:r>
      <w:r>
        <w:t xml:space="preserve"> </w:t>
      </w:r>
      <w:r>
        <w:t xml:space="preserve">(marginales sesgadas</w:t>
      </w:r>
      <w:r>
        <w:t xml:space="preserve"> </w:t>
      </w:r>
      <w:r>
        <w:t xml:space="preserve">deprimen κ), y (b) los jueces tienen</w:t>
      </w:r>
      <w:r>
        <w:t xml:space="preserve"> </w:t>
      </w:r>
      <w:r>
        <w:rPr>
          <w:b/>
          <w:bCs/>
        </w:rPr>
        <w:t xml:space="preserve">leniencia distinta</w:t>
      </w:r>
      <w:r>
        <w:t xml:space="preserve"> </w:t>
      </w:r>
      <w:r>
        <w:t xml:space="preserve">(llama3.1 marca correcto 72 %, llama3</w:t>
      </w:r>
      <w:r>
        <w:t xml:space="preserve"> </w:t>
      </w:r>
      <w:r>
        <w:t xml:space="preserve">92 %). Es una limitación</w:t>
      </w:r>
      <w:r>
        <w:t xml:space="preserve"> </w:t>
      </w:r>
      <w:r>
        <w:rPr>
          <w:b/>
          <w:bCs/>
        </w:rPr>
        <w:t xml:space="preserve">del juez automatizado</w:t>
      </w:r>
      <w:r>
        <w:t xml:space="preserve">, no de la evaluación.</w:t>
      </w:r>
    </w:p>
    <w:p>
      <w:pPr>
        <w:pStyle w:val="BodyText"/>
      </w:pPr>
      <w:r>
        <w:rPr>
          <w:b/>
          <w:bCs/>
        </w:rPr>
        <w:t xml:space="preserve">Propuesta:</w:t>
      </w:r>
      <w:r>
        <w:t xml:space="preserve"> </w:t>
      </w:r>
      <w:r>
        <w:t xml:space="preserve">reportar κ inter-juez automatizado con su advertencia; el instrumento idóneo es la</w:t>
      </w:r>
      <w:r>
        <w:t xml:space="preserve"> </w:t>
      </w:r>
      <w:r>
        <w:rPr>
          <w:b/>
          <w:bCs/>
        </w:rPr>
        <w:t xml:space="preserve">concordancia multi-evaluador HUMANO</w:t>
      </w:r>
      <w:r>
        <w:t xml:space="preserve">, ya declarada como trabajo futuro en</w:t>
      </w:r>
      <w:r>
        <w:t xml:space="preserve"> </w:t>
      </w:r>
      <w:r>
        <w:rPr>
          <w:rStyle w:val="VerbatimChar"/>
        </w:rPr>
        <w:t xml:space="preserve">reporte-LLM.docx</w:t>
      </w:r>
      <w:r>
        <w:t xml:space="preserve">.</w:t>
      </w:r>
      <w:r>
        <w:t xml:space="preserve"> </w:t>
      </w:r>
      <w:r>
        <w:t xml:space="preserve">κ humano sobre una muestra del golden set cerraría este indicador correctamente.</w:t>
      </w:r>
    </w:p>
    <w:bookmarkEnd w:id="12"/>
    <w:bookmarkStart w:id="13" w:name="X584c9cc275ee9538744b0c4e9d397c46ed6d88f"/>
    <w:p>
      <w:pPr>
        <w:pStyle w:val="Heading3"/>
      </w:pPr>
      <w:r>
        <w:t xml:space="preserve">3.3 Spearman STS (0.664) — fuera de dominio</w:t>
      </w:r>
    </w:p>
    <w:p>
      <w:pPr>
        <w:pStyle w:val="FirstParagraph"/>
      </w:pPr>
      <w:r>
        <w:rPr>
          <w:rStyle w:val="VerbatimChar"/>
        </w:rPr>
        <w:t xml:space="preserve">stsb_multi_mt</w:t>
      </w:r>
      <w:r>
        <w:t xml:space="preserve"> </w:t>
      </w:r>
      <w:r>
        <w:t xml:space="preserve">(es) es similitud textual</w:t>
      </w:r>
      <w:r>
        <w:t xml:space="preserve"> </w:t>
      </w:r>
      <w:r>
        <w:rPr>
          <w:b/>
          <w:bCs/>
        </w:rPr>
        <w:t xml:space="preserve">simétrica de dominio general</w:t>
      </w:r>
      <w:r>
        <w:t xml:space="preserve">.</w:t>
      </w:r>
      <w:r>
        <w:t xml:space="preserve"> </w:t>
      </w:r>
      <w:r>
        <w:rPr>
          <w:rStyle w:val="VerbatimChar"/>
        </w:rPr>
        <w:t xml:space="preserve">mxbai-embed-large</w:t>
      </w:r>
      <w:r>
        <w:t xml:space="preserve"> </w:t>
      </w:r>
      <w:r>
        <w:t xml:space="preserve">está optimizado para</w:t>
      </w:r>
      <w:r>
        <w:t xml:space="preserve"> </w:t>
      </w:r>
      <w:r>
        <w:rPr>
          <w:b/>
          <w:bCs/>
        </w:rPr>
        <w:t xml:space="preserve">recuperación asimétrica</w:t>
      </w:r>
      <w:r>
        <w:t xml:space="preserve"> </w:t>
      </w:r>
      <w:r>
        <w:t xml:space="preserve">(query↔documento), que es la tarea real del</w:t>
      </w:r>
      <w:r>
        <w:t xml:space="preserve"> </w:t>
      </w:r>
      <w:r>
        <w:t xml:space="preserve">sistema. La recuperación</w:t>
      </w:r>
      <w:r>
        <w:t xml:space="preserve"> </w:t>
      </w:r>
      <w:r>
        <w:rPr>
          <w:b/>
          <w:bCs/>
        </w:rPr>
        <w:t xml:space="preserve">de dominio</w:t>
      </w:r>
      <w:r>
        <w:t xml:space="preserve"> </w:t>
      </w:r>
      <w:r>
        <w:t xml:space="preserve">sí cumple: Recall@5 0.72, y RAGAS context_recall 0.812 /</w:t>
      </w:r>
      <w:r>
        <w:t xml:space="preserve"> </w:t>
      </w:r>
      <w:r>
        <w:t xml:space="preserve">context_precision 0.876 con el instrumento oficial.</w:t>
      </w:r>
    </w:p>
    <w:p>
      <w:pPr>
        <w:pStyle w:val="BodyText"/>
      </w:pPr>
      <w:r>
        <w:rPr>
          <w:b/>
          <w:bCs/>
        </w:rPr>
        <w:t xml:space="preserve">Propuesta:</w:t>
      </w:r>
      <w:r>
        <w:t xml:space="preserve"> </w:t>
      </w:r>
      <w:r>
        <w:t xml:space="preserve">Spearman STS general =</w:t>
      </w:r>
      <w:r>
        <w:t xml:space="preserve"> </w:t>
      </w:r>
      <w:r>
        <w:rPr>
          <w:b/>
          <w:bCs/>
        </w:rPr>
        <w:t xml:space="preserve">secundaria/informativa</w:t>
      </w:r>
      <w:r>
        <w:t xml:space="preserve">; la validación de recuperación de</w:t>
      </w:r>
      <w:r>
        <w:t xml:space="preserve"> </w:t>
      </w:r>
      <w:r>
        <w:t xml:space="preserve">dominio (OE1 canónicas + OE2 RAGAS) es la evidencia central.</w:t>
      </w:r>
      <w:r>
        <w:t xml:space="preserve"> </w:t>
      </w:r>
      <w:r>
        <w:rPr>
          <w:b/>
          <w:bCs/>
        </w:rPr>
        <w:t xml:space="preserve">[VERIFICAR FUENTE: embeddings de</w:t>
      </w:r>
      <w:r>
        <w:rPr>
          <w:b/>
          <w:bCs/>
        </w:rPr>
        <w:t xml:space="preserve"> </w:t>
      </w:r>
      <w:r>
        <w:rPr>
          <w:b/>
          <w:bCs/>
        </w:rPr>
        <w:t xml:space="preserve">recuperación vs tareas STS simétricas]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d2d6334b5fa4cdda543adddf54fc2e804f741bf"/>
    <w:p>
      <w:pPr>
        <w:pStyle w:val="Heading2"/>
      </w:pPr>
      <w:r>
        <w:t xml:space="preserve">4. Resultado bajo el encuadre propuesto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Dimensión OE1</w:t>
            </w:r>
          </w:p>
        </w:tc>
        <w:tc>
          <w:tcPr/>
          <w:p>
            <w:pPr>
              <w:pStyle w:val="Compact"/>
            </w:pPr>
            <w:r>
              <w:t xml:space="preserve">Indicadores primarios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seleccionado (qwen2.5)</w:t>
            </w:r>
          </w:p>
        </w:tc>
        <w:tc>
          <w:tcPr/>
          <w:p>
            <w:pPr>
              <w:pStyle w:val="Compact"/>
            </w:pPr>
            <w:r>
              <w:t xml:space="preserve">Accuracy 0.72, Likert 4.325 (+ RAGAS)</w:t>
            </w:r>
          </w:p>
        </w:tc>
        <w:tc>
          <w:tcPr/>
          <w:p>
            <w:pPr>
              <w:pStyle w:val="Compact"/>
            </w:pPr>
            <w:r>
              <w:t xml:space="preserve">✅ Validado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Embeddings seleccionado (mxbai)</w:t>
            </w:r>
          </w:p>
        </w:tc>
        <w:tc>
          <w:tcPr/>
          <w:p>
            <w:pPr>
              <w:pStyle w:val="Compact"/>
            </w:pPr>
            <w:r>
              <w:t xml:space="preserve">Recall@5 0.72, MRR@10 0.684, nDCG@10 0.686</w:t>
            </w:r>
          </w:p>
        </w:tc>
        <w:tc>
          <w:tcPr/>
          <w:p>
            <w:pPr>
              <w:pStyle w:val="Compact"/>
            </w:pPr>
            <w:r>
              <w:t xml:space="preserve">✅ Validado</w:t>
            </w:r>
          </w:p>
        </w:tc>
      </w:tr>
    </w:tbl>
    <w:p>
      <w:pPr>
        <w:pStyle w:val="BodyText"/>
      </w:pPr>
      <w:r>
        <w:t xml:space="preserve">Las cuatro métricas secundarias se reportan con transparencia y su justificación de inadecuación;</w:t>
      </w:r>
      <w:r>
        <w:t xml:space="preserve"> </w:t>
      </w:r>
      <w:r>
        <w:t xml:space="preserve">no forman parte del pass-criteria, igual que</w:t>
      </w:r>
      <w:r>
        <w:t xml:space="preserve"> </w:t>
      </w:r>
      <w:r>
        <w:rPr>
          <w:rStyle w:val="VerbatimChar"/>
        </w:rPr>
        <w:t xml:space="preserve">context_entity_recall</w:t>
      </w:r>
      <w:r>
        <w:t xml:space="preserve"> </w:t>
      </w:r>
      <w:r>
        <w:t xml:space="preserve">en OE2.</w:t>
      </w:r>
    </w:p>
    <w:p>
      <w:r>
        <w:pict>
          <v:rect style="width:0;height:1.5pt" o:hralign="center" o:hrstd="t" o:hr="t"/>
        </w:pict>
      </w:r>
    </w:p>
    <w:bookmarkEnd w:id="15"/>
    <w:bookmarkStart w:id="16" w:name="Xfe61f4ca8f6d2bb380aa695076de379307f74e8"/>
    <w:p>
      <w:pPr>
        <w:pStyle w:val="Heading2"/>
      </w:pPr>
      <w:r>
        <w:t xml:space="preserve">5. Decisión (✅ aprobada por la asesora, 2026-05-29)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Clasificación primaria/secundaria APROBADA.</w:t>
      </w:r>
      <w:r>
        <w:t xml:space="preserve"> </w:t>
      </w:r>
      <w:r>
        <w:t xml:space="preserve">Criterio OE1 = métricas semánticas de</w:t>
      </w:r>
      <w:r>
        <w:t xml:space="preserve"> </w:t>
      </w:r>
      <w:r>
        <w:t xml:space="preserve">generación (Accuracy, Likert) + métricas canónicas de recuperación (Recall@5, MRR@10, nDCG@10).</w:t>
      </w:r>
      <w:r>
        <w:t xml:space="preserve"> </w:t>
      </w:r>
      <w:r>
        <w:t xml:space="preserve">ROUGE-L, BLEU, Spearman STS general y κ automático =</w:t>
      </w:r>
      <w:r>
        <w:t xml:space="preserve"> </w:t>
      </w:r>
      <w:r>
        <w:rPr>
          <w:b/>
          <w:bCs/>
        </w:rPr>
        <w:t xml:space="preserve">secundarias/diagnósticas</w:t>
      </w:r>
      <w:r>
        <w:t xml:space="preserve"> </w:t>
      </w:r>
      <w:r>
        <w:t xml:space="preserve">(fuera del</w:t>
      </w:r>
      <w:r>
        <w:t xml:space="preserve"> </w:t>
      </w:r>
      <w:r>
        <w:t xml:space="preserve">pass-criteria).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κ humano = trabajo futuro</w:t>
      </w:r>
      <w:r>
        <w:t xml:space="preserve"> </w:t>
      </w:r>
      <w:r>
        <w:t xml:space="preserve">(aceptado). El κ inter-juez automatizado se reporta con su</w:t>
      </w:r>
      <w:r>
        <w:t xml:space="preserve"> </w:t>
      </w:r>
      <w:r>
        <w:t xml:space="preserve">advertencia; la concordancia multi-evaluador humano sobre una submuestra cierra el indicador</w:t>
      </w:r>
      <w:r>
        <w:t xml:space="preserve"> </w:t>
      </w:r>
      <w:r>
        <w:t xml:space="preserve">más adelante.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Umbrales aspiracionales se mantienen</w:t>
      </w:r>
      <w:r>
        <w:t xml:space="preserve"> </w:t>
      </w:r>
      <w:r>
        <w:t xml:space="preserve">en el documento de objetivos, con nota de "instrumento</w:t>
      </w:r>
      <w:r>
        <w:t xml:space="preserve"> </w:t>
      </w:r>
      <w:r>
        <w:t xml:space="preserve">secundario" para los cuatro reclasificados; no se ajustan a la baja (se evita goalpost-moving).</w:t>
      </w:r>
    </w:p>
    <w:p>
      <w:r>
        <w:pict>
          <v:rect style="width:0;height:1.5pt" o:hralign="center" o:hrstd="t" o:hr="t"/>
        </w:pict>
      </w:r>
    </w:p>
    <w:bookmarkEnd w:id="16"/>
    <w:bookmarkStart w:id="17" w:name="Xe4689cab4bd6abe7d7b54dee2eaa89d5c5a0feb"/>
    <w:p>
      <w:pPr>
        <w:pStyle w:val="Heading2"/>
      </w:pPr>
      <w:r>
        <w:t xml:space="preserve">6. Encuadre honesto para la sustentación</w:t>
      </w:r>
    </w:p>
    <w:p>
      <w:pPr>
        <w:pStyle w:val="Compact"/>
        <w:numPr>
          <w:ilvl w:val="0"/>
          <w:numId w:val="1004"/>
        </w:numPr>
      </w:pPr>
      <w:r>
        <w:t xml:space="preserve">Reportar</w:t>
      </w:r>
      <w:r>
        <w:t xml:space="preserve"> </w:t>
      </w:r>
      <w:r>
        <w:rPr>
          <w:b/>
          <w:bCs/>
        </w:rPr>
        <w:t xml:space="preserve">los 9 indicadores con transparencia</w:t>
      </w:r>
      <w:r>
        <w:t xml:space="preserve">, declarando cuáles son primarios y por qué los</w:t>
      </w:r>
      <w:r>
        <w:t xml:space="preserve"> </w:t>
      </w:r>
      <w:r>
        <w:t xml:space="preserve">secundarios no aplican como criterio (inadecuación de instrumento, con cita).</w:t>
      </w:r>
    </w:p>
    <w:p>
      <w:pPr>
        <w:pStyle w:val="Compact"/>
        <w:numPr>
          <w:ilvl w:val="0"/>
          <w:numId w:val="1004"/>
        </w:numPr>
      </w:pPr>
      <w:r>
        <w:t xml:space="preserve">Enfatizar la</w:t>
      </w:r>
      <w:r>
        <w:t xml:space="preserve"> </w:t>
      </w:r>
      <w:r>
        <w:rPr>
          <w:b/>
          <w:bCs/>
        </w:rPr>
        <w:t xml:space="preserve">evidencia convergente</w:t>
      </w:r>
      <w:r>
        <w:t xml:space="preserve">: la calidad de generación y la precisión de recuperación</w:t>
      </w:r>
      <w:r>
        <w:t xml:space="preserve"> </w:t>
      </w:r>
      <w:r>
        <w:t xml:space="preserve">están validadas por instrumentos apropiados Y de forma cruzada por OE2/RAGAS.</w:t>
      </w:r>
    </w:p>
    <w:p>
      <w:pPr>
        <w:pStyle w:val="Compact"/>
        <w:numPr>
          <w:ilvl w:val="0"/>
          <w:numId w:val="1004"/>
        </w:numPr>
      </w:pPr>
      <w:r>
        <w:t xml:space="preserve">Presentar ROUGE/BLEU/STS/κ-automático como</w:t>
      </w:r>
      <w:r>
        <w:t xml:space="preserve"> </w:t>
      </w:r>
      <w:r>
        <w:rPr>
          <w:b/>
          <w:bCs/>
        </w:rPr>
        <w:t xml:space="preserve">limitaciones de medición + trabajo futuro</w:t>
      </w:r>
      <w:r>
        <w:t xml:space="preserve"> </w:t>
      </w:r>
      <w:r>
        <w:t xml:space="preserve">(métricas semánticas, κ humano), coherente con el alcance de una tesis de pregrado.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insertar citas sin verificar.</w:t>
      </w:r>
      <w:r>
        <w:t xml:space="preserve"> </w:t>
      </w:r>
      <w:r>
        <w:t xml:space="preserve">El tesista confirma cada</w:t>
      </w:r>
      <w:r>
        <w:t xml:space="preserve"> </w:t>
      </w:r>
      <w:r>
        <w:rPr>
          <w:b/>
          <w:bCs/>
        </w:rPr>
        <w:t xml:space="preserve">[VERIFICAR FUENTE]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X83f803c88953ec2b4e29b94cd0bdf373db80d58"/>
    <w:p>
      <w:pPr>
        <w:pStyle w:val="Heading2"/>
      </w:pPr>
      <w:r>
        <w:t xml:space="preserve">7. Artefactos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docs/reporte-OE1-metricas-oficiales.docx</w:t>
      </w:r>
      <w:r>
        <w:t xml:space="preserve"> </w:t>
      </w:r>
      <w:r>
        <w:t xml:space="preserve">— medición completa de los 9 indicadores.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backend/scripts/oe1_{generation,retrieval,sts}.py</w:t>
      </w:r>
      <w:r>
        <w:t xml:space="preserve"> </w:t>
      </w:r>
      <w:r>
        <w:t xml:space="preserve">— harness reproducible.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docs/oe1_{generation,retrieval,sts}_results.json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oe1_generation_log.jsonl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Precedente OE2:</w:t>
      </w:r>
      <w:r>
        <w:t xml:space="preserve"> </w:t>
      </w:r>
      <w:r>
        <w:rPr>
          <w:rStyle w:val="VerbatimChar"/>
        </w:rPr>
        <w:t xml:space="preserve">docs/oe2-recalibracion-umbrales-propuesta.md</w:t>
      </w:r>
      <w:r>
        <w:t xml:space="preserve"> </w:t>
      </w:r>
      <w:r>
        <w:t xml:space="preserve">(aprobado 2026-05-29).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2026-05-29T14:26:42Z</dcterms:created>
  <dcterms:modified xsi:type="dcterms:W3CDTF">2026-05-29T14:26:42Z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