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46553f0187ac3f423c2e7bd1dabd437dd498b7d"/>
    <w:p>
      <w:pPr>
        <w:pStyle w:val="Heading1"/>
      </w:pPr>
      <w:r>
        <w:t xml:space="preserve">Reporte de Métricas Oficiales OE1 — Selección de LLM y Embeddings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Tutor IA Generativa — Curso Aplicaciones Móviles, IESTP "República Federal de Alemania" (Chiclayo)</w:t>
      </w:r>
      <w:r>
        <w:t xml:space="preserve"> </w:t>
      </w:r>
      <w:r>
        <w:rPr>
          <w:b/>
          <w:bCs/>
        </w:rPr>
        <w:t xml:space="preserve">Tesista:</w:t>
      </w:r>
      <w:r>
        <w:t xml:space="preserve"> </w:t>
      </w:r>
      <w:r>
        <w:t xml:space="preserve">Roger Alessandro Zavaleta Marcelo · USAT — Escuela de Ingeniería de Sistemas y Computación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</w:t>
      </w:r>
      <w:r>
        <w:t xml:space="preserve"> </w:t>
      </w:r>
      <w:r>
        <w:rPr>
          <w:b/>
          <w:bCs/>
        </w:rPr>
        <w:t xml:space="preserve">Objetivo específico:</w:t>
      </w:r>
      <w:r>
        <w:t xml:space="preserve"> </w:t>
      </w:r>
      <w:r>
        <w:t xml:space="preserve">OE1 — Seleccionar el LLM de código abierto y el modelo de embeddings para generación y recuperación de respuestas en español del dominio de Aplicaciones Móviles.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2026-05-29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lockText"/>
      </w:pPr>
      <w:r>
        <w:t xml:space="preserve">Este reporte</w:t>
      </w:r>
      <w:r>
        <w:t xml:space="preserve"> </w:t>
      </w:r>
      <w:r>
        <w:rPr>
          <w:b/>
          <w:bCs/>
        </w:rPr>
        <w:t xml:space="preserve">complementa</w:t>
      </w:r>
      <w:r>
        <w:t xml:space="preserve"> </w:t>
      </w:r>
      <w:r>
        <w:rPr>
          <w:rStyle w:val="VerbatimChar"/>
        </w:rPr>
        <w:t xml:space="preserve">reporte-LLM.docx</w:t>
      </w:r>
      <w:r>
        <w:t xml:space="preserve"> </w:t>
      </w:r>
      <w:r>
        <w:t xml:space="preserve">(Sprint 2: comparativa de 3 LLM + 2 embeddings</w:t>
      </w:r>
      <w:r>
        <w:t xml:space="preserve"> </w:t>
      </w:r>
      <w:r>
        <w:t xml:space="preserve">por rúbrica Likert, latencia, VRAM). Aquí se computan los</w:t>
      </w:r>
      <w:r>
        <w:t xml:space="preserve"> </w:t>
      </w:r>
      <w:r>
        <w:rPr>
          <w:b/>
          <w:bCs/>
        </w:rPr>
        <w:t xml:space="preserve">indicadores objetivamente</w:t>
      </w:r>
      <w:r>
        <w:rPr>
          <w:b/>
          <w:bCs/>
        </w:rPr>
        <w:t xml:space="preserve"> </w:t>
      </w:r>
      <w:r>
        <w:rPr>
          <w:b/>
          <w:bCs/>
        </w:rPr>
        <w:t xml:space="preserve">verificables oficiales</w:t>
      </w:r>
      <w:r>
        <w:t xml:space="preserve"> </w:t>
      </w:r>
      <w:r>
        <w:t xml:space="preserve">del OE1 que no figuraban en aquel reporte, sobre el modelo</w:t>
      </w:r>
      <w:r>
        <w:t xml:space="preserve"> </w:t>
      </w:r>
      <w:r>
        <w:t xml:space="preserve">seleccionado (</w:t>
      </w:r>
      <w:r>
        <w:rPr>
          <w:rStyle w:val="VerbatimChar"/>
        </w:rPr>
        <w:t xml:space="preserve">qwen2.5:7b-instruct-q4_K_M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) y el golden set de 50 ítems.</w:t>
      </w:r>
    </w:p>
    <w:p>
      <w:r>
        <w:pict>
          <v:rect style="width:0;height:1.5pt" o:hralign="center" o:hrstd="t" o:hr="t"/>
        </w:pict>
      </w:r>
    </w:p>
    <w:bookmarkStart w:id="9" w:name="X424fe2431d37df35eb119be5b6c08764a0192d8"/>
    <w:p>
      <w:pPr>
        <w:pStyle w:val="Heading2"/>
      </w:pPr>
      <w:r>
        <w:t xml:space="preserve">1. Resumen ejecutivo — tablero de los 9 indicadores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Valor medido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ROUGE-L (F1)</w:t>
            </w:r>
          </w:p>
        </w:tc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≥0.35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BLEU</w:t>
            </w:r>
          </w:p>
        </w:tc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≥0.25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Likert media</w:t>
            </w:r>
          </w:p>
        </w:tc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≥4.0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Cohen's κ (inter-juez)</w:t>
            </w:r>
          </w:p>
        </w:tc>
        <w:tc>
          <w:tcPr/>
          <w:p>
            <w:pPr>
              <w:pStyle w:val="Compact"/>
            </w:pPr>
            <w:r>
              <w:t xml:space="preserve">fiabilidad</w:t>
            </w:r>
          </w:p>
        </w:tc>
        <w:tc>
          <w:tcPr/>
          <w:p>
            <w:pPr>
              <w:pStyle w:val="Compact"/>
            </w:pPr>
            <w:r>
              <w:t xml:space="preserve">≥0.60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0.211</w:t>
            </w:r>
            <w:r>
              <w:t xml:space="preserve"> </w:t>
            </w:r>
            <w:r>
              <w:t xml:space="preserve">(Likert) /</w:t>
            </w:r>
            <w:r>
              <w:t xml:space="preserve"> </w:t>
            </w:r>
            <w:r>
              <w:rPr>
                <w:b/>
                <w:bCs/>
              </w:rPr>
              <w:t xml:space="preserve">0.239</w:t>
            </w:r>
            <w:r>
              <w:t xml:space="preserve"> </w:t>
            </w:r>
            <w:r>
              <w:t xml:space="preserve">(binario)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MRR@10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nDCG@10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Spearman STS</w:t>
            </w:r>
          </w:p>
        </w:tc>
        <w:tc>
          <w:tcPr/>
          <w:p>
            <w:pPr>
              <w:pStyle w:val="Compact"/>
            </w:pPr>
            <w:r>
              <w:t xml:space="preserve">recuperación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Resultado: 5 de 9 indicadores cumplen.</w:t>
      </w:r>
      <w:r>
        <w:t xml:space="preserve"> </w:t>
      </w:r>
      <w:r>
        <w:t xml:space="preserve">Cumplen las métricas</w:t>
      </w:r>
      <w:r>
        <w:t xml:space="preserve"> </w:t>
      </w:r>
      <w:r>
        <w:rPr>
          <w:b/>
          <w:bCs/>
        </w:rPr>
        <w:t xml:space="preserve">semánticas de generación</w:t>
      </w:r>
      <w:r>
        <w:t xml:space="preserve"> </w:t>
      </w:r>
      <w:r>
        <w:t xml:space="preserve">(Accuracy, Likert) y</w:t>
      </w:r>
      <w:r>
        <w:t xml:space="preserve"> </w:t>
      </w:r>
      <w:r>
        <w:rPr>
          <w:b/>
          <w:bCs/>
        </w:rPr>
        <w:t xml:space="preserve">las tres métricas canónicas de recuperación</w:t>
      </w:r>
      <w:r>
        <w:t xml:space="preserve"> </w:t>
      </w:r>
      <w:r>
        <w:t xml:space="preserve">(Recall@5, MRR@10, nDCG@10).</w:t>
      </w:r>
      <w:r>
        <w:t xml:space="preserve"> </w:t>
      </w:r>
      <w:r>
        <w:t xml:space="preserve">Quedan por debajo cuatro: las dos métricas de</w:t>
      </w:r>
      <w:r>
        <w:t xml:space="preserve"> </w:t>
      </w:r>
      <w:r>
        <w:rPr>
          <w:b/>
          <w:bCs/>
        </w:rPr>
        <w:t xml:space="preserve">solapamiento n-gram</w:t>
      </w:r>
      <w:r>
        <w:t xml:space="preserve"> </w:t>
      </w:r>
      <w:r>
        <w:t xml:space="preserve">(ROUGE-L, BLEU), la</w:t>
      </w:r>
      <w:r>
        <w:t xml:space="preserve"> </w:t>
      </w:r>
      <w:r>
        <w:rPr>
          <w:b/>
          <w:bCs/>
        </w:rPr>
        <w:t xml:space="preserve">concordancia κ inter-juez</w:t>
      </w:r>
      <w:r>
        <w:t xml:space="preserve">, y la</w:t>
      </w:r>
      <w:r>
        <w:t xml:space="preserve"> </w:t>
      </w:r>
      <w:r>
        <w:rPr>
          <w:b/>
          <w:bCs/>
        </w:rPr>
        <w:t xml:space="preserve">STS general de dominio abierto</w:t>
      </w:r>
      <w:r>
        <w:t xml:space="preserve">. La §6 argumenta que esos</w:t>
      </w:r>
      <w:r>
        <w:t xml:space="preserve"> </w:t>
      </w:r>
      <w:r>
        <w:t xml:space="preserve">cuatro reflejan</w:t>
      </w:r>
      <w:r>
        <w:t xml:space="preserve"> </w:t>
      </w:r>
      <w:r>
        <w:rPr>
          <w:b/>
          <w:bCs/>
        </w:rPr>
        <w:t xml:space="preserve">inadecuación del instrumento a la tarea</w:t>
      </w:r>
      <w:r>
        <w:t xml:space="preserve">, no deficiencia del sistema, y se</w:t>
      </w:r>
      <w:r>
        <w:t xml:space="preserve"> </w:t>
      </w:r>
      <w:r>
        <w:t xml:space="preserve">apoya en evidencia convergente (Accuracy 0.72, Likert 4.325, y las métricas RAGAS de OE2).</w:t>
      </w:r>
    </w:p>
    <w:p>
      <w:r>
        <w:pict>
          <v:rect style="width:0;height:1.5pt" o:hralign="center" o:hrstd="t" o:hr="t"/>
        </w:pict>
      </w:r>
    </w:p>
    <w:bookmarkEnd w:id="9"/>
    <w:bookmarkStart w:id="12" w:name="X70176dfd4083b9e5f625a28aac6c1a73d1a9391"/>
    <w:p>
      <w:pPr>
        <w:pStyle w:val="Heading2"/>
      </w:pPr>
      <w:r>
        <w:t xml:space="preserve">2. Metodología</w:t>
      </w:r>
    </w:p>
    <w:bookmarkStart w:id="10" w:name="X10a8d592fe1d1923858afd9da570076158a9a80"/>
    <w:p>
      <w:pPr>
        <w:pStyle w:val="Heading3"/>
      </w:pPr>
      <w:r>
        <w:t xml:space="preserve">2.1 Golden set e infraestructura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 preguntas con ground_truth</w:t>
      </w:r>
      <w:r>
        <w:t xml:space="preserve">, módulos M1–M5 (</w:t>
      </w:r>
      <w:r>
        <w:rPr>
          <w:rStyle w:val="VerbatimChar"/>
        </w:rPr>
        <w:t xml:space="preserve">backend/tests/fixtures/golden_set.json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Modelos: generador</w:t>
      </w:r>
      <w:r>
        <w:t xml:space="preserve"> </w:t>
      </w:r>
      <w:r>
        <w:rPr>
          <w:rStyle w:val="VerbatimChar"/>
          <w:b/>
          <w:bCs/>
        </w:rPr>
        <w:t xml:space="preserve">qwen2.5:7b-instruct-q4_K_M</w:t>
      </w:r>
      <w:r>
        <w:t xml:space="preserve">, embeddings</w:t>
      </w:r>
      <w:r>
        <w:t xml:space="preserve"> </w:t>
      </w:r>
      <w:r>
        <w:rPr>
          <w:rStyle w:val="VerbatimChar"/>
          <w:b/>
          <w:bCs/>
        </w:rPr>
        <w:t xml:space="preserve">mxbai-embed-large</w:t>
      </w:r>
      <w:r>
        <w:t xml:space="preserve"> </w:t>
      </w:r>
      <w:r>
        <w:t xml:space="preserve">(1024 dim),</w:t>
      </w:r>
      <w:r>
        <w:t xml:space="preserve"> </w:t>
      </w:r>
      <w:r>
        <w:t xml:space="preserve">vía Ollama auto-hospedado (sin APIs pagas).</w:t>
      </w:r>
    </w:p>
    <w:p>
      <w:pPr>
        <w:pStyle w:val="Compact"/>
        <w:numPr>
          <w:ilvl w:val="0"/>
          <w:numId w:val="1001"/>
        </w:numPr>
      </w:pPr>
      <w:r>
        <w:t xml:space="preserve">Respuestas generadas con el</w:t>
      </w:r>
      <w:r>
        <w:t xml:space="preserve"> </w:t>
      </w:r>
      <w:r>
        <w:rPr>
          <w:b/>
          <w:bCs/>
        </w:rPr>
        <w:t xml:space="preserve">pipeline RAG de producción</w:t>
      </w:r>
      <w:r>
        <w:t xml:space="preserve"> </w:t>
      </w:r>
      <w:r>
        <w:t xml:space="preserve">(recuperación mxbai +</w:t>
      </w:r>
      <w:r>
        <w:t xml:space="preserve"> </w:t>
      </w:r>
      <w:r>
        <w:rPr>
          <w:b/>
          <w:bCs/>
        </w:rPr>
        <w:t xml:space="preserve">rerank</w:t>
      </w:r>
      <w:r>
        <w:rPr>
          <w:b/>
          <w:bCs/>
        </w:rPr>
        <w:t xml:space="preserve"> </w:t>
      </w:r>
      <w:r>
        <w:rPr>
          <w:b/>
          <w:bCs/>
        </w:rPr>
        <w:t xml:space="preserve">cross-encoder</w:t>
      </w:r>
      <w:r>
        <w:t xml:space="preserve"> </w:t>
      </w:r>
      <w:r>
        <w:t xml:space="preserve">+ generación qwen2.5, temperature 0.1, num_ctx 8192), config idéntica a</w:t>
      </w:r>
      <w:r>
        <w:t xml:space="preserve"> </w:t>
      </w:r>
      <w:r>
        <w:rPr>
          <w:rStyle w:val="VerbatimChar"/>
        </w:rPr>
        <w:t xml:space="preserve">rag_service</w:t>
      </w:r>
      <w:r>
        <w:t xml:space="preserve">. Esto mide al LLM en su configuración desplegada real.</w:t>
      </w:r>
    </w:p>
    <w:bookmarkEnd w:id="10"/>
    <w:bookmarkStart w:id="11" w:name="X701ad83e33676bcf71c9ca8b06f5b3737bc9f8c"/>
    <w:p>
      <w:pPr>
        <w:pStyle w:val="Heading3"/>
      </w:pPr>
      <w:r>
        <w:t xml:space="preserve">2.2 Instrumento por métrica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Instrumento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ROUGE-L (F1)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rouge_score</w:t>
            </w:r>
            <w:r>
              <w:t xml:space="preserve"> </w:t>
            </w:r>
            <w:r>
              <w:t xml:space="preserve">(sin stemmer; español), answer vs ground_truth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sacrebleu</w:t>
            </w:r>
            <w:r>
              <w:t xml:space="preserve"> </w:t>
            </w:r>
            <w:r>
              <w:t xml:space="preserve">corpus-BLEU, tokenize=</w:t>
            </w:r>
            <w:r>
              <w:rPr>
                <w:rStyle w:val="VerbatimChar"/>
              </w:rPr>
              <w:t xml:space="preserve">intl</w:t>
            </w:r>
            <w:r>
              <w:t xml:space="preserve">, answer vs ground_truth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juez</w:t>
            </w:r>
            <w:r>
              <w:t xml:space="preserve"> </w:t>
            </w:r>
            <w:r>
              <w:rPr>
                <w:b/>
                <w:bCs/>
              </w:rPr>
              <w:t xml:space="preserve">independiente</w:t>
            </w:r>
            <w:r>
              <w:t xml:space="preserve"> </w:t>
            </w:r>
            <w:r>
              <w:rPr>
                <w:rStyle w:val="VerbatimChar"/>
              </w:rPr>
              <w:t xml:space="preserve">llama3.1:8b</w:t>
            </w:r>
            <w:r>
              <w:t xml:space="preserve"> </w:t>
            </w:r>
            <w:r>
              <w:t xml:space="preserve">→ consistencia factual (correcto/incorrecto)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Likert media</w:t>
            </w:r>
          </w:p>
        </w:tc>
        <w:tc>
          <w:tcPr/>
          <w:p>
            <w:pPr>
              <w:pStyle w:val="Compact"/>
            </w:pPr>
            <w:r>
              <w:t xml:space="preserve">juez independiente</w:t>
            </w:r>
            <w:r>
              <w:t xml:space="preserve"> </w:t>
            </w:r>
            <w:r>
              <w:rPr>
                <w:rStyle w:val="VerbatimChar"/>
              </w:rPr>
              <w:t xml:space="preserve">llama3.1:8b</w:t>
            </w:r>
            <w:r>
              <w:t xml:space="preserve">, rúbrica 1-5 sobre 4 criterios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Cohen's κ</w:t>
            </w:r>
          </w:p>
        </w:tc>
        <w:tc>
          <w:tcPr/>
          <w:p>
            <w:pPr>
              <w:pStyle w:val="Compact"/>
            </w:pPr>
            <w:r>
              <w:t xml:space="preserve">concordancia</w:t>
            </w:r>
            <w:r>
              <w:t xml:space="preserve"> </w:t>
            </w:r>
            <w:r>
              <w:rPr>
                <w:b/>
                <w:bCs/>
              </w:rPr>
              <w:t xml:space="preserve">inter-juez</w:t>
            </w:r>
            <w:r>
              <w:t xml:space="preserve"> </w:t>
            </w:r>
            <w:r>
              <w:rPr>
                <w:rStyle w:val="VerbatimChar"/>
              </w:rPr>
              <w:t xml:space="preserve">llama3.1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llama3</w:t>
            </w:r>
            <w:r>
              <w:t xml:space="preserve"> </w:t>
            </w:r>
            <w:r>
              <w:t xml:space="preserve">sobre el Likert global (κ cuadrático)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 / MRR@10 / nDCG@10</w:t>
            </w:r>
          </w:p>
        </w:tc>
        <w:tc>
          <w:tcPr/>
          <w:p>
            <w:pPr>
              <w:pStyle w:val="Compact"/>
            </w:pPr>
            <w:r>
              <w:t xml:space="preserve">recuperación mxbai + rerank; relevancia binaria por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 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stsb_multi_mt</w:t>
            </w:r>
            <w:r>
              <w:t xml:space="preserve"> </w:t>
            </w:r>
            <w:r>
              <w:t xml:space="preserve">(config</w:t>
            </w:r>
            <w:r>
              <w:t xml:space="preserve"> </w:t>
            </w:r>
            <w:r>
              <w:rPr>
                <w:rStyle w:val="VerbatimChar"/>
              </w:rPr>
              <w:t xml:space="preserve">es</w:t>
            </w:r>
            <w:r>
              <w:t xml:space="preserve">, 1379 pares); coseno mxbai vs gold humano 0-5</w:t>
            </w:r>
          </w:p>
        </w:tc>
      </w:tr>
    </w:tbl>
    <w:p>
      <w:pPr>
        <w:pStyle w:val="BodyText"/>
      </w:pPr>
      <w:r>
        <w:rPr>
          <w:b/>
          <w:bCs/>
        </w:rPr>
        <w:t xml:space="preserve">Juez independiente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≠ generador</w:t>
      </w:r>
      <w:r>
        <w:t xml:space="preserve"> </w:t>
      </w:r>
      <w:r>
        <w:rPr>
          <w:rStyle w:val="VerbatimChar"/>
        </w:rPr>
        <w:t xml:space="preserve">qwen2.5</w:t>
      </w:r>
      <w:r>
        <w:t xml:space="preserve">): elimina el sesgo de</w:t>
      </w:r>
      <w:r>
        <w:t xml:space="preserve"> </w:t>
      </w:r>
      <w:r>
        <w:t xml:space="preserve">auto-preferencia (defecto del reporte-LLM original, que usó qwen2.5 como juez de sí mismo).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9085e8f6bf4dc8525de21bdcbff7d10cbae6d6d"/>
    <w:p>
      <w:pPr>
        <w:pStyle w:val="Heading2"/>
      </w:pPr>
      <w:r>
        <w:t xml:space="preserve">3. Resultados — generación (LLM seleccionado: qwen2.5)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ROUGE-L (F1)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≥0.35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BLEU (corpus)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≥0.25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  <w:r>
              <w:t xml:space="preserve"> </w:t>
            </w:r>
            <w:r>
              <w:t xml:space="preserve">(36/50)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Likert 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4.325</w:t>
            </w:r>
          </w:p>
        </w:tc>
        <w:tc>
          <w:tcPr/>
          <w:p>
            <w:pPr>
              <w:pStyle w:val="Compact"/>
            </w:pPr>
            <w:r>
              <w:t xml:space="preserve">≥4.0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Cohen's κ inter-juez</w:t>
            </w:r>
          </w:p>
        </w:tc>
        <w:tc>
          <w:tcPr/>
          <w:p>
            <w:pPr>
              <w:pStyle w:val="Compact"/>
            </w:pPr>
            <w:r>
              <w:t xml:space="preserve">0.211 (Likert) / 0.239 (binario)</w:t>
            </w:r>
          </w:p>
        </w:tc>
        <w:tc>
          <w:tcPr/>
          <w:p>
            <w:pPr>
              <w:pStyle w:val="Compact"/>
            </w:pPr>
            <w:r>
              <w:t xml:space="preserve">≥0.60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t xml:space="preserve">Desglose Likert por criterio (juez</w:t>
      </w:r>
      <w:r>
        <w:t xml:space="preserve"> </w:t>
      </w:r>
      <w:r>
        <w:rPr>
          <w:rStyle w:val="VerbatimChar"/>
        </w:rPr>
        <w:t xml:space="preserve">llama3.1</w:t>
      </w:r>
      <w:r>
        <w:t xml:space="preserve">, 1-5): exactitud</w:t>
      </w:r>
      <w:r>
        <w:t xml:space="preserve"> </w:t>
      </w:r>
      <w:r>
        <w:rPr>
          <w:b/>
          <w:bCs/>
        </w:rPr>
        <w:t xml:space="preserve">3.90</w:t>
      </w:r>
      <w:r>
        <w:t xml:space="preserve"> </w:t>
      </w:r>
      <w:r>
        <w:t xml:space="preserve">· fluidez</w:t>
      </w:r>
      <w:r>
        <w:t xml:space="preserve"> </w:t>
      </w:r>
      <w:r>
        <w:rPr>
          <w:b/>
          <w:bCs/>
        </w:rPr>
        <w:t xml:space="preserve">4.60</w:t>
      </w:r>
      <w:r>
        <w:t xml:space="preserve"> </w:t>
      </w:r>
      <w:r>
        <w:t xml:space="preserve">·</w:t>
      </w:r>
      <w:r>
        <w:t xml:space="preserve"> </w:t>
      </w:r>
      <w:r>
        <w:t xml:space="preserve">sin alucinaciones</w:t>
      </w:r>
      <w:r>
        <w:t xml:space="preserve"> </w:t>
      </w:r>
      <w:r>
        <w:rPr>
          <w:b/>
          <w:bCs/>
        </w:rPr>
        <w:t xml:space="preserve">4.86</w:t>
      </w:r>
      <w:r>
        <w:t xml:space="preserve"> </w:t>
      </w:r>
      <w:r>
        <w:t xml:space="preserve">· pedagogía</w:t>
      </w:r>
      <w:r>
        <w:t xml:space="preserve"> </w:t>
      </w:r>
      <w:r>
        <w:rPr>
          <w:b/>
          <w:bCs/>
        </w:rPr>
        <w:t xml:space="preserve">3.94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b65393f2cb5bebde270ffa22221b6910a30242d"/>
    <w:p>
      <w:pPr>
        <w:pStyle w:val="Heading2"/>
      </w:pPr>
      <w:r>
        <w:t xml:space="preserve">4. Resultados — recuperación (embeddings seleccionado: mxbai)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SIN rerank (coseno)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rerank (producción)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Recall@5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MRR@10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0.684</w:t>
            </w:r>
          </w:p>
        </w:tc>
        <w:tc>
          <w:tcPr/>
          <w:p>
            <w:pPr>
              <w:pStyle w:val="Compact"/>
            </w:pPr>
            <w:r>
              <w:t xml:space="preserve">≥0.65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nDCG@10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0.686</w:t>
            </w:r>
          </w:p>
        </w:tc>
        <w:tc>
          <w:tcPr/>
          <w:p>
            <w:pPr>
              <w:pStyle w:val="Compact"/>
            </w:pPr>
            <w:r>
              <w:t xml:space="preserve">≥0.55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El</w:t>
      </w:r>
      <w:r>
        <w:t xml:space="preserve"> </w:t>
      </w:r>
      <w:r>
        <w:rPr>
          <w:b/>
          <w:bCs/>
        </w:rPr>
        <w:t xml:space="preserve">rerank cross-encoder</w:t>
      </w:r>
      <w:r>
        <w:t xml:space="preserve"> </w:t>
      </w:r>
      <w:r>
        <w:t xml:space="preserve">(config de producción) lleva las tres métricas sobre su umbral.</w:t>
      </w:r>
      <w:r>
        <w:t xml:space="preserve"> </w:t>
      </w:r>
      <w:r>
        <w:t xml:space="preserve">Relevancia binaria: chunk relevante si contiene ≥2 de los</w:t>
      </w:r>
      <w:r>
        <w:t xml:space="preserve"> </w:t>
      </w:r>
      <w:r>
        <w:rPr>
          <w:rStyle w:val="VerbatimChar"/>
        </w:rPr>
        <w:t xml:space="preserve">expected_context_keywords</w:t>
      </w:r>
      <w:r>
        <w:t xml:space="preserve"> </w:t>
      </w:r>
      <w:r>
        <w:t xml:space="preserve">(substring, case-insensitive); 50 queries, pool de 30 candidatos.</w:t>
      </w:r>
    </w:p>
    <w:p>
      <w:pPr>
        <w:pStyle w:val="BodyText"/>
      </w:pPr>
      <w:r>
        <w:t xml:space="preserve">Por módulo (con rerank): M1 Recall@5</w:t>
      </w:r>
      <w:r>
        <w:t xml:space="preserve"> </w:t>
      </w:r>
      <w:r>
        <w:rPr>
          <w:b/>
          <w:bCs/>
        </w:rPr>
        <w:t xml:space="preserve">1.00</w:t>
      </w:r>
      <w:r>
        <w:t xml:space="preserve"> </w:t>
      </w:r>
      <w:r>
        <w:t xml:space="preserve">· M4</w:t>
      </w:r>
      <w:r>
        <w:t xml:space="preserve"> </w:t>
      </w:r>
      <w:r>
        <w:rPr>
          <w:b/>
          <w:bCs/>
        </w:rPr>
        <w:t xml:space="preserve">0.80</w:t>
      </w:r>
      <w:r>
        <w:t xml:space="preserve"> </w:t>
      </w:r>
      <w:r>
        <w:t xml:space="preserve">· M5</w:t>
      </w:r>
      <w:r>
        <w:t xml:space="preserve"> </w:t>
      </w:r>
      <w:r>
        <w:rPr>
          <w:b/>
          <w:bCs/>
        </w:rPr>
        <w:t xml:space="preserve">0.90</w:t>
      </w:r>
      <w:r>
        <w:t xml:space="preserve"> </w:t>
      </w:r>
      <w:r>
        <w:t xml:space="preserve">· M2</w:t>
      </w:r>
      <w:r>
        <w:t xml:space="preserve"> </w:t>
      </w:r>
      <w:r>
        <w:rPr>
          <w:b/>
          <w:bCs/>
        </w:rPr>
        <w:t xml:space="preserve">0.62</w:t>
      </w:r>
      <w:r>
        <w:t xml:space="preserve"> </w:t>
      </w:r>
      <w:r>
        <w:t xml:space="preserve">·</w:t>
      </w:r>
      <w:r>
        <w:t xml:space="preserve"> </w:t>
      </w:r>
      <w:r>
        <w:t xml:space="preserve">M3</w:t>
      </w:r>
      <w:r>
        <w:t xml:space="preserve"> </w:t>
      </w:r>
      <w:r>
        <w:rPr>
          <w:b/>
          <w:bCs/>
        </w:rPr>
        <w:t xml:space="preserve">0.45</w:t>
      </w:r>
      <w:r>
        <w:t xml:space="preserve"> </w:t>
      </w:r>
      <w:r>
        <w:t xml:space="preserve">(UI, el más débil). El agregado cumple.</w:t>
      </w:r>
    </w:p>
    <w:p>
      <w:pPr>
        <w:pStyle w:val="BlockText"/>
      </w:pPr>
      <w:r>
        <w:t xml:space="preserve">Nota: el índice pgvector está embebido con mxbai (1024 dim);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(768 dim) no</w:t>
      </w:r>
      <w:r>
        <w:t xml:space="preserve"> </w:t>
      </w:r>
      <w:r>
        <w:t xml:space="preserve">es comparable sin re-indexar y ya quedó descartado en el reporte-LLM original (Recall@5 0.35).</w:t>
      </w:r>
      <w:r>
        <w:t xml:space="preserve"> </w:t>
      </w:r>
      <w:r>
        <w:t xml:space="preserve">La validación de recuperación es</w:t>
      </w:r>
      <w:r>
        <w:t xml:space="preserve"> </w:t>
      </w:r>
      <w:r>
        <w:rPr>
          <w:b/>
          <w:bCs/>
        </w:rPr>
        <w:t xml:space="preserve">consistente con OE2/RAGAS</w:t>
      </w:r>
      <w:r>
        <w:t xml:space="preserve">: context_recall 0.812,</w:t>
      </w:r>
      <w:r>
        <w:t xml:space="preserve"> </w:t>
      </w:r>
      <w:r>
        <w:t xml:space="preserve">context_precision 0.876 (instrumento ragas oficial).</w:t>
      </w:r>
    </w:p>
    <w:p>
      <w:r>
        <w:pict>
          <v:rect style="width:0;height:1.5pt" o:hralign="center" o:hrstd="t" o:hr="t"/>
        </w:pict>
      </w:r>
    </w:p>
    <w:bookmarkEnd w:id="14"/>
    <w:bookmarkStart w:id="15" w:name="X5c4a554130e5794307f73c636a9110e253fae8f"/>
    <w:p>
      <w:pPr>
        <w:pStyle w:val="Heading2"/>
      </w:pPr>
      <w:r>
        <w:t xml:space="preserve">5. Resultado — Spearman 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≥0.70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Dataset</w:t>
      </w:r>
      <w:r>
        <w:t xml:space="preserve"> </w:t>
      </w:r>
      <w:r>
        <w:rPr>
          <w:rStyle w:val="VerbatimChar"/>
        </w:rPr>
        <w:t xml:space="preserve">stsb_multi_mt</w:t>
      </w:r>
      <w:r>
        <w:t xml:space="preserve"> </w:t>
      </w:r>
      <w:r>
        <w:t xml:space="preserve">(es), split test,</w:t>
      </w:r>
      <w:r>
        <w:t xml:space="preserve"> </w:t>
      </w:r>
      <w:r>
        <w:rPr>
          <w:b/>
          <w:bCs/>
        </w:rPr>
        <w:t xml:space="preserve">1379 pares</w:t>
      </w:r>
      <w:r>
        <w:t xml:space="preserve">, gold humano 0-5.</w:t>
      </w:r>
    </w:p>
    <w:p>
      <w:r>
        <w:pict>
          <v:rect style="width:0;height:1.5pt" o:hralign="center" o:hrstd="t" o:hr="t"/>
        </w:pict>
      </w:r>
    </w:p>
    <w:bookmarkEnd w:id="15"/>
    <w:bookmarkStart w:id="19" w:name="X36e57f9e66312a1db1617e43dcc073a4ede7236"/>
    <w:p>
      <w:pPr>
        <w:pStyle w:val="Heading2"/>
      </w:pPr>
      <w:r>
        <w:t xml:space="preserve">6. Interpretación de los cuatro indicadores por debajo de umbral</w:t>
      </w:r>
    </w:p>
    <w:bookmarkStart w:id="16" w:name="Xa672fc19e6953aa202b6ed464720c2a68215e2c"/>
    <w:p>
      <w:pPr>
        <w:pStyle w:val="Heading3"/>
      </w:pPr>
      <w:r>
        <w:t xml:space="preserve">6.1 ROUGE-L (0.171) y BLEU (0.059) — inadecuación del instrumento</w:t>
      </w:r>
    </w:p>
    <w:p>
      <w:pPr>
        <w:pStyle w:val="FirstParagraph"/>
      </w:pPr>
      <w:r>
        <w:t xml:space="preserve">Son métricas de</w:t>
      </w:r>
      <w:r>
        <w:t xml:space="preserve"> </w:t>
      </w:r>
      <w:r>
        <w:rPr>
          <w:b/>
          <w:bCs/>
        </w:rPr>
        <w:t xml:space="preserve">solapamiento n-gram</w:t>
      </w:r>
      <w:r>
        <w:t xml:space="preserve"> </w:t>
      </w:r>
      <w:r>
        <w:t xml:space="preserve">diseñadas para traducción automática y resumen, donde</w:t>
      </w:r>
      <w:r>
        <w:t xml:space="preserve"> </w:t>
      </w:r>
      <w:r>
        <w:t xml:space="preserve">la salida debe parecerse léxicamente a una referencia corta. El tutor RAG produce respuestas</w:t>
      </w:r>
      <w:r>
        <w:t xml:space="preserve"> </w:t>
      </w:r>
      <w:r>
        <w:rPr>
          <w:b/>
          <w:bCs/>
        </w:rPr>
        <w:t xml:space="preserve">pedagógicas y extensas</w:t>
      </w:r>
      <w:r>
        <w:t xml:space="preserve"> </w:t>
      </w:r>
      <w:r>
        <w:t xml:space="preserve">(2-4 párrafos) frente a un</w:t>
      </w:r>
      <w:r>
        <w:t xml:space="preserve"> </w:t>
      </w:r>
      <w:r>
        <w:rPr>
          <w:rStyle w:val="VerbatimChar"/>
        </w:rPr>
        <w:t xml:space="preserve">ground_truth</w:t>
      </w:r>
      <w:r>
        <w:t xml:space="preserve"> </w:t>
      </w:r>
      <w:r>
        <w:t xml:space="preserve">de 1-2 oraciones: la</w:t>
      </w:r>
      <w:r>
        <w:t xml:space="preserve"> </w:t>
      </w:r>
      <w:r>
        <w:t xml:space="preserve">precisión n-gram cae (numerador LCS pequeño / denominador respuesta larga) y arrastra el F1 y el</w:t>
      </w:r>
      <w:r>
        <w:t xml:space="preserve"> </w:t>
      </w:r>
      <w:r>
        <w:t xml:space="preserve">BLEU.</w:t>
      </w:r>
      <w:r>
        <w:t xml:space="preserve"> </w:t>
      </w:r>
      <w:r>
        <w:rPr>
          <w:b/>
          <w:bCs/>
        </w:rPr>
        <w:t xml:space="preserve">No miden corrección semántica</w:t>
      </w:r>
      <w:r>
        <w:t xml:space="preserve">: una respuesta correcta pero parafraseada puntúa bajo.</w:t>
      </w:r>
    </w:p>
    <w:p>
      <w:pPr>
        <w:pStyle w:val="BodyText"/>
      </w:pPr>
      <w:r>
        <w:t xml:space="preserve">La calidad real de generación está validada por</w:t>
      </w:r>
      <w:r>
        <w:t xml:space="preserve"> </w:t>
      </w:r>
      <w:r>
        <w:rPr>
          <w:b/>
          <w:bCs/>
        </w:rPr>
        <w:t xml:space="preserve">evidencia convergente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Accuracy</w:t>
      </w:r>
      <w:r>
        <w:t xml:space="preserve"> </w:t>
      </w:r>
      <w:r>
        <w:rPr>
          <w:b/>
          <w:bCs/>
        </w:rPr>
        <w:t xml:space="preserve">0.72</w:t>
      </w:r>
      <w:r>
        <w:t xml:space="preserve"> </w:t>
      </w:r>
      <w:r>
        <w:t xml:space="preserve">(juez independiente, consistencia factual).</w:t>
      </w:r>
    </w:p>
    <w:p>
      <w:pPr>
        <w:pStyle w:val="Compact"/>
        <w:numPr>
          <w:ilvl w:val="0"/>
          <w:numId w:val="1002"/>
        </w:numPr>
      </w:pPr>
      <w:r>
        <w:t xml:space="preserve">Likert media</w:t>
      </w:r>
      <w:r>
        <w:t xml:space="preserve"> </w:t>
      </w:r>
      <w:r>
        <w:rPr>
          <w:b/>
          <w:bCs/>
        </w:rPr>
        <w:t xml:space="preserve">4.325</w:t>
      </w:r>
      <w:r>
        <w:t xml:space="preserve"> </w:t>
      </w:r>
      <w:r>
        <w:t xml:space="preserve">(juez independiente; sin alucinaciones 4.86).</w:t>
      </w:r>
    </w:p>
    <w:p>
      <w:pPr>
        <w:pStyle w:val="Compact"/>
        <w:numPr>
          <w:ilvl w:val="0"/>
          <w:numId w:val="1002"/>
        </w:numPr>
      </w:pPr>
      <w:r>
        <w:t xml:space="preserve">RAGAS [OE2]: faithfulness</w:t>
      </w:r>
      <w:r>
        <w:t xml:space="preserve"> </w:t>
      </w:r>
      <w:r>
        <w:rPr>
          <w:b/>
          <w:bCs/>
        </w:rPr>
        <w:t xml:space="preserve">0.706</w:t>
      </w:r>
      <w:r>
        <w:t xml:space="preserve">, answer_relevancy</w:t>
      </w:r>
      <w:r>
        <w:t xml:space="preserve"> </w:t>
      </w:r>
      <w:r>
        <w:rPr>
          <w:b/>
          <w:bCs/>
        </w:rPr>
        <w:t xml:space="preserve">0.707</w:t>
      </w:r>
      <w:r>
        <w:t xml:space="preserve">, answer_correctness</w:t>
      </w:r>
      <w:r>
        <w:t xml:space="preserve"> </w:t>
      </w:r>
      <w:r>
        <w:rPr>
          <w:b/>
          <w:bCs/>
        </w:rPr>
        <w:t xml:space="preserve">0.609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ROUGE-L y BLEU son el</w:t>
      </w:r>
      <w:r>
        <w:t xml:space="preserve"> </w:t>
      </w:r>
      <w:r>
        <w:rPr>
          <w:b/>
          <w:bCs/>
        </w:rPr>
        <w:t xml:space="preserve">instrumento equivocado</w:t>
      </w:r>
      <w:r>
        <w:t xml:space="preserve"> </w:t>
      </w:r>
      <w:r>
        <w:t xml:space="preserve">para un tutor generativo de</w:t>
      </w:r>
      <w:r>
        <w:t xml:space="preserve"> </w:t>
      </w:r>
      <w:r>
        <w:t xml:space="preserve">respuesta abierta; su bajo valor refleja desajuste de formato/longitud, no respuestas deficientes.</w:t>
      </w:r>
    </w:p>
    <w:bookmarkEnd w:id="16"/>
    <w:bookmarkStart w:id="17" w:name="X0ec7619b701939af1fae5045e4a3e6d36058acf"/>
    <w:p>
      <w:pPr>
        <w:pStyle w:val="Heading3"/>
      </w:pPr>
      <w:r>
        <w:t xml:space="preserve">6.2 Cohen's κ (0.211 Likert / 0.239 binario) — fiabilidad inter-juez automatizada</w:t>
      </w:r>
    </w:p>
    <w:p>
      <w:pPr>
        <w:pStyle w:val="FirstParagraph"/>
      </w:pPr>
      <w:r>
        <w:t xml:space="preserve">Se midió con dos formulaciones, ambas bajas: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κ sobre Likert global</w:t>
      </w:r>
      <w:r>
        <w:t xml:space="preserve"> </w:t>
      </w:r>
      <w:r>
        <w:t xml:space="preserve">(cuadrático) = 0.211: las puntuaciones se concentran en 4-5 (poca</w:t>
      </w:r>
      <w:r>
        <w:t xml:space="preserve"> </w:t>
      </w:r>
      <w:r>
        <w:t xml:space="preserve">varianza) →</w:t>
      </w:r>
      <w:r>
        <w:t xml:space="preserve"> </w:t>
      </w:r>
      <w:r>
        <w:rPr>
          <w:b/>
          <w:bCs/>
        </w:rPr>
        <w:t xml:space="preserve">paradoja de kappa</w:t>
      </w:r>
      <w:r>
        <w:t xml:space="preserve"> </w:t>
      </w:r>
      <w:r>
        <w:t xml:space="preserve">(marginales sesgadas deprimen κ aunque el acuerdo bruto sea alto).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κ sobre el veredicto binario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correcto</w:t>
      </w:r>
      <w:r>
        <w:t xml:space="preserve"> </w:t>
      </w:r>
      <w:r>
        <w:t xml:space="preserve">= 0.239: acuerdo bruto 76 % (38/50), pero los dos</w:t>
      </w:r>
      <w:r>
        <w:t xml:space="preserve"> </w:t>
      </w:r>
      <w:r>
        <w:t xml:space="preserve">jueces tienen</w:t>
      </w:r>
      <w:r>
        <w:t xml:space="preserve"> </w:t>
      </w:r>
      <w:r>
        <w:rPr>
          <w:b/>
          <w:bCs/>
        </w:rPr>
        <w:t xml:space="preserve">leniencia distinta</w:t>
      </w:r>
      <w:r>
        <w:t xml:space="preserve"> </w:t>
      </w:r>
      <w:r>
        <w:t xml:space="preserve">— llama3.1 marca correcto 72 %, llama3 92 % — lo que baja κ.</w:t>
      </w:r>
    </w:p>
    <w:p>
      <w:pPr>
        <w:pStyle w:val="FirstParagraph"/>
      </w:pPr>
      <w:r>
        <w:t xml:space="preserve">Ambas formulaciones coinciden en que el κ</w:t>
      </w:r>
      <w:r>
        <w:t xml:space="preserve"> </w:t>
      </w:r>
      <w:r>
        <w:rPr>
          <w:b/>
          <w:bCs/>
        </w:rPr>
        <w:t xml:space="preserve">inter-juez automatizado</w:t>
      </w:r>
      <w:r>
        <w:t xml:space="preserve"> </w:t>
      </w:r>
      <w:r>
        <w:t xml:space="preserve">es insuficiente, por la</w:t>
      </w:r>
      <w:r>
        <w:t xml:space="preserve"> </w:t>
      </w:r>
      <w:r>
        <w:t xml:space="preserve">calibración dispar entre jueces LLM, no por una evaluación poco fiable (el acuerdo bruto es alto).</w:t>
      </w:r>
      <w:r>
        <w:t xml:space="preserve"> </w:t>
      </w:r>
      <w:r>
        <w:t xml:space="preserve">El instrumento idóneo es la concordancia</w:t>
      </w:r>
      <w:r>
        <w:t xml:space="preserve"> </w:t>
      </w:r>
      <w:r>
        <w:rPr>
          <w:b/>
          <w:bCs/>
        </w:rPr>
        <w:t xml:space="preserve">multi-evaluador HUMANO</w:t>
      </w:r>
      <w:r>
        <w:t xml:space="preserve"> </w:t>
      </w:r>
      <w:r>
        <w:t xml:space="preserve">sobre una submuestra del golden</w:t>
      </w:r>
      <w:r>
        <w:t xml:space="preserve"> </w:t>
      </w:r>
      <w:r>
        <w:t xml:space="preserve">set, declarada como trabajo futuro (igual que en</w:t>
      </w:r>
      <w:r>
        <w:t xml:space="preserve"> </w:t>
      </w:r>
      <w:r>
        <w:rPr>
          <w:rStyle w:val="VerbatimChar"/>
        </w:rPr>
        <w:t xml:space="preserve">reporte-LLM.docx</w:t>
      </w:r>
      <w:r>
        <w:t xml:space="preserve">). No se escoge un 2º juez</w:t>
      </w:r>
      <w:r>
        <w:t xml:space="preserve"> </w:t>
      </w:r>
      <w:r>
        <w:t xml:space="preserve">distinto para inflar el acuerdo: sería</w:t>
      </w:r>
      <w:r>
        <w:t xml:space="preserve"> </w:t>
      </w:r>
      <w:r>
        <w:rPr>
          <w:i/>
          <w:iCs/>
        </w:rPr>
        <w:t xml:space="preserve">cherry-picking</w:t>
      </w:r>
      <w:r>
        <w:t xml:space="preserve">.</w:t>
      </w:r>
    </w:p>
    <w:bookmarkEnd w:id="17"/>
    <w:bookmarkStart w:id="18" w:name="Xa03f729d5109b8fa5d9d1bd962028741f79efd8"/>
    <w:p>
      <w:pPr>
        <w:pStyle w:val="Heading3"/>
      </w:pPr>
      <w:r>
        <w:t xml:space="preserve">6.3 Spearman STS (0.664) — fuera de dominio</w:t>
      </w:r>
    </w:p>
    <w:p>
      <w:pPr>
        <w:pStyle w:val="FirstParagraph"/>
      </w:pPr>
      <w:r>
        <w:rPr>
          <w:rStyle w:val="VerbatimChar"/>
        </w:rPr>
        <w:t xml:space="preserve">stsb_multi_mt</w:t>
      </w:r>
      <w:r>
        <w:t xml:space="preserve"> </w:t>
      </w:r>
      <w:r>
        <w:t xml:space="preserve">es similitud textual</w:t>
      </w:r>
      <w:r>
        <w:t xml:space="preserve"> </w:t>
      </w:r>
      <w:r>
        <w:rPr>
          <w:b/>
          <w:bCs/>
        </w:rPr>
        <w:t xml:space="preserve">simétrica de dominio general</w:t>
      </w:r>
      <w:r>
        <w:t xml:space="preserve">;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 </w:t>
      </w:r>
      <w:r>
        <w:t xml:space="preserve">está</w:t>
      </w:r>
      <w:r>
        <w:t xml:space="preserve"> </w:t>
      </w:r>
      <w:r>
        <w:t xml:space="preserve">optimizado para</w:t>
      </w:r>
      <w:r>
        <w:t xml:space="preserve"> </w:t>
      </w:r>
      <w:r>
        <w:rPr>
          <w:b/>
          <w:bCs/>
        </w:rPr>
        <w:t xml:space="preserve">recuperación asimétrica</w:t>
      </w:r>
      <w:r>
        <w:t xml:space="preserve"> </w:t>
      </w:r>
      <w:r>
        <w:t xml:space="preserve">(query↔documento), que es justamente la tarea del</w:t>
      </w:r>
      <w:r>
        <w:t xml:space="preserve"> </w:t>
      </w:r>
      <w:r>
        <w:t xml:space="preserve">sistema. La recuperación</w:t>
      </w:r>
      <w:r>
        <w:t xml:space="preserve"> </w:t>
      </w:r>
      <w:r>
        <w:rPr>
          <w:b/>
          <w:bCs/>
        </w:rPr>
        <w:t xml:space="preserve">de dominio</w:t>
      </w:r>
      <w:r>
        <w:t xml:space="preserve"> </w:t>
      </w:r>
      <w:r>
        <w:t xml:space="preserve">sí cumple (Recall@5 0.72, y RAGAS recall 0.812). El gap</w:t>
      </w:r>
      <w:r>
        <w:t xml:space="preserve"> </w:t>
      </w:r>
      <w:r>
        <w:t xml:space="preserve">en STS general es esperable para un embedding de recuperación evaluado en una tarea STS abierta.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3a2315ac94df6236f1aaef0f928e405fa2f0133"/>
    <w:p>
      <w:pPr>
        <w:pStyle w:val="Heading2"/>
      </w:pPr>
      <w:r>
        <w:t xml:space="preserve">7. Decisión (✅ aprobada por la asesora, 2026-05-29)</w:t>
      </w:r>
    </w:p>
    <w:p>
      <w:pPr>
        <w:pStyle w:val="BlockText"/>
      </w:pPr>
      <w:r>
        <w:t xml:space="preserve">La asesora</w:t>
      </w:r>
      <w:r>
        <w:t xml:space="preserve"> </w:t>
      </w:r>
      <w:r>
        <w:rPr>
          <w:b/>
          <w:bCs/>
        </w:rPr>
        <w:t xml:space="preserve">aprobó el encuadre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docs/oe1-encuadre-instrumentos-propuesta.md</w:t>
      </w:r>
      <w:r>
        <w:t xml:space="preserve">): se adopta la</w:t>
      </w:r>
      <w:r>
        <w:t xml:space="preserve"> </w:t>
      </w:r>
      <w:r>
        <w:t xml:space="preserve">clasificación de instrumentos primarios/secundarios.</w:t>
      </w:r>
      <w:r>
        <w:t xml:space="preserve"> </w:t>
      </w:r>
      <w:r>
        <w:rPr>
          <w:b/>
          <w:bCs/>
        </w:rPr>
        <w:t xml:space="preserve">OE1 queda validado</w:t>
      </w:r>
      <w:r>
        <w:t xml:space="preserve"> </w:t>
      </w:r>
      <w:r>
        <w:t xml:space="preserve">por sus instrumentos</w:t>
      </w:r>
      <w:r>
        <w:t xml:space="preserve"> </w:t>
      </w:r>
      <w:r>
        <w:t xml:space="preserve">primarios (Accuracy, Likert + RAGAS para generación; Recall@5/MRR@10/nDCG@10 para recuperación);</w:t>
      </w:r>
      <w:r>
        <w:t xml:space="preserve"> </w:t>
      </w:r>
      <w:r>
        <w:t xml:space="preserve">ROUGE-L, BLEU, STS general y κ automático = secundarias/diagnósticas; κ humano = trabajo futuro.</w:t>
      </w:r>
    </w:p>
    <w:p>
      <w:pPr>
        <w:pStyle w:val="FirstParagraph"/>
      </w:pPr>
      <w:r>
        <w:t xml:space="preserve">El patrón es</w:t>
      </w:r>
      <w:r>
        <w:t xml:space="preserve"> </w:t>
      </w:r>
      <w:r>
        <w:rPr>
          <w:b/>
          <w:bCs/>
        </w:rPr>
        <w:t xml:space="preserve">idéntico al de OE2/RAGAS</w:t>
      </w:r>
      <w:r>
        <w:t xml:space="preserve">: varios umbrales fueron fijados como</w:t>
      </w:r>
      <w:r>
        <w:t xml:space="preserve"> </w:t>
      </w:r>
      <w:r>
        <w:rPr>
          <w:b/>
          <w:bCs/>
        </w:rPr>
        <w:t xml:space="preserve">aspiracionales</w:t>
      </w:r>
      <w:r>
        <w:t xml:space="preserve"> </w:t>
      </w:r>
      <w:r>
        <w:t xml:space="preserve">sin calibrarse a la clase de tecnología (LLM 7B local sin fine-tuning; embedding de recuperación).</w:t>
      </w:r>
      <w:r>
        <w:t xml:space="preserve"> </w:t>
      </w:r>
      <w:r>
        <w:t xml:space="preserve">Caminos honestos, NO excluyentes: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Declarar el instrumento apropiado por dimensión.</w:t>
      </w:r>
      <w:r>
        <w:t xml:space="preserve"> </w:t>
      </w:r>
      <w:r>
        <w:t xml:space="preserve">Generación: priorizar métricas</w:t>
      </w:r>
      <w:r>
        <w:t xml:space="preserve"> </w:t>
      </w:r>
      <w:r>
        <w:rPr>
          <w:b/>
          <w:bCs/>
        </w:rPr>
        <w:t xml:space="preserve">semánticas</w:t>
      </w:r>
      <w:r>
        <w:t xml:space="preserve"> </w:t>
      </w:r>
      <w:r>
        <w:t xml:space="preserve">(Accuracy, Likert, y las RAGAS de OE2), tratando ROUGE-L/BLEU como</w:t>
      </w:r>
      <w:r>
        <w:t xml:space="preserve"> </w:t>
      </w:r>
      <w:r>
        <w:rPr>
          <w:b/>
          <w:bCs/>
        </w:rPr>
        <w:t xml:space="preserve">secundarias/informativas</w:t>
      </w:r>
      <w:r>
        <w:t xml:space="preserve"> </w:t>
      </w:r>
      <w:r>
        <w:t xml:space="preserve">(análogo a</w:t>
      </w:r>
      <w:r>
        <w:t xml:space="preserve"> </w:t>
      </w:r>
      <w:r>
        <w:rPr>
          <w:rStyle w:val="VerbatimChar"/>
        </w:rPr>
        <w:t xml:space="preserve">context_entity_recall</w:t>
      </w:r>
      <w:r>
        <w:t xml:space="preserve"> </w:t>
      </w:r>
      <w:r>
        <w:t xml:space="preserve">en OE2). Recuperación:</w:t>
      </w:r>
      <w:r>
        <w:t xml:space="preserve"> </w:t>
      </w:r>
      <w:r>
        <w:t xml:space="preserve">las tres métricas canónicas (Recall@5/MRR@10/nDCG@10)</w:t>
      </w:r>
      <w:r>
        <w:t xml:space="preserve"> </w:t>
      </w:r>
      <w:r>
        <w:rPr>
          <w:b/>
          <w:bCs/>
        </w:rPr>
        <w:t xml:space="preserve">cumplen</w:t>
      </w:r>
      <w:r>
        <w:t xml:space="preserve"> </w:t>
      </w:r>
      <w:r>
        <w:t xml:space="preserve">con la config de producción.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Cohen's κ:</w:t>
      </w:r>
      <w:r>
        <w:t xml:space="preserve"> </w:t>
      </w:r>
      <w:r>
        <w:t xml:space="preserve">reportar concordancia inter-juez LLM con la advertencia de la paradoja de</w:t>
      </w:r>
      <w:r>
        <w:t xml:space="preserve"> </w:t>
      </w:r>
      <w:r>
        <w:t xml:space="preserve">kappa; planificar κ humano multi-evaluador como cierre (trabajo futuro ya declarado).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Spearman STS:</w:t>
      </w:r>
      <w:r>
        <w:t xml:space="preserve"> </w:t>
      </w:r>
      <w:r>
        <w:t xml:space="preserve">documentar como métrica de dominio abierto, no central a la tarea de</w:t>
      </w:r>
      <w:r>
        <w:t xml:space="preserve"> </w:t>
      </w:r>
      <w:r>
        <w:t xml:space="preserve">recuperación del tutor; la validación de recuperación de dominio (OE2) es la evidencia fuerte.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 se mantienen los umbrales aspiracionales</w:t>
      </w:r>
      <w:r>
        <w:t xml:space="preserve">, fundamentar el gap de ROUGE/BLEU/STS con</w:t>
      </w:r>
      <w:r>
        <w:t xml:space="preserve"> </w:t>
      </w:r>
      <w:r>
        <w:t xml:space="preserve">literatura (limitación de métricas n-gram para QA abierto; embeddings de recuperación vs STS)</w:t>
      </w:r>
      <w:r>
        <w:t xml:space="preserve"> </w:t>
      </w:r>
      <w:r>
        <w:t xml:space="preserve">y dejarlo como limitación + trabajo futuro.</w:t>
      </w:r>
      <w:r>
        <w:t xml:space="preserve"> </w:t>
      </w:r>
      <w:r>
        <w:rPr>
          <w:b/>
          <w:bCs/>
        </w:rPr>
        <w:t xml:space="preserve">No insertar citas sin verificar.</w:t>
      </w:r>
    </w:p>
    <w:p>
      <w:pPr>
        <w:pStyle w:val="BlockText"/>
      </w:pPr>
      <w:r>
        <w:rPr>
          <w:b/>
          <w:bCs/>
        </w:rPr>
        <w:t xml:space="preserve">Protocolo de escalamiento (CLAUDE.md):</w:t>
      </w:r>
      <w:r>
        <w:t xml:space="preserve"> </w:t>
      </w:r>
      <w:r>
        <w:t xml:space="preserve">indicadores objetivo no alcanzados → detener y</w:t>
      </w:r>
      <w:r>
        <w:t xml:space="preserve"> </w:t>
      </w:r>
      <w:r>
        <w:t xml:space="preserve">consultar a la asesora.</w:t>
      </w:r>
      <w:r>
        <w:t xml:space="preserve"> </w:t>
      </w:r>
      <w:r>
        <w:rPr>
          <w:b/>
          <w:bCs/>
        </w:rPr>
        <w:t xml:space="preserve">Resuelto 2026-05-29: la asesora aprobó el encuadre</w:t>
      </w:r>
      <w:r>
        <w:t xml:space="preserve"> </w:t>
      </w:r>
      <w:r>
        <w:t xml:space="preserve">(clasificación</w:t>
      </w:r>
      <w:r>
        <w:t xml:space="preserve"> </w:t>
      </w:r>
      <w:r>
        <w:t xml:space="preserve">de instrumentos, no recalibración de umbrales).</w:t>
      </w:r>
    </w:p>
    <w:p>
      <w:r>
        <w:pict>
          <v:rect style="width:0;height:1.5pt" o:hralign="center" o:hrstd="t" o:hr="t"/>
        </w:pict>
      </w:r>
    </w:p>
    <w:bookmarkEnd w:id="20"/>
    <w:bookmarkStart w:id="21" w:name="Xb108670d74301010c26eb91a61bb91659012413"/>
    <w:p>
      <w:pPr>
        <w:pStyle w:val="Heading2"/>
      </w:pPr>
      <w:r>
        <w:t xml:space="preserve">8. Conclusiones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Recuperación: CUMPLE</w:t>
      </w:r>
      <w:r>
        <w:t xml:space="preserve"> </w:t>
      </w:r>
      <w:r>
        <w:t xml:space="preserve">las tres métricas canónicas con la config de producción (rerank),</w:t>
      </w:r>
      <w:r>
        <w:t xml:space="preserve"> </w:t>
      </w:r>
      <w:r>
        <w:t xml:space="preserve">consistente con OE2/RAGAS. El modelo</w:t>
      </w:r>
      <w:r>
        <w:t xml:space="preserve"> </w:t>
      </w:r>
      <w:r>
        <w:rPr>
          <w:rStyle w:val="VerbatimChar"/>
        </w:rPr>
        <w:t xml:space="preserve">mxbai-embed-large</w:t>
      </w:r>
      <w:r>
        <w:t xml:space="preserve"> </w:t>
      </w:r>
      <w:r>
        <w:t xml:space="preserve">queda validado para la tarea.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Generación semántica: CUMPLE</w:t>
      </w:r>
      <w:r>
        <w:t xml:space="preserve"> </w:t>
      </w:r>
      <w:r>
        <w:t xml:space="preserve">(Accuracy 0.72, Likert 4.325 con juez independiente). El LLM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 </w:t>
      </w:r>
      <w:r>
        <w:t xml:space="preserve">queda validado en calidad y corrección factual.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ROUGE-L, BLEU, STS general y κ</w:t>
      </w:r>
      <w:r>
        <w:t xml:space="preserve"> </w:t>
      </w:r>
      <w:r>
        <w:t xml:space="preserve">quedan por debajo de umbral por</w:t>
      </w:r>
      <w:r>
        <w:t xml:space="preserve"> </w:t>
      </w:r>
      <w:r>
        <w:rPr>
          <w:b/>
          <w:bCs/>
        </w:rPr>
        <w:t xml:space="preserve">inadecuación del</w:t>
      </w:r>
      <w:r>
        <w:rPr>
          <w:b/>
          <w:bCs/>
        </w:rPr>
        <w:t xml:space="preserve"> </w:t>
      </w:r>
      <w:r>
        <w:rPr>
          <w:b/>
          <w:bCs/>
        </w:rPr>
        <w:t xml:space="preserve">instrumento a la tarea/tecnología</w:t>
      </w:r>
      <w:r>
        <w:t xml:space="preserve">, no por deficiencia del sistema; requieren decisión de</w:t>
      </w:r>
      <w:r>
        <w:t xml:space="preserve"> </w:t>
      </w:r>
      <w:r>
        <w:t xml:space="preserve">encuadre con la asesora (análoga a la recalibración de OE2).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5/9 indicadores cumplen</w:t>
      </w:r>
      <w:r>
        <w:t xml:space="preserve">; las dimensiones centrales del OE1 (calidad de generación y</w:t>
      </w:r>
      <w:r>
        <w:t xml:space="preserve"> </w:t>
      </w:r>
      <w:r>
        <w:t xml:space="preserve">precisión de recuperación) están</w:t>
      </w:r>
      <w:r>
        <w:t xml:space="preserve"> </w:t>
      </w:r>
      <w:r>
        <w:rPr>
          <w:b/>
          <w:bCs/>
        </w:rPr>
        <w:t xml:space="preserve">validadas por instrumentos apropiados</w:t>
      </w:r>
      <w:r>
        <w:t xml:space="preserve">. Bajo el</w:t>
      </w:r>
      <w:r>
        <w:t xml:space="preserve"> </w:t>
      </w:r>
      <w:r>
        <w:rPr>
          <w:b/>
          <w:bCs/>
        </w:rPr>
        <w:t xml:space="preserve">encuadre</w:t>
      </w:r>
      <w:r>
        <w:rPr>
          <w:b/>
          <w:bCs/>
        </w:rPr>
        <w:t xml:space="preserve"> </w:t>
      </w:r>
      <w:r>
        <w:rPr>
          <w:b/>
          <w:bCs/>
        </w:rPr>
        <w:t xml:space="preserve">aprobado por la asesora (2026-05-29)</w:t>
      </w:r>
      <w:r>
        <w:t xml:space="preserve"> </w:t>
      </w:r>
      <w:r>
        <w:t xml:space="preserve">— instrumentos primarios como criterio, los cuatro</w:t>
      </w:r>
      <w:r>
        <w:t xml:space="preserve"> </w:t>
      </w:r>
      <w:r>
        <w:t xml:space="preserve">restantes como secundarios/diagnósticos —</w:t>
      </w:r>
      <w:r>
        <w:t xml:space="preserve"> </w:t>
      </w:r>
      <w:r>
        <w:rPr>
          <w:b/>
          <w:bCs/>
        </w:rPr>
        <w:t xml:space="preserve">OE1 queda validado</w:t>
      </w:r>
      <w:r>
        <w:t xml:space="preserve">; κ humano multi-evaluador</w:t>
      </w:r>
      <w:r>
        <w:t xml:space="preserve"> </w:t>
      </w:r>
      <w:r>
        <w:t xml:space="preserve">queda como trabajo futuro.</w:t>
      </w:r>
    </w:p>
    <w:p>
      <w:r>
        <w:pict>
          <v:rect style="width:0;height:1.5pt" o:hralign="center" o:hrstd="t" o:hr="t"/>
        </w:pict>
      </w:r>
    </w:p>
    <w:bookmarkEnd w:id="21"/>
    <w:bookmarkStart w:id="22" w:name="X39973d7ad8db22cfd790c82627fcc3279f6bdd9"/>
    <w:p>
      <w:pPr>
        <w:pStyle w:val="Heading2"/>
      </w:pPr>
      <w:r>
        <w:t xml:space="preserve">9. Artefactos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backend/scripts/oe1_generation.py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oe1_retrieval.py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oe1_sts.py</w:t>
      </w:r>
      <w:r>
        <w:t xml:space="preserve"> </w:t>
      </w:r>
      <w:r>
        <w:t xml:space="preserve">(harness reproducible).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docs/oe1_generation_results.json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oe1_retrieval_results.json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oe1_sts_results.json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docs/oe1_generation_log.jsonl</w:t>
      </w:r>
      <w:r>
        <w:t xml:space="preserve"> </w:t>
      </w:r>
      <w:r>
        <w:t xml:space="preserve">(50 respuestas + 100 evaluaciones de juez).</w:t>
      </w:r>
    </w:p>
    <w:p>
      <w:pPr>
        <w:pStyle w:val="Compact"/>
        <w:numPr>
          <w:ilvl w:val="0"/>
          <w:numId w:val="1006"/>
        </w:numPr>
      </w:pPr>
      <w:r>
        <w:t xml:space="preserve">Golden set:</w:t>
      </w:r>
      <w:r>
        <w:t xml:space="preserve"> </w:t>
      </w:r>
      <w:r>
        <w:rPr>
          <w:rStyle w:val="VerbatimChar"/>
        </w:rPr>
        <w:t xml:space="preserve">backend/tests/fixtures/golden_set.json</w:t>
      </w:r>
      <w:r>
        <w:t xml:space="preserve"> </w:t>
      </w:r>
      <w:r>
        <w:t xml:space="preserve">(50 ítems).</w:t>
      </w:r>
    </w:p>
    <w:p>
      <w:pPr>
        <w:pStyle w:val="Compact"/>
        <w:numPr>
          <w:ilvl w:val="0"/>
          <w:numId w:val="1006"/>
        </w:numPr>
      </w:pPr>
      <w:r>
        <w:t xml:space="preserve">Cross-referencia OE2:</w:t>
      </w:r>
      <w:r>
        <w:t xml:space="preserve"> </w:t>
      </w:r>
      <w:r>
        <w:rPr>
          <w:rStyle w:val="VerbatimChar"/>
        </w:rPr>
        <w:t xml:space="preserve">docs/reporte-RAGAS.docx</w:t>
      </w:r>
      <w:r>
        <w:t xml:space="preserve"> </w:t>
      </w:r>
      <w:r>
        <w:t xml:space="preserve">(faithfulness 0.706, recall 0.812).</w:t>
      </w:r>
    </w:p>
    <w:p>
      <w:pPr>
        <w:pStyle w:val="FirstParagraph"/>
      </w:pPr>
      <w:r>
        <w:rPr>
          <w:i/>
          <w:iCs/>
        </w:rPr>
        <w:t xml:space="preserve">Instrumentos reproducibles en el contenedor backend. El fundamento bibliográfico de las</w:t>
      </w:r>
      <w:r>
        <w:rPr>
          <w:i/>
          <w:iCs/>
        </w:rPr>
        <w:t xml:space="preserve"> </w:t>
      </w:r>
      <w:r>
        <w:rPr>
          <w:i/>
          <w:iCs/>
        </w:rPr>
        <w:t xml:space="preserve">decisiones de encuadre se integra en el documento de tesis.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2026-05-29T14:26:42Z</dcterms:created>
  <dcterms:modified xsi:type="dcterms:W3CDTF">2026-05-29T14:26:42Z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