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</w:t>
      </w:r>
    </w:p>
    <w:p w14:paraId="0D1F777C">
      <w:pPr>
        <w:pStyle w:val="FirstParagraph"/>
      </w:pPr>
      <w:r>
        <w:t xml:space="preserve">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</w:t>
      </w:r>
    </w:p>
    <w:p w14:paraId="02B4E500">
      <w:pPr>
        <w:pStyle w:val="FirstParagraph"/>
      </w:pPr>
      <w:r>
        <w:t xml:space="preserve">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1. The Health Officer views the “Pending Admissions” queue on their dashboard. 2. Selects the newly registered inmate to initiate the </w:t>
      </w:r>
      <w:r>
        <w:rPr>
          <w:b/>
          <w:bCs/>
        </w:rPr>
        <w:t>Admission Health Screening</w:t>
      </w:r>
      <w:r>
        <w:t xml:space="preserve">. 3. The officer records vital signs (BP, Weight, Temp), logs any chronic illnesses, allergies, and notes physical injuries present upon arrival. 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2. If all data is accurate and compliant, the Admin clicks </w:t>
      </w:r>
      <w:r>
        <w:rPr>
          <w:b/>
          <w:bCs/>
        </w:rPr>
        <w:t>Approve Admission</w:t>
      </w:r>
      <w:r>
        <w:t xml:space="preserve">. 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</w:t>
      </w:r>
    </w:p>
    <w:p w14:paraId="432F4798">
      <w:pPr>
        <w:pStyle w:val="FirstParagraph"/>
      </w:pPr>
      <w:r>
        <w:t xml:space="preserve">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2. Enters the new proposed class and attaches a mandatory justification (e.g., “Good behavior over 24 months”). 3. The request is routed to the </w:t>
      </w:r>
      <w:r>
        <w:rPr>
          <w:b/>
          <w:bCs/>
        </w:rPr>
        <w:t>Station Admin</w:t>
      </w:r>
      <w:r>
        <w:t xml:space="preserve">. 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2026-10-25T19:32:00.576Z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