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4. </w:t>
      </w:r>
      <w:r>
        <w:rPr>
          <w:b/>
          <w:bCs/>
        </w:rPr>
        <w:t>Classification:</w:t>
      </w:r>
      <w:r>
        <w:t xml:space="preserve"> Assign an initial security classification based on preliminary data. 5. </w:t>
      </w:r>
      <w:r>
        <w:rPr>
          <w:b/>
          <w:bCs/>
        </w:rPr>
        <w:t>Valuables:</w:t>
      </w:r>
      <w:r>
        <w:t xml:space="preserve"> Log any personal belongings (cash, jewelry, phones) surrendered at admission. 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2026-10-25T19:31:29.374Z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