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</w:rPr>
        <w:t>场地和地基地震效应评价规范</w:t>
      </w:r>
    </w:p>
    <w:p>
      <w:pPr>
        <w:jc w:val="center"/>
      </w:pPr>
      <w:r>
        <w:rPr>
          <w:rFonts w:ascii="宋体" w:hAnsi="宋体" w:eastAsia="宋体"/>
          <w:color w:val="646464"/>
          <w:sz w:val="20"/>
        </w:rPr>
        <w:t>依据《建筑抗震设计规范》GB 50011-2010 及《中国地震动参数区划图》GB 18306-2015</w:t>
      </w:r>
    </w:p>
    <w:p/>
    <w:p>
      <w:pPr>
        <w:pStyle w:val="Heading1"/>
      </w:pPr>
      <w:r>
        <w:rPr>
          <w:rFonts w:ascii="黑体" w:hAnsi="黑体" w:eastAsia="黑体"/>
        </w:rPr>
        <w:t>（一）场地抗震设防烈度</w:t>
      </w:r>
    </w:p>
    <w:p>
      <w:r>
        <w:rPr>
          <w:rFonts w:ascii="黑体" w:hAnsi="黑体" w:eastAsia="黑体"/>
          <w:b/>
          <w:sz w:val="24"/>
        </w:rPr>
        <w:t>场地抗震设防烈度判定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提取勘察报告2.1.1地理位置（区、县、镇或街道办）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《建筑抗震设计规范》附录A、《中国地震动参数区划图》附录C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根据项目所在的区、县，查询《建筑抗震设计规范》附录A，获得抗震设防烈度和设计地震分组；根据项目所在的镇或街道办，查询《中国地震动参数区划图》附录C，获得二类场地条件下基本地震动峰值加速度和反应谱特征周期。项目跨多区县、乡镇的，分别查询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场地抗震设防烈度和设计地震分组；二类场地条件下基本地震动峰值加速度和反应谱特征周期。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无</w:t>
      </w:r>
    </w:p>
    <w:p/>
    <w:p>
      <w:pPr>
        <w:pStyle w:val="Heading1"/>
      </w:pPr>
      <w:r>
        <w:rPr>
          <w:rFonts w:ascii="黑体" w:hAnsi="黑体" w:eastAsia="黑体"/>
        </w:rPr>
        <w:t>（二）场地类别划分</w:t>
      </w:r>
    </w:p>
    <w:p>
      <w:r>
        <w:rPr>
          <w:rFonts w:ascii="黑体" w:hAnsi="黑体" w:eastAsia="黑体"/>
          <w:b/>
          <w:sz w:val="24"/>
        </w:rPr>
        <w:t>步骤1（根据波速测试报告直接划分）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波速测试报告、编录信息表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《建筑抗震设计规范》第4.1.6条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若有波速测试报告，直接获取各钻孔土层等效剪切波速和覆盖层厚度，查询《建筑抗震设计规范》表4.1.6，得到场地类别；若没有波速测试报告，进入步骤2。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场地类别。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没有波速测试报告，进入步骤2。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等效剪切波速(m/s)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I₀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I₁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II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III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IV</w:t>
            </w:r>
          </w:p>
        </w:tc>
      </w:tr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vs &gt; 800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800 ≥ vs &gt; 500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500 ≥ vse &gt; 250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&lt;5m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≥5m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250 ≥ vse &gt; 150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&lt;3m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3~50m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&gt;50m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vse ≤ 150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&lt;3m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3~15m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15~80m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&gt;80m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步骤2（计算覆盖层厚度）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编录信息表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《建筑抗震设计规范》第4.1.3条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根据钻孔各岩土名称和土层剪切波速范围表，取得剪切波速值vs。根据波速值按以下任一条件确定覆盖层底土层：1）剪切波速Vs&gt;500m/s且其下卧各层波速均≥500m/s；2）地面5m以下剪切波速大于其上部各土层波速2.5倍，且该层及下卧层波速均≥400m/s。计算地面至该土层顶部的距离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各钻孔的覆盖层厚度。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进入步骤3。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土的类型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岩土名称和性状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剪切波速范围(m/s)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岩石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坚硬、较硬且完整的岩石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vs &gt; 800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坚硬土或软质岩石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中风化砂岩、密实卵石、密实碎石土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800 ≥ vs &gt; 500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中硬土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强风化砂岩、中密~稍密卵石、硬塑粘土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500 ≥ vs &gt; 250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中软土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稍密砂、可塑~软塑粘土、粉土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250 ≥ vs &gt; 150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软弱土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淤泥和淤泥质土、素填土、杂填土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vs ≤ 150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步骤3（计算等效剪切波速）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剪切波速值vs，覆盖层厚度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《建筑抗震设计规范》第4.1.5条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计算土层等效剪切波速vse：vse = d₀/t，t = Σ(di/vsi)。式中：vse为土层等效剪切波速(m/s)；d₀为计算深度(m)，取覆盖层厚度和20m两者的较小值；t为剪切波在地面至计算深度之间的传播时间；di为计算深度范围内第i土层的厚度(m)；vsi为计算深度范围内第i土层的剪切波速(m/s)；n为计算深度范围内土层的分层数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等效剪切波速。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进入步骤4。</w:t>
      </w:r>
    </w:p>
    <w:p>
      <w:r>
        <w:rPr>
          <w:rFonts w:ascii="黑体" w:hAnsi="黑体" w:eastAsia="黑体"/>
          <w:b/>
          <w:sz w:val="24"/>
        </w:rPr>
        <w:t>步骤4（判断场地类别）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覆盖层厚度和等效剪切波速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《建筑抗震设计规范》第4.1.6条，表4.1.6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根据等效剪切波速和覆盖层厚度，查表4.1.6获取场地类别。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场地类别。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无</w:t>
      </w:r>
    </w:p>
    <w:p/>
    <w:p>
      <w:pPr>
        <w:pStyle w:val="Heading1"/>
      </w:pPr>
      <w:r>
        <w:rPr>
          <w:rFonts w:ascii="黑体" w:hAnsi="黑体" w:eastAsia="黑体"/>
        </w:rPr>
        <w:t>（三）砂土液化评价</w:t>
      </w:r>
    </w:p>
    <w:p>
      <w:r>
        <w:rPr>
          <w:rFonts w:ascii="黑体" w:hAnsi="黑体" w:eastAsia="黑体"/>
          <w:b/>
          <w:sz w:val="24"/>
        </w:rPr>
        <w:t>步骤1：是否进行液化判别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提取勘察报告2.5节场地地层岩性、4.2.1场地抗震设防烈度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《建筑抗震设计规范》第4.3.1节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1.场地内存在砂土和粉土；2.抗震设防烈度大于6度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同时满足，需进行液化判别；不同时满足，无需进行液化判别，结束。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同时满足，进入步骤2。</w:t>
      </w:r>
    </w:p>
    <w:p>
      <w:r>
        <w:rPr>
          <w:rFonts w:ascii="黑体" w:hAnsi="黑体" w:eastAsia="黑体"/>
          <w:b/>
          <w:sz w:val="24"/>
        </w:rPr>
        <w:t>步骤2：液化初判（地质年代）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确定液化判别钻孔地层信息、地质年代、场地抗震设防烈度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《建筑抗震设计规范》第4.3.3节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1）地质年代为第四纪晚更新世(Q3)及其以前；2）抗震设防烈度为7、8度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同时满足以上2条时，可不考虑液化影响，终止；不同时满足，进入步骤3。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进入步骤3。</w:t>
      </w:r>
    </w:p>
    <w:p>
      <w:r>
        <w:rPr>
          <w:rFonts w:ascii="黑体" w:hAnsi="黑体" w:eastAsia="黑体"/>
          <w:b/>
          <w:sz w:val="24"/>
        </w:rPr>
        <w:t>步骤3：液化初判（黏粒含量）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液化判别钻孔地层信息、抗震设防烈度、颗分试验统计结果表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《建筑抗震设计规范》第4.3.3节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根据颗粒分析试验统计成果表，粉土的黏粒(粒径小于0.005mm的颗粒)含量百分率，当抗震设防烈度7度、8度和9度分别不小于10、13和16时，可判为不液化土。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满足条件时，可不考虑液化影响；不满足时，进入步骤4。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进入步骤4。</w:t>
      </w:r>
    </w:p>
    <w:p>
      <w:r>
        <w:rPr>
          <w:rFonts w:ascii="黑体" w:hAnsi="黑体" w:eastAsia="黑体"/>
          <w:b/>
          <w:sz w:val="24"/>
        </w:rPr>
        <w:t>步骤4：液化初判（覆盖层与地下水位）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液化判别钻孔地层信息、抗震设防烈度、颗分试验结果、抗浮水位、基础埋置深度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《建筑抗震设计规范》第4.3.3节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浅埋天然地基的建筑，当上覆非液化土层厚度和地下水位深度符合下列条件之一时，可不考虑液化影响：du&gt;d₀+db-2；dw&gt;d₀+db-3；du+dw&gt;1.5d₀+2db-4.5。其中du为上覆非液化土层厚度(m)（扣除淤泥和淤泥质土层厚度）；dw为地下水位深度(m)；db为基础埋置深度(m)（2m以内按2m）；d₀为液化土特征深度(m)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满足以上3条之一时，可判为不液化土；均不符合时，需进一步进行液化判别。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均不符合时，进入步骤5。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饱和土类别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7度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8度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9度</w:t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粉土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6m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7m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8m</w:t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砂土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7m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8m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9m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步骤5：液化判别深度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勘察报告拟建建筑物性质一览表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《建筑抗震设计规范》第4.2.1条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建筑是否为下列之一：1.单层厂房和单层房屋；2.砌体房屋；3.不超过8层且高度在24m以下的建筑物。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满足以上3条之一，判别深度为15m；均不满足，判别深度为20m。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进入步骤6。</w:t>
      </w:r>
    </w:p>
    <w:p>
      <w:r>
        <w:rPr>
          <w:rFonts w:ascii="黑体" w:hAnsi="黑体" w:eastAsia="黑体"/>
          <w:b/>
          <w:sz w:val="24"/>
        </w:rPr>
        <w:t>步骤6：液化复判计算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N₀（基准值）、ds（标贯点深度）、dw（地下水位）、ρc（黏粒含量百分率）、β（调整系数）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《建筑抗震设计规范》第4.3.4条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根据公式计算液化判别标准贯入锤击数临界值：Ncr = N₀×β×[ln(0.6ds+1.5)-0.1dw]×√(3/ρc)。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Ncr——液化判别标准贯入锤击数临界值。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进入步骤7。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设计基本地震加速度(g)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0.10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0.15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0.20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0.30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0.40</w:t>
            </w:r>
          </w:p>
        </w:tc>
      </w:tr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N₀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19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步骤7：得出液化复判结论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步骤6计算出的Ncr，深度对应的击数N（编录信息表标准贯入试验列）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《建筑抗震设计规范》第4.3.4条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N≤Ncr，判断为液化土；N＞Ncr，判断为不液化土。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N≤Ncr，判断为液化土；N＞Ncr，判断为不液化土。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N≤Ncr，进入步骤8；N＞Ncr，结束。</w:t>
      </w:r>
    </w:p>
    <w:p>
      <w:r>
        <w:rPr>
          <w:rFonts w:ascii="黑体" w:hAnsi="黑体" w:eastAsia="黑体"/>
          <w:b/>
          <w:sz w:val="24"/>
        </w:rPr>
        <w:t>步骤8：液化指数计算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n（标贯试验点总数）、Ni和Ncri（实测值和临界值）、di（土层厚度）、Wi（权函数值）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《建筑抗震设计规范》第4.3.5条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根据公式计算液化指数：IlE = Σ[1-Ni/Ncri]×di×Wi。其中Wi的取值：当该层中点深度不大于5m时取10，等于20m时取零值，5~20m时按线性内插法取值。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IlE——液化指数。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进入步骤9。</w:t>
      </w:r>
    </w:p>
    <w:p>
      <w:r>
        <w:rPr>
          <w:rFonts w:ascii="黑体" w:hAnsi="黑体" w:eastAsia="黑体"/>
          <w:b/>
          <w:sz w:val="24"/>
        </w:rPr>
        <w:t>步骤9：确定液化等级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液化指数IlE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《建筑抗震设计规范》第4.3.5条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根据液化指数确定液化等级。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轻微、中等或严重。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进入步骤10。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液化等级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轻微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中等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严重</w:t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液化指数IlE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 &lt; IlE ≤ 6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 &lt; IlE ≤ 18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IlE &gt; 18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步骤10：处理措施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勘察报告4.2.5节抗震设防类别；步骤9计算的液化指数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《建筑抗震设计规范》第4.3.6条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根据表4.3.6，按抗震设防类别和液化等级采用对应的处理措施。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根据表4.3.6，输出对应的处理措施。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设防类别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轻微液化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中等液化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严重液化</w:t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甲类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全部消除液化沉陷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全部消除液化沉陷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全部消除液化沉陷</w:t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乙类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部分消除液化沉陷，或对基础和上部结构进行处理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全部消除液化沉陷，或部分消除且对基础和上部结构进行处理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全部消除液化沉陷</w:t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丙类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可不采取措施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对基础和上部结构进行处理，或采用更经济的措施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全部消除液化沉陷，或部分消除且对基础和上部结构进行处理</w:t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丁类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可不采取措施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可不采取措施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对基础和上部结构进行处理，或采用其他经济的措施</w:t>
            </w:r>
          </w:p>
        </w:tc>
      </w:tr>
    </w:tbl>
    <w:p/>
    <w:p/>
    <w:p>
      <w:pPr>
        <w:pStyle w:val="Heading1"/>
      </w:pPr>
      <w:r>
        <w:rPr>
          <w:rFonts w:ascii="黑体" w:hAnsi="黑体" w:eastAsia="黑体"/>
        </w:rPr>
        <w:t>（四）软弱土震陷评价</w:t>
      </w:r>
    </w:p>
    <w:p>
      <w:r>
        <w:rPr>
          <w:rFonts w:ascii="黑体" w:hAnsi="黑体" w:eastAsia="黑体"/>
          <w:b/>
          <w:sz w:val="24"/>
        </w:rPr>
        <w:t>步骤1：是否进行震陷评价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勘察报告4.2.5节抗震设防类别；勘察报告2.5节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《软土地区岩土工程勘察规程》第6.3.4条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抗震设防烈度≥7度；存在软弱土（淤泥、淤泥质土、冲填土、杂填土及其他高压缩性土层）。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以上条件均满足时，进行震陷评价，进入步骤2；否则不进行。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均满足，进入步骤2。</w:t>
      </w:r>
    </w:p>
    <w:p>
      <w:r>
        <w:rPr>
          <w:rFonts w:ascii="黑体" w:hAnsi="黑体" w:eastAsia="黑体"/>
          <w:b/>
          <w:sz w:val="24"/>
        </w:rPr>
        <w:t>步骤2：初判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勘察报告4.2.2节等效剪切波速；4.2.1节抗震设防烈度；4.4承载力特征值；3.1节塑性指数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《岩土工程勘察规范(2009版)》或《软土地区岩土工程勘察规程》第6.3.4条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1）当地基等效剪切波速或承载力特征值大于表中数值时，可不考虑震陷影响。2）对于饱和粉质粘土，8度(0.30g)和9度时，当塑性指数Ip&lt;15且Ws≥0.9WL、IL≥0.75时，可判为震陷性软土。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地基土为震陷性软土或不考虑震陷。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进入步骤3。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设防烈度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等效剪切波速阈值(m/s)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承载力特征值阈值(kPa)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7度(0.10g)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90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7度(0.15g)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90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8度(0.20g)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140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8度(0.30g)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140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9度(0.40g)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200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120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步骤3：详判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勘察报告4.2.1节抗震设防烈度；钻孔地层信息；4.2.2节等效剪切波速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《岩土工程勘察规范(2009版)》或《软土地区岩土工程勘察规程》第6.3.4条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按下表取震陷估算值。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震陷估算值。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进入步骤4。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设防烈度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Vse=90~140 m/s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Vse=140~200 m/s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7度(0.10g)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30~50mm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不考虑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8度(0.20g)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50~150mm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30~50mm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8度(0.30g)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100~200mm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50~100mm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9度(0.40g)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200~400mm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100~200mm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步骤4：危害性评价及处理措施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震陷估算值；勘察报告第1.1.2节地基变形允许值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《岩土工程勘察规范(2009版)》或《软土地区岩土工程勘察规程》第6.3.4条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震陷量&gt;50mm或地基变形允许值时，需采取措施。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满足条件时采取措施：采用桩基穿越软土层、深层搅拌法、高压旋喷法、换填垫层、复合地基方法加强上部结构整体性，减小不均匀沉降影响。不满足则不采取措施。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无</w:t>
      </w:r>
    </w:p>
    <w:p/>
    <w:p>
      <w:pPr>
        <w:pStyle w:val="Heading1"/>
      </w:pPr>
      <w:r>
        <w:rPr>
          <w:rFonts w:ascii="黑体" w:hAnsi="黑体" w:eastAsia="黑体"/>
        </w:rPr>
        <w:t>（五）地震滑坡/崩塌评价</w:t>
      </w:r>
    </w:p>
    <w:p>
      <w:r>
        <w:rPr>
          <w:rFonts w:ascii="黑体" w:hAnsi="黑体" w:eastAsia="黑体"/>
          <w:b/>
          <w:sz w:val="24"/>
        </w:rPr>
        <w:t>地震滑坡/崩塌评价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勘察报告2.6节不良地质作用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存在滑坡/崩塌。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若存在，则建议开展专项勘察或提出严禁建设或避让要求；若不存在，则说明'地震作用下不会产生滑坡、崩塌等不良地质作用'。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无</w:t>
      </w:r>
    </w:p>
    <w:p/>
    <w:p>
      <w:pPr>
        <w:pStyle w:val="Heading1"/>
      </w:pPr>
      <w:r>
        <w:rPr>
          <w:rFonts w:ascii="黑体" w:hAnsi="黑体" w:eastAsia="黑体"/>
        </w:rPr>
        <w:t>（六）场地横向扩展评价</w:t>
      </w:r>
    </w:p>
    <w:p>
      <w:r>
        <w:rPr>
          <w:rFonts w:ascii="黑体" w:hAnsi="黑体" w:eastAsia="黑体"/>
          <w:b/>
          <w:sz w:val="24"/>
        </w:rPr>
        <w:t>步骤1：有无液化土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勘察报告4.2.3地震液化评价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《建筑抗震设计规范》4.3.10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是否存在液化土。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若存在，进入步骤2；若不存在，则不考虑地震的横向扩展作用。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存在，进入步骤2。</w:t>
      </w:r>
    </w:p>
    <w:p>
      <w:r>
        <w:rPr>
          <w:rFonts w:ascii="黑体" w:hAnsi="黑体" w:eastAsia="黑体"/>
          <w:b/>
          <w:sz w:val="24"/>
        </w:rPr>
        <w:t>步骤2：临空条件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勘察报告第2章场地环境与工程地质条件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《建筑抗震设计规范》4.3.10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是否满足以下临空条件之一：场地是否位于故河道，临近河岸、湖泊、海岸，边坡坡脚、坡顶和明显的地面高差、人工临空面（如深基坑）等地段。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若不满足，则不考虑地震的横向扩展作用；若满足，则应考虑横向扩展作用，并提出地基处理措施（振冲碎石桩、CFG、高压旋喷桩、大直径素混凝土桩、强夯、挤密砂桩，设置地下连续墙或板桩墙）、结构措施（抗滑动验算、筏板基础、地梁体系、桩基水平承载力验算）和监测方案（设置水平位移监测点，开展长期监测）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无</w:t>
      </w:r>
    </w:p>
    <w:p/>
    <w:p>
      <w:pPr>
        <w:pStyle w:val="Heading1"/>
      </w:pPr>
      <w:r>
        <w:rPr>
          <w:rFonts w:ascii="黑体" w:hAnsi="黑体" w:eastAsia="黑体"/>
        </w:rPr>
        <w:t>（七）抗震地段划分</w:t>
      </w:r>
    </w:p>
    <w:p>
      <w:r>
        <w:rPr>
          <w:rFonts w:ascii="黑体" w:hAnsi="黑体" w:eastAsia="黑体"/>
          <w:b/>
          <w:sz w:val="24"/>
        </w:rPr>
        <w:t>步骤1：危险地段判定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勘察报告2.8节不良地质作用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《建筑抗震设计规范》4.1.1条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根据不良地质作用，若地震时可能发生滑坡、崩塌、地陷、地裂、泥石流，则划分为危险地段；若不存在，则进入步骤2。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若存在不良地质作用，划分为危险地段；若不存在，进入步骤2。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不存在，进入步骤2。</w:t>
      </w:r>
    </w:p>
    <w:p>
      <w:r>
        <w:rPr>
          <w:rFonts w:ascii="黑体" w:hAnsi="黑体" w:eastAsia="黑体"/>
          <w:b/>
          <w:sz w:val="24"/>
        </w:rPr>
        <w:t>步骤2：发震断裂判定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勘察报告2.3.1区域地质构造特征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《建筑抗震设计规范》4.1.1条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是否存在发震断裂。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不存在，进入步骤4；存在，进入步骤3。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存在，进入步骤3。</w:t>
      </w:r>
    </w:p>
    <w:p>
      <w:r>
        <w:rPr>
          <w:rFonts w:ascii="黑体" w:hAnsi="黑体" w:eastAsia="黑体"/>
          <w:b/>
          <w:sz w:val="24"/>
        </w:rPr>
        <w:t>步骤3：发震断裂影响评估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勘察报告2.3.1区域地质构造特征；4.2.1抗震设防烈度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《建筑抗震设计规范》4.1.1条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1)抗震设防烈度小于8度；2)非全新世活动断裂；3)抗震设防烈度为8度和9度时，隐伏断裂的土层覆盖厚度分别大于60m和90m。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若满足任意一条，则不考虑发震断裂错动影响，进入步骤4；若均不满足，划为危险地段。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满足任一，进入步骤4。</w:t>
      </w:r>
    </w:p>
    <w:p>
      <w:r>
        <w:rPr>
          <w:rFonts w:ascii="黑体" w:hAnsi="黑体" w:eastAsia="黑体"/>
          <w:b/>
          <w:sz w:val="24"/>
        </w:rPr>
        <w:t>步骤4：不利地段判定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勘察报告第2章场地环境与工程地质条件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《建筑抗震设计规范》4.1.1条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是否满足以下条件之一：①软弱土与液化土；②条状突出山嘴；③高耸孤立山丘；④非岩质的陡坡、陡坎；⑤河岸和边坡的边缘；⑥土层明显不均匀（含故河道、断层破碎带、暗埋塘浜沟谷、半填半挖地基）；⑦高含水量可塑黄土；⑧地表结构性裂缝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若满足任意一条，划分为不利地段；若均不满足，进入步骤5。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均不满足，进入步骤5。</w:t>
      </w:r>
    </w:p>
    <w:p>
      <w:r>
        <w:rPr>
          <w:rFonts w:ascii="黑体" w:hAnsi="黑体" w:eastAsia="黑体"/>
          <w:b/>
          <w:sz w:val="24"/>
        </w:rPr>
        <w:t>步骤5：有利地段判定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a."输入"：</w:t>
      </w:r>
      <w:r>
        <w:rPr>
          <w:rFonts w:ascii="宋体" w:hAnsi="宋体" w:eastAsia="宋体"/>
          <w:sz w:val="22"/>
        </w:rPr>
        <w:t>勘察报告第2章场地环境与工程地质条件；4.5地基与基础评价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b."判断依据"：</w:t>
      </w:r>
      <w:r>
        <w:rPr>
          <w:rFonts w:ascii="宋体" w:hAnsi="宋体" w:eastAsia="宋体"/>
          <w:sz w:val="22"/>
        </w:rPr>
        <w:t>《建筑抗震设计规范》4.1.1条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c."判断逻辑"：</w:t>
      </w:r>
      <w:r>
        <w:rPr>
          <w:rFonts w:ascii="宋体" w:hAnsi="宋体" w:eastAsia="宋体"/>
          <w:sz w:val="22"/>
        </w:rPr>
        <w:t>是否满足以下条件：①场地地基为稳定基岩、坚硬土；②地形开阔、平坦、密实、均匀的中硬土等。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d."输出"：</w:t>
      </w:r>
      <w:r>
        <w:rPr>
          <w:rFonts w:ascii="宋体" w:hAnsi="宋体" w:eastAsia="宋体"/>
          <w:sz w:val="22"/>
        </w:rPr>
        <w:t>若满足任意一条，划分为有利地段；若均不满足，划分为一般地段。</w:t>
      </w:r>
    </w:p>
    <w:p>
      <w:pPr>
        <w:spacing w:before="40" w:after="40"/>
        <w:ind w:left="567"/>
      </w:pPr>
      <w:r>
        <w:rPr>
          <w:rFonts w:ascii="宋体" w:hAnsi="宋体" w:eastAsia="宋体"/>
          <w:b/>
          <w:sz w:val="22"/>
        </w:rPr>
        <w:t>e."下一步"：</w:t>
      </w:r>
      <w:r>
        <w:rPr>
          <w:rFonts w:ascii="宋体" w:hAnsi="宋体" w:eastAsia="宋体"/>
          <w:sz w:val="22"/>
        </w:rPr>
        <w:t>无</w:t>
      </w:r>
    </w:p>
    <w:p/>
    <w:p>
      <w:pPr>
        <w:pStyle w:val="Heading1"/>
      </w:pPr>
      <w:r>
        <w:rPr>
          <w:rFonts w:ascii="黑体" w:hAnsi="黑体" w:eastAsia="黑体"/>
        </w:rPr>
        <w:t>附录：核心规范数据表</w:t>
      </w:r>
    </w:p>
    <w:p>
      <w:pPr>
        <w:pStyle w:val="Heading2"/>
      </w:pPr>
      <w:r>
        <w:rPr>
          <w:rFonts w:ascii="黑体" w:hAnsi="黑体" w:eastAsia="黑体"/>
        </w:rPr>
        <w:t>表4.1.3 土的类型与剪切波速范围</w:t>
      </w:r>
    </w:p>
    <w:p>
      <w:r>
        <w:rPr>
          <w:rFonts w:ascii="宋体" w:hAnsi="宋体" w:eastAsia="宋体"/>
          <w:color w:val="646464"/>
          <w:sz w:val="20"/>
        </w:rPr>
        <w:t>《建筑抗震设计规范》表4.1.3 - 土的类型和剪切波速范围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土的类型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岩土名称和性状</w:t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剪切波速范围(m/s)</w:t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表4.1.6 场地类别划分</w:t>
      </w:r>
    </w:p>
    <w:p>
      <w:r>
        <w:rPr>
          <w:rFonts w:ascii="宋体" w:hAnsi="宋体" w:eastAsia="宋体"/>
          <w:color w:val="646464"/>
          <w:sz w:val="20"/>
        </w:rPr>
        <w:t>《建筑抗震设计规范》表4.1.6 - 场地类别划分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剪切波速或等效剪切波速(m/s)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I0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I1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II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III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IV</w:t>
            </w:r>
          </w:p>
        </w:tc>
      </w:tr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</w:tr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</w:tr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&lt;5m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≥5m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</w:tr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&lt;3m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3~50m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&gt;50m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</w:tr>
      <w:tr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None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&lt;3m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3~15m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15~80m</w:t>
            </w:r>
          </w:p>
        </w:tc>
        <w:tc>
          <w:tcPr>
            <w:tcW w:type="dxa" w:w="14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&gt;80m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表4.3.3 液化土特征深度(m)</w:t>
      </w:r>
    </w:p>
    <w:p>
      <w:r>
        <w:rPr>
          <w:rFonts w:ascii="宋体" w:hAnsi="宋体" w:eastAsia="宋体"/>
          <w:color w:val="646464"/>
          <w:sz w:val="20"/>
        </w:rPr>
        <w:t>《建筑抗震设计规范》表4.3.3 - 液化土特征深度(m)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饱和土类别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7度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8度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9度</w:t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表4.3.4 液化判别标准贯入锤击数基准值N₀</w:t>
      </w:r>
    </w:p>
    <w:p>
      <w:r>
        <w:rPr>
          <w:rFonts w:ascii="宋体" w:hAnsi="宋体" w:eastAsia="宋体"/>
          <w:color w:val="646464"/>
          <w:sz w:val="20"/>
        </w:rPr>
        <w:t>《建筑抗震设计规范》表4.3.4 - 液化判别标准贯入锤击数基准值N0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设计基本地震加速度(g)</w:t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N0</w:t>
            </w:r>
          </w:p>
        </w:tc>
      </w:tr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</w:tr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</w:tr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</w:t>
            </w:r>
          </w:p>
        </w:tc>
      </w:tr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</w:t>
            </w:r>
          </w:p>
        </w:tc>
      </w:tr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19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表4.3.4 调整系数β</w:t>
      </w:r>
    </w:p>
    <w:p>
      <w:r>
        <w:rPr>
          <w:rFonts w:ascii="宋体" w:hAnsi="宋体" w:eastAsia="宋体"/>
          <w:color w:val="646464"/>
          <w:sz w:val="20"/>
        </w:rPr>
        <w:t>《建筑抗震设计规范》表4.3.4 - 调整系数β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设计地震分组</w:t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β</w:t>
            </w:r>
          </w:p>
        </w:tc>
      </w:tr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表4.3.5 液化等级</w:t>
      </w:r>
    </w:p>
    <w:p>
      <w:r>
        <w:rPr>
          <w:rFonts w:ascii="宋体" w:hAnsi="宋体" w:eastAsia="宋体"/>
          <w:color w:val="646464"/>
          <w:sz w:val="20"/>
        </w:rPr>
        <w:t>《建筑抗震设计规范》表4.3.5 - 液化等级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液化等级</w:t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液化指数IlE范围</w:t>
            </w:r>
          </w:p>
        </w:tc>
      </w:tr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4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表4.3.6 抗液化措施</w:t>
      </w:r>
    </w:p>
    <w:p>
      <w:r>
        <w:rPr>
          <w:rFonts w:ascii="宋体" w:hAnsi="宋体" w:eastAsia="宋体"/>
          <w:color w:val="646464"/>
          <w:sz w:val="20"/>
        </w:rPr>
        <w:t>《建筑抗震设计规范》表4.3.6 - 抗液化措施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抗震设防类别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轻微液化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中等液化</w:t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严重液化</w:t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1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附录：全国抗震设防数据统计</w:t>
      </w:r>
    </w:p>
    <w:p>
      <w:r>
        <w:rPr>
          <w:rFonts w:ascii="宋体" w:hAnsi="宋体" w:eastAsia="宋体"/>
          <w:sz w:val="22"/>
        </w:rPr>
        <w:t>共覆盖 29 个省级行政区，2196 条记录。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省份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记录总数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6度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7度(0.10g)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7度(0.15g)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8度(0.20g)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8度(0.30g)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9度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云南省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129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39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内蒙自治区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49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吉林省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49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四川省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宁夏回族自治区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安徽省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山东省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山西省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119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广东省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54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45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广西壮族自治区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新疆维吾尔自治区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江苏省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江西省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河北省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112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河南省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59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浙江省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海南省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港澳特区和台湾省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湖北省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湖南省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甘肃省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福建省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西藏自治区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贵州省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辽宁省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陕西省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104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28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青海省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44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首都和直辖市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33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黑龙江省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87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