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0"/>
          <w:szCs w:val="30"/>
        </w:rPr>
        <w:t xml:space="preserve">IA Aplicada à Análise de Decisões Sancionadoras da ANPD: um Estudo Exploratório sobre Responsabilidade Civil na LGPD</w:t>
      </w:r>
    </w:p>
    <w:p>
      <w:pPr>
        <w:spacing w:after="200" w:line="360"/>
        <w:jc w:val="center"/>
      </w:pPr>
      <w:r>
        <w:rPr>
          <w:rFonts w:ascii="Times New Roman" w:cs="Times New Roman" w:eastAsia="Times New Roman" w:hAnsi="Times New Roman"/>
          <w:i/>
          <w:iCs/>
          <w:sz w:val="22"/>
          <w:szCs w:val="22"/>
        </w:rPr>
        <w:t xml:space="preserve">Projeto da disciplina de Inteligência Artificial — Curso de Sistemas de Informação</w:t>
      </w:r>
    </w:p>
    <w:p>
      <w:pPr>
        <w:spacing w:after="200" w:line="360"/>
        <w:jc w:val="center"/>
      </w:pPr>
      <w:r>
        <w:rPr>
          <w:rFonts w:ascii="Times New Roman" w:cs="Times New Roman" w:eastAsia="Times New Roman" w:hAnsi="Times New Roman"/>
          <w:sz w:val="22"/>
          <w:szCs w:val="22"/>
        </w:rPr>
        <w:t xml:space="preserve">Universidade Presbiteriana Mackenzie — Faculdade de Computação e Informática (FCI)</w:t>
      </w:r>
    </w:p>
    <w:p>
      <w:pPr>
        <w:spacing w:after="200" w:line="360"/>
        <w:jc w:val="center"/>
      </w:pPr>
      <w:r>
        <w:rPr>
          <w:rFonts w:ascii="Times New Roman" w:cs="Times New Roman" w:eastAsia="Times New Roman" w:hAnsi="Times New Roman"/>
          <w:sz w:val="22"/>
          <w:szCs w:val="22"/>
        </w:rPr>
        <w:t xml:space="preserve">Prof. Dr. Leandro Zerbinatti — Turma 7ºJ SI Noite</w:t>
      </w:r>
    </w:p>
    <w:p>
      <w:pPr>
        <w:spacing w:after="200" w:line="360"/>
        <w:jc w:val="center"/>
      </w:pPr>
      <w:r>
        <w:rPr>
          <w:rFonts w:ascii="Times New Roman" w:cs="Times New Roman" w:eastAsia="Times New Roman" w:hAnsi="Times New Roman"/>
          <w:sz w:val="22"/>
          <w:szCs w:val="22"/>
        </w:rPr>
        <w:t xml:space="preserve">São Paulo, 2026</w:t>
      </w:r>
    </w:p>
    <w:p>
      <w:pPr>
        <w:pStyle w:val="Heading1"/>
        <w:spacing w:after="150" w:before="300"/>
      </w:pPr>
      <w:r>
        <w:rPr>
          <w:rFonts w:ascii="Times New Roman" w:cs="Times New Roman" w:eastAsia="Times New Roman" w:hAnsi="Times New Roman"/>
          <w:b/>
          <w:bCs/>
          <w:sz w:val="26"/>
          <w:szCs w:val="26"/>
        </w:rPr>
        <w:t xml:space="preserve">1. Integrantes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D9E2F3" w:color="auto" w:val="clear"/>
          </w:tcPr>
          <w:p>
            <w:r>
              <w:rPr>
                <w:rFonts w:ascii="Times New Roman" w:cs="Times New Roman" w:eastAsia="Times New Roman" w:hAnsi="Times New Roman"/>
                <w:b/>
                <w:bCs/>
                <w:sz w:val="20"/>
                <w:szCs w:val="20"/>
              </w:rPr>
              <w:t xml:space="preserve">Nome</w:t>
            </w:r>
          </w:p>
        </w:tc>
        <w:tc>
          <w:tcPr>
            <w:tcW w:type="dxa" w:w="2000"/>
            <w:shd w:fill="D9E2F3" w:color="auto" w:val="clear"/>
          </w:tcPr>
          <w:p>
            <w:r>
              <w:rPr>
                <w:rFonts w:ascii="Times New Roman" w:cs="Times New Roman" w:eastAsia="Times New Roman" w:hAnsi="Times New Roman"/>
                <w:b/>
                <w:bCs/>
                <w:sz w:val="20"/>
                <w:szCs w:val="20"/>
              </w:rPr>
              <w:t xml:space="preserve">RA</w:t>
            </w:r>
          </w:p>
        </w:tc>
        <w:tc>
          <w:tcPr>
            <w:tcW w:type="dxa" w:w="4000"/>
            <w:shd w:fill="D9E2F3" w:color="auto" w:val="clear"/>
          </w:tcPr>
          <w:p>
            <w:r>
              <w:rPr>
                <w:rFonts w:ascii="Times New Roman" w:cs="Times New Roman" w:eastAsia="Times New Roman" w:hAnsi="Times New Roman"/>
                <w:b/>
                <w:bCs/>
                <w:sz w:val="20"/>
                <w:szCs w:val="20"/>
              </w:rPr>
              <w:t xml:space="preserve">E-mail (Mackenzista)</w:t>
            </w:r>
          </w:p>
        </w:tc>
      </w:tr>
      <w:tr>
        <w:tc>
          <w:tcPr>
            <w:tcW w:type="dxa" w:w="2000"/>
          </w:tcPr>
          <w:p>
            <w:r>
              <w:rPr>
                <w:rFonts w:ascii="Times New Roman" w:cs="Times New Roman" w:eastAsia="Times New Roman" w:hAnsi="Times New Roman"/>
                <w:b w:val="false"/>
                <w:bCs w:val="false"/>
                <w:sz w:val="20"/>
                <w:szCs w:val="20"/>
              </w:rPr>
              <w:t xml:space="preserve">Mateus Ciancio</w:t>
            </w:r>
          </w:p>
        </w:tc>
        <w:tc>
          <w:tcPr>
            <w:tcW w:type="dxa" w:w="2000"/>
          </w:tcPr>
          <w:p>
            <w:r>
              <w:rPr>
                <w:rFonts w:ascii="Times New Roman" w:cs="Times New Roman" w:eastAsia="Times New Roman" w:hAnsi="Times New Roman"/>
                <w:b w:val="false"/>
                <w:bCs w:val="false"/>
                <w:sz w:val="20"/>
                <w:szCs w:val="20"/>
              </w:rPr>
              <w:t xml:space="preserve">10390145</w:t>
            </w:r>
          </w:p>
        </w:tc>
        <w:tc>
          <w:tcPr>
            <w:tcW w:type="dxa" w:w="2000"/>
          </w:tcPr>
          <w:p>
            <w:r>
              <w:rPr>
                <w:rFonts w:ascii="Times New Roman" w:cs="Times New Roman" w:eastAsia="Times New Roman" w:hAnsi="Times New Roman"/>
                <w:b w:val="false"/>
                <w:bCs w:val="false"/>
                <w:sz w:val="20"/>
                <w:szCs w:val="20"/>
              </w:rPr>
              <w:t xml:space="preserve">10390145@mackenzista.com.br</w:t>
            </w:r>
          </w:p>
        </w:tc>
      </w:tr>
    </w:tbl>
    <w:p>
      <w:pPr>
        <w:spacing w:after="200" w:line="360"/>
        <w:jc w:val="both"/>
      </w:pPr>
      <w:r>
        <w:rPr>
          <w:rFonts w:ascii="Times New Roman" w:cs="Times New Roman" w:eastAsia="Times New Roman" w:hAnsi="Times New Roman"/>
          <w:i/>
          <w:iCs/>
          <w:sz w:val="20"/>
          <w:szCs w:val="20"/>
        </w:rPr>
        <w:t xml:space="preserve">Observação: o enunciado orienta grupos de 3 a 4 alunos cursando TCC; esta entrega está sendo realizada de forma individual.</w:t>
      </w:r>
    </w:p>
    <w:p>
      <w:pPr>
        <w:pStyle w:val="Heading1"/>
        <w:spacing w:after="150" w:before="300"/>
      </w:pPr>
      <w:r>
        <w:rPr>
          <w:rFonts w:ascii="Times New Roman" w:cs="Times New Roman" w:eastAsia="Times New Roman" w:hAnsi="Times New Roman"/>
          <w:b/>
          <w:bCs/>
          <w:sz w:val="26"/>
          <w:szCs w:val="26"/>
        </w:rPr>
        <w:t xml:space="preserve">2. Resumo</w:t>
      </w:r>
    </w:p>
    <w:p>
      <w:pPr>
        <w:spacing w:after="200" w:line="360"/>
        <w:jc w:val="both"/>
      </w:pPr>
      <w:r>
        <w:rPr>
          <w:rFonts w:ascii="Times New Roman" w:cs="Times New Roman" w:eastAsia="Times New Roman" w:hAnsi="Times New Roman"/>
          <w:sz w:val="24"/>
          <w:szCs w:val="24"/>
        </w:rPr>
        <w:t xml:space="preserve">Este projeto propõe o uso de Inteligência Artificial, por meio de um grande modelo de linguagem (LLM), para apoiar a análise de decisões sancionadoras públicas da Autoridade Nacional de Proteção de Dados (ANPD), com foco nos critérios de alocação de responsabilidade civil entre agentes de tratamento (controladores e operadores) previstos na Lei Geral de Proteção de Dados (LGPD, Lei nº 13.709/2018). A motivação decorre do aumento expressivo da atividade fiscalizatória da ANPD após sua transformação em agência reguladora pela Lei nº 15.352/2026, que tornou ainda mais relevante — e mais difícil de acompanhar manualmente — a consolidação de informações espalhadas em dezenas de relatórios técnicos e despachos publicados em formato PDF não estruturado. Nesta primeira etapa (N1), foi construído um dataset original com 10 processos sancionadores extraídos de fontes oficiais do governo federal, seguido de análise exploratória e preparação inicial dos dados em Python. O projeto adota a opção de emprego de LLM via API para, na etapa seguinte, extrair automaticamente do inteiro teor dos relatórios campos como o artigo da LGPD apontado, o tipo de conduta e a sanção aplicada, sempre com revisão humana dos resultados. Discutem-se também os riscos éticos do uso de IA nesse contexto, sobretudo o risco de alucinação em citações jurídicas — tema já aprofundado no Trabalho de Conclusão de Curso do autor deste projeto, sobre responsabilidade civil da IA na LGPD. Espera-se, ao final do projeto, um dataset estruturado e validado que sirva tanto como ferramenta de apoio à pesquisa acadêmica quanto como inspiração para ferramentas de compliance.</w:t>
      </w:r>
    </w:p>
    <w:p>
      <w:pPr>
        <w:spacing w:after="200" w:line="360"/>
        <w:jc w:val="both"/>
      </w:pPr>
      <w:r>
        <w:rPr>
          <w:rFonts w:ascii="Times New Roman" w:cs="Times New Roman" w:eastAsia="Times New Roman" w:hAnsi="Times New Roman"/>
          <w:b/>
          <w:bCs/>
          <w:sz w:val="24"/>
          <w:szCs w:val="24"/>
        </w:rPr>
        <w:t xml:space="preserve">Palavras-chave: Inteligência Artificial; LGPD; responsabilidade civil; ANPD; modelos de linguagem.</w:t>
      </w:r>
    </w:p>
    <w:p>
      <w:pPr>
        <w:pStyle w:val="Heading1"/>
        <w:spacing w:after="150" w:before="300"/>
      </w:pPr>
      <w:r>
        <w:rPr>
          <w:rFonts w:ascii="Times New Roman" w:cs="Times New Roman" w:eastAsia="Times New Roman" w:hAnsi="Times New Roman"/>
          <w:b/>
          <w:bCs/>
          <w:sz w:val="26"/>
          <w:szCs w:val="26"/>
        </w:rPr>
        <w:t xml:space="preserve">3. Introdução</w:t>
      </w:r>
    </w:p>
    <w:p>
      <w:pPr>
        <w:pStyle w:val="Heading2"/>
        <w:spacing w:after="150" w:before="300"/>
      </w:pPr>
      <w:r>
        <w:rPr>
          <w:rFonts w:ascii="Times New Roman" w:cs="Times New Roman" w:eastAsia="Times New Roman" w:hAnsi="Times New Roman"/>
          <w:b/>
          <w:bCs/>
          <w:sz w:val="24"/>
          <w:szCs w:val="24"/>
        </w:rPr>
        <w:t xml:space="preserve">3.1 Contextualização</w:t>
      </w:r>
    </w:p>
    <w:p>
      <w:pPr>
        <w:spacing w:after="200" w:line="360"/>
        <w:jc w:val="both"/>
      </w:pPr>
      <w:r>
        <w:rPr>
          <w:rFonts w:ascii="Times New Roman" w:cs="Times New Roman" w:eastAsia="Times New Roman" w:hAnsi="Times New Roman"/>
          <w:sz w:val="24"/>
          <w:szCs w:val="24"/>
        </w:rPr>
        <w:t xml:space="preserve">A Lei Geral de Proteção de Dados Pessoais (LGPD, Lei nº 13.709/2018) estabelece deveres e responsabilidades para os chamados agentes de tratamento — controladores e operadores — em relação aos dados pessoais que tratam, prevendo, entre outros instrumentos, a aplicação de sanções administrativas pela Autoridade Nacional de Proteção de Dados (ANPD) em caso de descumprimento. Em fevereiro de 2026, a Lei nº 15.352/2026 transformou a ANPD em agência reguladora, ampliando sua autonomia administrativa, financeira e seu quadro de fiscalização, o que já se refletiu em um aumento expressivo no número de processos administrativos sancionadores abertos ao longo de 2026. Esse cenário de fiscalização crescente gera um volume também crescente de decisões e relatórios técnicos publicados oficialmente, mas de forma dispersa e não estruturada (arquivos PDF individuais, sem um dataset consolidado e pesquisável).</w:t>
      </w:r>
    </w:p>
    <w:p>
      <w:pPr>
        <w:spacing w:after="200" w:line="360"/>
        <w:jc w:val="both"/>
      </w:pPr>
      <w:r>
        <w:rPr>
          <w:rFonts w:ascii="Times New Roman" w:cs="Times New Roman" w:eastAsia="Times New Roman" w:hAnsi="Times New Roman"/>
          <w:sz w:val="24"/>
          <w:szCs w:val="24"/>
        </w:rPr>
        <w:t xml:space="preserve">Paralelamente, o avanço de modelos de linguagem de grande porte (LLMs) tem permitido automatizar tarefas de leitura, extração e classificação de informações em documentos jurídicos e regulatórios, o que abre a possibilidade de transformar esse acervo disperso de decisões da ANPD em uma base de dados estruturada, útil tanto para fins acadêmicos quanto para áreas de compliance e governança de dados nas organizações.</w:t>
      </w:r>
    </w:p>
    <w:p>
      <w:pPr>
        <w:pStyle w:val="Heading2"/>
        <w:spacing w:after="150" w:before="300"/>
      </w:pPr>
      <w:r>
        <w:rPr>
          <w:rFonts w:ascii="Times New Roman" w:cs="Times New Roman" w:eastAsia="Times New Roman" w:hAnsi="Times New Roman"/>
          <w:b/>
          <w:bCs/>
          <w:sz w:val="24"/>
          <w:szCs w:val="24"/>
        </w:rPr>
        <w:t xml:space="preserve">3.2 Justificativa</w:t>
      </w:r>
    </w:p>
    <w:p>
      <w:pPr>
        <w:spacing w:after="200" w:line="360"/>
        <w:jc w:val="both"/>
      </w:pPr>
      <w:r>
        <w:rPr>
          <w:rFonts w:ascii="Times New Roman" w:cs="Times New Roman" w:eastAsia="Times New Roman" w:hAnsi="Times New Roman"/>
          <w:sz w:val="24"/>
          <w:szCs w:val="24"/>
        </w:rPr>
        <w:t xml:space="preserve">A análise manual de dezenas de relatórios de instrução e despachos decisórios é uma tarefa lenta e sujeita a inconsistências entre analistas. Um pipeline apoiado por IA pode acelerar essa leitura e padronizar a extração de campos relevantes (artigo da LGPD apontado, tipo de conduta, natureza do agente de tratamento, sanção aplicada), reduzindo o esforço manual e permitindo comparações sistemáticas entre casos. O tema também é diretamente aderente ao Trabalho de Conclusão de Curso do autor deste projeto, que investiga a responsabilidade civil de agentes de tratamento e de desenvolvedores de sistemas de IA à luz da LGPD — de modo que este projeto de disciplina reaproveita e testa empiricamente parte do referencial teórico já levantado no TCC, ao mesmo tempo em que gera um dataset original de apoio à pesquisa.</w:t>
      </w:r>
    </w:p>
    <w:p>
      <w:pPr>
        <w:pStyle w:val="Heading2"/>
        <w:spacing w:after="150" w:before="300"/>
      </w:pPr>
      <w:r>
        <w:rPr>
          <w:rFonts w:ascii="Times New Roman" w:cs="Times New Roman" w:eastAsia="Times New Roman" w:hAnsi="Times New Roman"/>
          <w:b/>
          <w:bCs/>
          <w:sz w:val="24"/>
          <w:szCs w:val="24"/>
        </w:rPr>
        <w:t xml:space="preserve">3.3 Objetivo</w:t>
      </w:r>
    </w:p>
    <w:p>
      <w:pPr>
        <w:spacing w:after="200" w:line="360"/>
        <w:jc w:val="both"/>
      </w:pPr>
      <w:r>
        <w:rPr>
          <w:rFonts w:ascii="Times New Roman" w:cs="Times New Roman" w:eastAsia="Times New Roman" w:hAnsi="Times New Roman"/>
          <w:sz w:val="24"/>
          <w:szCs w:val="24"/>
        </w:rPr>
        <w:t xml:space="preserve">Objetivo geral: aplicar técnicas de Inteligência Artificial, com apoio de um LLM, para extrair e estruturar, a partir de decisões públicas da ANPD, informações relevantes à alocação de responsabilidade civil entre agentes de tratamento sob a LGPD.</w:t>
      </w:r>
    </w:p>
    <w:p>
      <w:pPr>
        <w:pStyle w:val="ListParagraph"/>
        <w:numPr>
          <w:ilvl w:val="0"/>
          <w:numId w:val="1"/>
        </w:numPr>
        <w:spacing w:after="100" w:line="300"/>
      </w:pPr>
      <w:r>
        <w:rPr>
          <w:rFonts w:ascii="Times New Roman" w:cs="Times New Roman" w:eastAsia="Times New Roman" w:hAnsi="Times New Roman"/>
          <w:sz w:val="24"/>
          <w:szCs w:val="24"/>
        </w:rPr>
        <w:t xml:space="preserve">Construir um dataset original a partir de fontes oficiais públicas (gov.br/ANPD);</w:t>
      </w:r>
    </w:p>
    <w:p>
      <w:pPr>
        <w:pStyle w:val="ListParagraph"/>
        <w:numPr>
          <w:ilvl w:val="0"/>
          <w:numId w:val="1"/>
        </w:numPr>
        <w:spacing w:after="100" w:line="300"/>
      </w:pPr>
      <w:r>
        <w:rPr>
          <w:rFonts w:ascii="Times New Roman" w:cs="Times New Roman" w:eastAsia="Times New Roman" w:hAnsi="Times New Roman"/>
          <w:sz w:val="24"/>
          <w:szCs w:val="24"/>
        </w:rPr>
        <w:t xml:space="preserve">Realizar análise exploratória e preparação inicial dos dados em Python;</w:t>
      </w:r>
    </w:p>
    <w:p>
      <w:pPr>
        <w:pStyle w:val="ListParagraph"/>
        <w:numPr>
          <w:ilvl w:val="0"/>
          <w:numId w:val="1"/>
        </w:numPr>
        <w:spacing w:after="100" w:line="300"/>
      </w:pPr>
      <w:r>
        <w:rPr>
          <w:rFonts w:ascii="Times New Roman" w:cs="Times New Roman" w:eastAsia="Times New Roman" w:hAnsi="Times New Roman"/>
          <w:sz w:val="24"/>
          <w:szCs w:val="24"/>
        </w:rPr>
        <w:t xml:space="preserve">Projetar um pipeline de extração de informação estruturada via LLM a partir do inteiro teor dos relatórios (PDFs);</w:t>
      </w:r>
    </w:p>
    <w:p>
      <w:pPr>
        <w:pStyle w:val="ListParagraph"/>
        <w:numPr>
          <w:ilvl w:val="0"/>
          <w:numId w:val="1"/>
        </w:numPr>
        <w:spacing w:after="100" w:line="300"/>
      </w:pPr>
      <w:r>
        <w:rPr>
          <w:rFonts w:ascii="Times New Roman" w:cs="Times New Roman" w:eastAsia="Times New Roman" w:hAnsi="Times New Roman"/>
          <w:sz w:val="24"/>
          <w:szCs w:val="24"/>
        </w:rPr>
        <w:t xml:space="preserve">Discutir os riscos éticos do uso de IA nesse contexto, com revisão humana obrigatória dos resultados.</w:t>
      </w:r>
    </w:p>
    <w:p>
      <w:pPr>
        <w:pStyle w:val="Heading2"/>
        <w:spacing w:after="150" w:before="300"/>
      </w:pPr>
      <w:r>
        <w:rPr>
          <w:rFonts w:ascii="Times New Roman" w:cs="Times New Roman" w:eastAsia="Times New Roman" w:hAnsi="Times New Roman"/>
          <w:b/>
          <w:bCs/>
          <w:sz w:val="24"/>
          <w:szCs w:val="24"/>
        </w:rPr>
        <w:t xml:space="preserve">3.4 Opção do projeto</w:t>
      </w:r>
    </w:p>
    <w:p>
      <w:pPr>
        <w:spacing w:after="200" w:line="360"/>
        <w:jc w:val="both"/>
      </w:pPr>
      <w:r>
        <w:rPr>
          <w:rFonts w:ascii="Times New Roman" w:cs="Times New Roman" w:eastAsia="Times New Roman" w:hAnsi="Times New Roman"/>
          <w:sz w:val="24"/>
          <w:szCs w:val="24"/>
        </w:rPr>
        <w:t xml:space="preserve">Optou-se pela Opção API ChatGPT/LLM, empregando um grande modelo de linguagem para apoiar a análise de documentos oficiais (relatórios de instrução e despachos decisórios da ANPD), com o objetivo de extrair, de forma estruturada, informações juridicamente relevantes hoje disponíveis apenas em texto livre e não padronizado.</w:t>
      </w:r>
    </w:p>
    <w:p>
      <w:pPr>
        <w:pStyle w:val="Heading1"/>
        <w:spacing w:after="150" w:before="300"/>
      </w:pPr>
      <w:r>
        <w:rPr>
          <w:rFonts w:ascii="Times New Roman" w:cs="Times New Roman" w:eastAsia="Times New Roman" w:hAnsi="Times New Roman"/>
          <w:b/>
          <w:bCs/>
          <w:sz w:val="26"/>
          <w:szCs w:val="26"/>
        </w:rPr>
        <w:t xml:space="preserve">4. Descrição do Problema</w:t>
      </w:r>
    </w:p>
    <w:p>
      <w:pPr>
        <w:spacing w:after="200" w:line="360"/>
        <w:jc w:val="both"/>
      </w:pPr>
      <w:r>
        <w:rPr>
          <w:rFonts w:ascii="Times New Roman" w:cs="Times New Roman" w:eastAsia="Times New Roman" w:hAnsi="Times New Roman"/>
          <w:sz w:val="24"/>
          <w:szCs w:val="24"/>
        </w:rPr>
        <w:t xml:space="preserve">Os relatórios de instrução e despachos decisórios da ANPD são publicados individualmente, em formato PDF, na página oficial "Decisões em Processos Sancionadores" do portal gov.br. Não existe, hoje, um dataset público consolidado que estruture, para cada processo, informações como o setor do agente de tratamento (público ou privado), o artigo da LGPD apontado como violado, o tipo de conduta investigada e a sanção efetivamente aplicada. Essa dispersão dificulta tanto a pesquisa acadêmica sobre padrões de responsabilização quanto o uso comparativo dessas decisões por áreas de compliance em empresas. O problema que este projeto busca endereçar é, portanto: como estruturar, de forma sistemática e escalável, as informações juridicamente relevantes contidas nas decisões sancionadoras da ANPD, com apoio de IA, preservando a necessidade de revisão humana sobre qualquer classificação jurídica automatizada?</w:t>
      </w:r>
    </w:p>
    <w:p>
      <w:pPr>
        <w:pStyle w:val="Heading1"/>
        <w:spacing w:after="150" w:before="300"/>
      </w:pPr>
      <w:r>
        <w:rPr>
          <w:rFonts w:ascii="Times New Roman" w:cs="Times New Roman" w:eastAsia="Times New Roman" w:hAnsi="Times New Roman"/>
          <w:b/>
          <w:bCs/>
          <w:sz w:val="26"/>
          <w:szCs w:val="26"/>
        </w:rPr>
        <w:t xml:space="preserve">5. Aspectos Éticos do Uso da IA e Responsabilidade no Desenvolvimento da Solução</w:t>
      </w:r>
    </w:p>
    <w:p>
      <w:pPr>
        <w:spacing w:after="200" w:line="360"/>
        <w:jc w:val="both"/>
      </w:pPr>
      <w:r>
        <w:rPr>
          <w:rFonts w:ascii="Times New Roman" w:cs="Times New Roman" w:eastAsia="Times New Roman" w:hAnsi="Times New Roman"/>
          <w:sz w:val="24"/>
          <w:szCs w:val="24"/>
        </w:rPr>
        <w:t xml:space="preserve">O uso de um LLM para ler e classificar decisões administrativas levanta riscos que precisam ser tratados de forma explícita no desenho da solução:</w:t>
      </w:r>
    </w:p>
    <w:p>
      <w:pPr>
        <w:pStyle w:val="ListParagraph"/>
        <w:numPr>
          <w:ilvl w:val="0"/>
          <w:numId w:val="1"/>
        </w:numPr>
        <w:spacing w:after="100" w:line="300"/>
      </w:pPr>
      <w:r>
        <w:rPr>
          <w:rFonts w:ascii="Times New Roman" w:cs="Times New Roman" w:eastAsia="Times New Roman" w:hAnsi="Times New Roman"/>
          <w:sz w:val="24"/>
          <w:szCs w:val="24"/>
        </w:rPr>
        <w:t xml:space="preserve">Alucinação em citações jurídicas: um LLM pode indicar um artigo da LGPD incorreto ou inexistente como fundamento de uma sanção. Por isso, nenhuma classificação gerada pelo modelo será tratada como definitiva sem conferência humana contra o texto original do relatório.</w:t>
      </w:r>
    </w:p>
    <w:p>
      <w:pPr>
        <w:pStyle w:val="ListParagraph"/>
        <w:numPr>
          <w:ilvl w:val="0"/>
          <w:numId w:val="1"/>
        </w:numPr>
        <w:spacing w:after="100" w:line="300"/>
      </w:pPr>
      <w:r>
        <w:rPr>
          <w:rFonts w:ascii="Times New Roman" w:cs="Times New Roman" w:eastAsia="Times New Roman" w:hAnsi="Times New Roman"/>
          <w:sz w:val="24"/>
          <w:szCs w:val="24"/>
        </w:rPr>
        <w:t xml:space="preserve">Transparência e explicabilidade: o pipeline deve registrar, para cada campo extraído, o trecho do documento original que fundamentou a extração, permitindo auditoria.</w:t>
      </w:r>
    </w:p>
    <w:p>
      <w:pPr>
        <w:pStyle w:val="ListParagraph"/>
        <w:numPr>
          <w:ilvl w:val="0"/>
          <w:numId w:val="1"/>
        </w:numPr>
        <w:spacing w:after="100" w:line="300"/>
      </w:pPr>
      <w:r>
        <w:rPr>
          <w:rFonts w:ascii="Times New Roman" w:cs="Times New Roman" w:eastAsia="Times New Roman" w:hAnsi="Times New Roman"/>
          <w:sz w:val="24"/>
          <w:szCs w:val="24"/>
        </w:rPr>
        <w:t xml:space="preserve">Uso de dados já públicos: os relatórios utilizados tratam de pessoas jurídicas e órgãos públicos no exercício de suas funções; ainda assim, nomes de pessoas físicas eventualmente citados nos relatórios (ex.: encarregados de dados) não serão incluídos no dataset estruturado, por não serem necessários aos objetivos do projeto.</w:t>
      </w:r>
    </w:p>
    <w:p>
      <w:pPr>
        <w:pStyle w:val="ListParagraph"/>
        <w:numPr>
          <w:ilvl w:val="0"/>
          <w:numId w:val="1"/>
        </w:numPr>
        <w:spacing w:after="100" w:line="300"/>
      </w:pPr>
      <w:r>
        <w:rPr>
          <w:rFonts w:ascii="Times New Roman" w:cs="Times New Roman" w:eastAsia="Times New Roman" w:hAnsi="Times New Roman"/>
          <w:sz w:val="24"/>
          <w:szCs w:val="24"/>
        </w:rPr>
        <w:t xml:space="preserve">Responsabilidade pelo uso da ferramenta: a ferramenta é um instrumento de apoio à pesquisa e não substitui análise jurídica profissional; conclusões sobre responsabilidade civil de agentes de tratamento não devem ser extraídas apenas do dataset automatizado.</w:t>
      </w:r>
    </w:p>
    <w:p>
      <w:pPr>
        <w:pStyle w:val="ListParagraph"/>
        <w:numPr>
          <w:ilvl w:val="0"/>
          <w:numId w:val="1"/>
        </w:numPr>
        <w:spacing w:after="100" w:line="300"/>
      </w:pPr>
      <w:r>
        <w:rPr>
          <w:rFonts w:ascii="Times New Roman" w:cs="Times New Roman" w:eastAsia="Times New Roman" w:hAnsi="Times New Roman"/>
          <w:sz w:val="24"/>
          <w:szCs w:val="24"/>
        </w:rPr>
        <w:t xml:space="preserve">Viés de classificação: como a maioria dos processos concluídos até o momento envolve o setor público, o modelo pode aprender padrões que não se generalizam bem para o setor privado; isso será discutido nos resultados.</w:t>
      </w:r>
    </w:p>
    <w:p>
      <w:pPr>
        <w:pStyle w:val="Heading1"/>
        <w:spacing w:after="150" w:before="300"/>
      </w:pPr>
      <w:r>
        <w:rPr>
          <w:rFonts w:ascii="Times New Roman" w:cs="Times New Roman" w:eastAsia="Times New Roman" w:hAnsi="Times New Roman"/>
          <w:b/>
          <w:bCs/>
          <w:sz w:val="26"/>
          <w:szCs w:val="26"/>
        </w:rPr>
        <w:t xml:space="preserve">6. Dataset, Análise Exploratória e Preparação dos Dados</w:t>
      </w:r>
    </w:p>
    <w:p>
      <w:pPr>
        <w:spacing w:after="200" w:line="360"/>
        <w:jc w:val="both"/>
      </w:pPr>
      <w:r>
        <w:rPr>
          <w:rFonts w:ascii="Times New Roman" w:cs="Times New Roman" w:eastAsia="Times New Roman" w:hAnsi="Times New Roman"/>
          <w:sz w:val="24"/>
          <w:szCs w:val="24"/>
        </w:rPr>
        <w:t xml:space="preserve">O dataset original foi construído a partir da página oficial "Decisões em Processos Sancionadores" da ANPD (gov.br/anpd), que lista os relatórios de instrução e despachos decisórios de processos já concluídos ou em andamento. Na etapa N1, foram coletados manualmente os metadados de 10 processos (entidade, setor, número do processo, ano de instrução, status e, quando disponível nas fontes já consultadas, o artigo da LGPD referido e o tipo de sanção). A tabela a seguir resume o dataset inicial: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200"/>
            <w:shd w:fill="D9E2F3" w:color="auto" w:val="clear"/>
          </w:tcPr>
          <w:p>
            <w:r>
              <w:rPr>
                <w:rFonts w:ascii="Times New Roman" w:cs="Times New Roman" w:eastAsia="Times New Roman" w:hAnsi="Times New Roman"/>
                <w:b/>
                <w:bCs/>
                <w:sz w:val="20"/>
                <w:szCs w:val="20"/>
              </w:rPr>
              <w:t xml:space="preserve">Entidade</w:t>
            </w:r>
          </w:p>
        </w:tc>
        <w:tc>
          <w:tcPr>
            <w:tcW w:type="dxa" w:w="1400"/>
            <w:shd w:fill="D9E2F3" w:color="auto" w:val="clear"/>
          </w:tcPr>
          <w:p>
            <w:r>
              <w:rPr>
                <w:rFonts w:ascii="Times New Roman" w:cs="Times New Roman" w:eastAsia="Times New Roman" w:hAnsi="Times New Roman"/>
                <w:b/>
                <w:bCs/>
                <w:sz w:val="20"/>
                <w:szCs w:val="20"/>
              </w:rPr>
              <w:t xml:space="preserve">Setor</w:t>
            </w:r>
          </w:p>
        </w:tc>
        <w:tc>
          <w:tcPr>
            <w:tcW w:type="dxa" w:w="1000"/>
            <w:shd w:fill="D9E2F3" w:color="auto" w:val="clear"/>
          </w:tcPr>
          <w:p>
            <w:r>
              <w:rPr>
                <w:rFonts w:ascii="Times New Roman" w:cs="Times New Roman" w:eastAsia="Times New Roman" w:hAnsi="Times New Roman"/>
                <w:b/>
                <w:bCs/>
                <w:sz w:val="20"/>
                <w:szCs w:val="20"/>
              </w:rPr>
              <w:t xml:space="preserve">Ano</w:t>
            </w:r>
          </w:p>
        </w:tc>
        <w:tc>
          <w:tcPr>
            <w:tcW w:type="dxa" w:w="2200"/>
            <w:shd w:fill="D9E2F3" w:color="auto" w:val="clear"/>
          </w:tcPr>
          <w:p>
            <w:r>
              <w:rPr>
                <w:rFonts w:ascii="Times New Roman" w:cs="Times New Roman" w:eastAsia="Times New Roman" w:hAnsi="Times New Roman"/>
                <w:b/>
                <w:bCs/>
                <w:sz w:val="20"/>
                <w:szCs w:val="20"/>
              </w:rPr>
              <w:t xml:space="preserve">Status</w:t>
            </w:r>
          </w:p>
        </w:tc>
        <w:tc>
          <w:tcPr>
            <w:tcW w:type="dxa" w:w="1700"/>
            <w:shd w:fill="D9E2F3" w:color="auto" w:val="clear"/>
          </w:tcPr>
          <w:p>
            <w:r>
              <w:rPr>
                <w:rFonts w:ascii="Times New Roman" w:cs="Times New Roman" w:eastAsia="Times New Roman" w:hAnsi="Times New Roman"/>
                <w:b/>
                <w:bCs/>
                <w:sz w:val="20"/>
                <w:szCs w:val="20"/>
              </w:rPr>
              <w:t xml:space="preserve">Art. LGPD citado</w:t>
            </w:r>
          </w:p>
        </w:tc>
      </w:tr>
      <w:tr>
        <w:tc>
          <w:tcPr>
            <w:tcW w:type="dxa" w:w="3200"/>
          </w:tcPr>
          <w:p>
            <w:r>
              <w:rPr>
                <w:rFonts w:ascii="Times New Roman" w:cs="Times New Roman" w:eastAsia="Times New Roman" w:hAnsi="Times New Roman"/>
                <w:b w:val="false"/>
                <w:bCs w:val="false"/>
                <w:sz w:val="20"/>
                <w:szCs w:val="20"/>
              </w:rPr>
              <w:t xml:space="preserve">Ministério da Saúde</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2024</w:t>
            </w:r>
          </w:p>
        </w:tc>
        <w:tc>
          <w:tcPr>
            <w:tcW w:type="dxa" w:w="2200"/>
          </w:tcPr>
          <w:p>
            <w:r>
              <w:rPr>
                <w:rFonts w:ascii="Times New Roman" w:cs="Times New Roman" w:eastAsia="Times New Roman" w:hAnsi="Times New Roman"/>
                <w:b w:val="false"/>
                <w:bCs w:val="false"/>
                <w:sz w:val="20"/>
                <w:szCs w:val="20"/>
              </w:rPr>
              <w:t xml:space="preserve">Encerrado</w:t>
            </w:r>
          </w:p>
        </w:tc>
        <w:tc>
          <w:tcPr>
            <w:tcW w:type="dxa" w:w="1700"/>
          </w:tcPr>
          <w:p>
            <w:r>
              <w:rPr>
                <w:rFonts w:ascii="Times New Roman" w:cs="Times New Roman" w:eastAsia="Times New Roman" w:hAnsi="Times New Roman"/>
                <w:b w:val="false"/>
                <w:bCs w:val="false"/>
                <w:sz w:val="20"/>
                <w:szCs w:val="20"/>
              </w:rPr>
              <w:t xml:space="preserve">Art. 41 e Art. 48</w:t>
            </w:r>
          </w:p>
        </w:tc>
      </w:tr>
      <w:tr>
        <w:tc>
          <w:tcPr>
            <w:tcW w:type="dxa" w:w="3200"/>
          </w:tcPr>
          <w:p>
            <w:r>
              <w:rPr>
                <w:rFonts w:ascii="Times New Roman" w:cs="Times New Roman" w:eastAsia="Times New Roman" w:hAnsi="Times New Roman"/>
                <w:b w:val="false"/>
                <w:bCs w:val="false"/>
                <w:sz w:val="20"/>
                <w:szCs w:val="20"/>
              </w:rPr>
              <w:t xml:space="preserve">Ministério da Saúde</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2024</w:t>
            </w:r>
          </w:p>
        </w:tc>
        <w:tc>
          <w:tcPr>
            <w:tcW w:type="dxa" w:w="2200"/>
          </w:tcPr>
          <w:p>
            <w:r>
              <w:rPr>
                <w:rFonts w:ascii="Times New Roman" w:cs="Times New Roman" w:eastAsia="Times New Roman" w:hAnsi="Times New Roman"/>
                <w:b w:val="false"/>
                <w:bCs w:val="false"/>
                <w:sz w:val="20"/>
                <w:szCs w:val="20"/>
              </w:rPr>
              <w:t xml:space="preserve">Recurso em análise</w:t>
            </w:r>
          </w:p>
        </w:tc>
        <w:tc>
          <w:tcPr>
            <w:tcW w:type="dxa" w:w="1700"/>
          </w:tcPr>
          <w:p>
            <w:r>
              <w:rPr>
                <w:rFonts w:ascii="Times New Roman" w:cs="Times New Roman" w:eastAsia="Times New Roman" w:hAnsi="Times New Roman"/>
                <w:b w:val="false"/>
                <w:bCs w:val="false"/>
                <w:sz w:val="20"/>
                <w:szCs w:val="20"/>
              </w:rPr>
              <w:t xml:space="preserve">A verificar</w:t>
            </w:r>
          </w:p>
        </w:tc>
      </w:tr>
      <w:tr>
        <w:tc>
          <w:tcPr>
            <w:tcW w:type="dxa" w:w="3200"/>
          </w:tcPr>
          <w:p>
            <w:r>
              <w:rPr>
                <w:rFonts w:ascii="Times New Roman" w:cs="Times New Roman" w:eastAsia="Times New Roman" w:hAnsi="Times New Roman"/>
                <w:b w:val="false"/>
                <w:bCs w:val="false"/>
                <w:sz w:val="20"/>
                <w:szCs w:val="20"/>
              </w:rPr>
              <w:t xml:space="preserve">Secretaria de Assist. Social - PE</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2024</w:t>
            </w:r>
          </w:p>
        </w:tc>
        <w:tc>
          <w:tcPr>
            <w:tcW w:type="dxa" w:w="2200"/>
          </w:tcPr>
          <w:p>
            <w:r>
              <w:rPr>
                <w:rFonts w:ascii="Times New Roman" w:cs="Times New Roman" w:eastAsia="Times New Roman" w:hAnsi="Times New Roman"/>
                <w:b w:val="false"/>
                <w:bCs w:val="false"/>
                <w:sz w:val="20"/>
                <w:szCs w:val="20"/>
              </w:rPr>
              <w:t xml:space="preserve">Encerrado</w:t>
            </w:r>
          </w:p>
        </w:tc>
        <w:tc>
          <w:tcPr>
            <w:tcW w:type="dxa" w:w="1700"/>
          </w:tcPr>
          <w:p>
            <w:r>
              <w:rPr>
                <w:rFonts w:ascii="Times New Roman" w:cs="Times New Roman" w:eastAsia="Times New Roman" w:hAnsi="Times New Roman"/>
                <w:b w:val="false"/>
                <w:bCs w:val="false"/>
                <w:sz w:val="20"/>
                <w:szCs w:val="20"/>
              </w:rPr>
              <w:t xml:space="preserve">A verificar</w:t>
            </w:r>
          </w:p>
        </w:tc>
      </w:tr>
      <w:tr>
        <w:tc>
          <w:tcPr>
            <w:tcW w:type="dxa" w:w="3200"/>
          </w:tcPr>
          <w:p>
            <w:r>
              <w:rPr>
                <w:rFonts w:ascii="Times New Roman" w:cs="Times New Roman" w:eastAsia="Times New Roman" w:hAnsi="Times New Roman"/>
                <w:b w:val="false"/>
                <w:bCs w:val="false"/>
                <w:sz w:val="20"/>
                <w:szCs w:val="20"/>
              </w:rPr>
              <w:t xml:space="preserve">Secretaria de Educação - DF (SEEDF)</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2024</w:t>
            </w:r>
          </w:p>
        </w:tc>
        <w:tc>
          <w:tcPr>
            <w:tcW w:type="dxa" w:w="2200"/>
          </w:tcPr>
          <w:p>
            <w:r>
              <w:rPr>
                <w:rFonts w:ascii="Times New Roman" w:cs="Times New Roman" w:eastAsia="Times New Roman" w:hAnsi="Times New Roman"/>
                <w:b w:val="false"/>
                <w:bCs w:val="false"/>
                <w:sz w:val="20"/>
                <w:szCs w:val="20"/>
              </w:rPr>
              <w:t xml:space="preserve">Encerrado</w:t>
            </w:r>
          </w:p>
        </w:tc>
        <w:tc>
          <w:tcPr>
            <w:tcW w:type="dxa" w:w="1700"/>
          </w:tcPr>
          <w:p>
            <w:r>
              <w:rPr>
                <w:rFonts w:ascii="Times New Roman" w:cs="Times New Roman" w:eastAsia="Times New Roman" w:hAnsi="Times New Roman"/>
                <w:b w:val="false"/>
                <w:bCs w:val="false"/>
                <w:sz w:val="20"/>
                <w:szCs w:val="20"/>
              </w:rPr>
              <w:t xml:space="preserve">A verificar</w:t>
            </w:r>
          </w:p>
        </w:tc>
      </w:tr>
      <w:tr>
        <w:tc>
          <w:tcPr>
            <w:tcW w:type="dxa" w:w="3200"/>
          </w:tcPr>
          <w:p>
            <w:r>
              <w:rPr>
                <w:rFonts w:ascii="Times New Roman" w:cs="Times New Roman" w:eastAsia="Times New Roman" w:hAnsi="Times New Roman"/>
                <w:b w:val="false"/>
                <w:bCs w:val="false"/>
                <w:sz w:val="20"/>
                <w:szCs w:val="20"/>
              </w:rPr>
              <w:t xml:space="preserve">INSS</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2024</w:t>
            </w:r>
          </w:p>
        </w:tc>
        <w:tc>
          <w:tcPr>
            <w:tcW w:type="dxa" w:w="2200"/>
          </w:tcPr>
          <w:p>
            <w:r>
              <w:rPr>
                <w:rFonts w:ascii="Times New Roman" w:cs="Times New Roman" w:eastAsia="Times New Roman" w:hAnsi="Times New Roman"/>
                <w:b w:val="false"/>
                <w:bCs w:val="false"/>
                <w:sz w:val="20"/>
                <w:szCs w:val="20"/>
              </w:rPr>
              <w:t xml:space="preserve">Encerrado</w:t>
            </w:r>
          </w:p>
        </w:tc>
        <w:tc>
          <w:tcPr>
            <w:tcW w:type="dxa" w:w="1700"/>
          </w:tcPr>
          <w:p>
            <w:r>
              <w:rPr>
                <w:rFonts w:ascii="Times New Roman" w:cs="Times New Roman" w:eastAsia="Times New Roman" w:hAnsi="Times New Roman"/>
                <w:b w:val="false"/>
                <w:bCs w:val="false"/>
                <w:sz w:val="20"/>
                <w:szCs w:val="20"/>
              </w:rPr>
              <w:t xml:space="preserve">A verificar</w:t>
            </w:r>
          </w:p>
        </w:tc>
      </w:tr>
      <w:tr>
        <w:tc>
          <w:tcPr>
            <w:tcW w:type="dxa" w:w="3200"/>
          </w:tcPr>
          <w:p>
            <w:r>
              <w:rPr>
                <w:rFonts w:ascii="Times New Roman" w:cs="Times New Roman" w:eastAsia="Times New Roman" w:hAnsi="Times New Roman"/>
                <w:b w:val="false"/>
                <w:bCs w:val="false"/>
                <w:sz w:val="20"/>
                <w:szCs w:val="20"/>
              </w:rPr>
              <w:t xml:space="preserve">Sec. Saúde de Santa Catarina</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2023</w:t>
            </w:r>
          </w:p>
        </w:tc>
        <w:tc>
          <w:tcPr>
            <w:tcW w:type="dxa" w:w="2200"/>
          </w:tcPr>
          <w:p>
            <w:r>
              <w:rPr>
                <w:rFonts w:ascii="Times New Roman" w:cs="Times New Roman" w:eastAsia="Times New Roman" w:hAnsi="Times New Roman"/>
                <w:b w:val="false"/>
                <w:bCs w:val="false"/>
                <w:sz w:val="20"/>
                <w:szCs w:val="20"/>
              </w:rPr>
              <w:t xml:space="preserve">Encerrado</w:t>
            </w:r>
          </w:p>
        </w:tc>
        <w:tc>
          <w:tcPr>
            <w:tcW w:type="dxa" w:w="1700"/>
          </w:tcPr>
          <w:p>
            <w:r>
              <w:rPr>
                <w:rFonts w:ascii="Times New Roman" w:cs="Times New Roman" w:eastAsia="Times New Roman" w:hAnsi="Times New Roman"/>
                <w:b w:val="false"/>
                <w:bCs w:val="false"/>
                <w:sz w:val="20"/>
                <w:szCs w:val="20"/>
              </w:rPr>
              <w:t xml:space="preserve">A verificar</w:t>
            </w:r>
          </w:p>
        </w:tc>
      </w:tr>
      <w:tr>
        <w:tc>
          <w:tcPr>
            <w:tcW w:type="dxa" w:w="3200"/>
          </w:tcPr>
          <w:p>
            <w:r>
              <w:rPr>
                <w:rFonts w:ascii="Times New Roman" w:cs="Times New Roman" w:eastAsia="Times New Roman" w:hAnsi="Times New Roman"/>
                <w:b w:val="false"/>
                <w:bCs w:val="false"/>
                <w:sz w:val="20"/>
                <w:szCs w:val="20"/>
              </w:rPr>
              <w:t xml:space="preserve">Jardim Botânico do RJ (JBRJ)</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2023</w:t>
            </w:r>
          </w:p>
        </w:tc>
        <w:tc>
          <w:tcPr>
            <w:tcW w:type="dxa" w:w="2200"/>
          </w:tcPr>
          <w:p>
            <w:r>
              <w:rPr>
                <w:rFonts w:ascii="Times New Roman" w:cs="Times New Roman" w:eastAsia="Times New Roman" w:hAnsi="Times New Roman"/>
                <w:b w:val="false"/>
                <w:bCs w:val="false"/>
                <w:sz w:val="20"/>
                <w:szCs w:val="20"/>
              </w:rPr>
              <w:t xml:space="preserve">Encerrado</w:t>
            </w:r>
          </w:p>
        </w:tc>
        <w:tc>
          <w:tcPr>
            <w:tcW w:type="dxa" w:w="1700"/>
          </w:tcPr>
          <w:p>
            <w:r>
              <w:rPr>
                <w:rFonts w:ascii="Times New Roman" w:cs="Times New Roman" w:eastAsia="Times New Roman" w:hAnsi="Times New Roman"/>
                <w:b w:val="false"/>
                <w:bCs w:val="false"/>
                <w:sz w:val="20"/>
                <w:szCs w:val="20"/>
              </w:rPr>
              <w:t xml:space="preserve">A verificar</w:t>
            </w:r>
          </w:p>
        </w:tc>
      </w:tr>
      <w:tr>
        <w:tc>
          <w:tcPr>
            <w:tcW w:type="dxa" w:w="3200"/>
          </w:tcPr>
          <w:p>
            <w:r>
              <w:rPr>
                <w:rFonts w:ascii="Times New Roman" w:cs="Times New Roman" w:eastAsia="Times New Roman" w:hAnsi="Times New Roman"/>
                <w:b w:val="false"/>
                <w:bCs w:val="false"/>
                <w:sz w:val="20"/>
                <w:szCs w:val="20"/>
              </w:rPr>
              <w:t xml:space="preserve">IAMSPE - SP</w:t>
            </w:r>
          </w:p>
        </w:tc>
        <w:tc>
          <w:tcPr>
            <w:tcW w:type="dxa" w:w="1400"/>
          </w:tcPr>
          <w:p>
            <w:r>
              <w:rPr>
                <w:rFonts w:ascii="Times New Roman" w:cs="Times New Roman" w:eastAsia="Times New Roman" w:hAnsi="Times New Roman"/>
                <w:b w:val="false"/>
                <w:bCs w:val="false"/>
                <w:sz w:val="20"/>
                <w:szCs w:val="20"/>
              </w:rPr>
              <w:t xml:space="preserve">Público</w:t>
            </w:r>
          </w:p>
        </w:tc>
        <w:tc>
          <w:tcPr>
            <w:tcW w:type="dxa" w:w="1000"/>
          </w:tcPr>
          <w:p>
            <w:r>
              <w:rPr>
                <w:rFonts w:ascii="Times New Roman" w:cs="Times New Roman" w:eastAsia="Times New Roman" w:hAnsi="Times New Roman"/>
                <w:b w:val="false"/>
                <w:bCs w:val="false"/>
                <w:sz w:val="20"/>
                <w:szCs w:val="20"/>
              </w:rPr>
              <w:t xml:space="preserve">2023</w:t>
            </w:r>
          </w:p>
        </w:tc>
        <w:tc>
          <w:tcPr>
            <w:tcW w:type="dxa" w:w="2200"/>
          </w:tcPr>
          <w:p>
            <w:r>
              <w:rPr>
                <w:rFonts w:ascii="Times New Roman" w:cs="Times New Roman" w:eastAsia="Times New Roman" w:hAnsi="Times New Roman"/>
                <w:b w:val="false"/>
                <w:bCs w:val="false"/>
                <w:sz w:val="20"/>
                <w:szCs w:val="20"/>
              </w:rPr>
              <w:t xml:space="preserve">Encerrado</w:t>
            </w:r>
          </w:p>
        </w:tc>
        <w:tc>
          <w:tcPr>
            <w:tcW w:type="dxa" w:w="1700"/>
          </w:tcPr>
          <w:p>
            <w:r>
              <w:rPr>
                <w:rFonts w:ascii="Times New Roman" w:cs="Times New Roman" w:eastAsia="Times New Roman" w:hAnsi="Times New Roman"/>
                <w:b w:val="false"/>
                <w:bCs w:val="false"/>
                <w:sz w:val="20"/>
                <w:szCs w:val="20"/>
              </w:rPr>
              <w:t xml:space="preserve">A verificar</w:t>
            </w:r>
          </w:p>
        </w:tc>
      </w:tr>
      <w:tr>
        <w:tc>
          <w:tcPr>
            <w:tcW w:type="dxa" w:w="3200"/>
          </w:tcPr>
          <w:p>
            <w:r>
              <w:rPr>
                <w:rFonts w:ascii="Times New Roman" w:cs="Times New Roman" w:eastAsia="Times New Roman" w:hAnsi="Times New Roman"/>
                <w:b w:val="false"/>
                <w:bCs w:val="false"/>
                <w:sz w:val="20"/>
                <w:szCs w:val="20"/>
              </w:rPr>
              <w:t xml:space="preserve">Telekall Inforservice</w:t>
            </w:r>
          </w:p>
        </w:tc>
        <w:tc>
          <w:tcPr>
            <w:tcW w:type="dxa" w:w="1400"/>
          </w:tcPr>
          <w:p>
            <w:r>
              <w:rPr>
                <w:rFonts w:ascii="Times New Roman" w:cs="Times New Roman" w:eastAsia="Times New Roman" w:hAnsi="Times New Roman"/>
                <w:b w:val="false"/>
                <w:bCs w:val="false"/>
                <w:sz w:val="20"/>
                <w:szCs w:val="20"/>
              </w:rPr>
              <w:t xml:space="preserve">Privado</w:t>
            </w:r>
          </w:p>
        </w:tc>
        <w:tc>
          <w:tcPr>
            <w:tcW w:type="dxa" w:w="1000"/>
          </w:tcPr>
          <w:p>
            <w:r>
              <w:rPr>
                <w:rFonts w:ascii="Times New Roman" w:cs="Times New Roman" w:eastAsia="Times New Roman" w:hAnsi="Times New Roman"/>
                <w:b w:val="false"/>
                <w:bCs w:val="false"/>
                <w:sz w:val="20"/>
                <w:szCs w:val="20"/>
              </w:rPr>
              <w:t xml:space="preserve">2023</w:t>
            </w:r>
          </w:p>
        </w:tc>
        <w:tc>
          <w:tcPr>
            <w:tcW w:type="dxa" w:w="2200"/>
          </w:tcPr>
          <w:p>
            <w:r>
              <w:rPr>
                <w:rFonts w:ascii="Times New Roman" w:cs="Times New Roman" w:eastAsia="Times New Roman" w:hAnsi="Times New Roman"/>
                <w:b w:val="false"/>
                <w:bCs w:val="false"/>
                <w:sz w:val="20"/>
                <w:szCs w:val="20"/>
              </w:rPr>
              <w:t xml:space="preserve">Encerrado (multa)</w:t>
            </w:r>
          </w:p>
        </w:tc>
        <w:tc>
          <w:tcPr>
            <w:tcW w:type="dxa" w:w="1700"/>
          </w:tcPr>
          <w:p>
            <w:r>
              <w:rPr>
                <w:rFonts w:ascii="Times New Roman" w:cs="Times New Roman" w:eastAsia="Times New Roman" w:hAnsi="Times New Roman"/>
                <w:b w:val="false"/>
                <w:bCs w:val="false"/>
                <w:sz w:val="20"/>
                <w:szCs w:val="20"/>
              </w:rPr>
              <w:t xml:space="preserve">Art. 7 (provável)</w:t>
            </w:r>
          </w:p>
        </w:tc>
      </w:tr>
      <w:tr>
        <w:tc>
          <w:tcPr>
            <w:tcW w:type="dxa" w:w="3200"/>
          </w:tcPr>
          <w:p>
            <w:r>
              <w:rPr>
                <w:rFonts w:ascii="Times New Roman" w:cs="Times New Roman" w:eastAsia="Times New Roman" w:hAnsi="Times New Roman"/>
                <w:b w:val="false"/>
                <w:bCs w:val="false"/>
                <w:sz w:val="20"/>
                <w:szCs w:val="20"/>
              </w:rPr>
              <w:t xml:space="preserve">Bytedance Brasil Tecnologia</w:t>
            </w:r>
          </w:p>
        </w:tc>
        <w:tc>
          <w:tcPr>
            <w:tcW w:type="dxa" w:w="1400"/>
          </w:tcPr>
          <w:p>
            <w:r>
              <w:rPr>
                <w:rFonts w:ascii="Times New Roman" w:cs="Times New Roman" w:eastAsia="Times New Roman" w:hAnsi="Times New Roman"/>
                <w:b w:val="false"/>
                <w:bCs w:val="false"/>
                <w:sz w:val="20"/>
                <w:szCs w:val="20"/>
              </w:rPr>
              <w:t xml:space="preserve">Privado</w:t>
            </w:r>
          </w:p>
        </w:tc>
        <w:tc>
          <w:tcPr>
            <w:tcW w:type="dxa" w:w="1000"/>
          </w:tcPr>
          <w:p>
            <w:r>
              <w:rPr>
                <w:rFonts w:ascii="Times New Roman" w:cs="Times New Roman" w:eastAsia="Times New Roman" w:hAnsi="Times New Roman"/>
                <w:b w:val="false"/>
                <w:bCs w:val="false"/>
                <w:sz w:val="20"/>
                <w:szCs w:val="20"/>
              </w:rPr>
              <w:t xml:space="preserve">2026</w:t>
            </w:r>
          </w:p>
        </w:tc>
        <w:tc>
          <w:tcPr>
            <w:tcW w:type="dxa" w:w="2200"/>
          </w:tcPr>
          <w:p>
            <w:r>
              <w:rPr>
                <w:rFonts w:ascii="Times New Roman" w:cs="Times New Roman" w:eastAsia="Times New Roman" w:hAnsi="Times New Roman"/>
                <w:b w:val="false"/>
                <w:bCs w:val="false"/>
                <w:sz w:val="20"/>
                <w:szCs w:val="20"/>
              </w:rPr>
              <w:t xml:space="preserve">Em andamento</w:t>
            </w:r>
          </w:p>
        </w:tc>
        <w:tc>
          <w:tcPr>
            <w:tcW w:type="dxa" w:w="1700"/>
          </w:tcPr>
          <w:p>
            <w:r>
              <w:rPr>
                <w:rFonts w:ascii="Times New Roman" w:cs="Times New Roman" w:eastAsia="Times New Roman" w:hAnsi="Times New Roman"/>
                <w:b w:val="false"/>
                <w:bCs w:val="false"/>
                <w:sz w:val="20"/>
                <w:szCs w:val="20"/>
              </w:rPr>
              <w:t xml:space="preserve">A verificar</w:t>
            </w:r>
          </w:p>
        </w:tc>
      </w:tr>
    </w:tbl>
    <w:p>
      <w:pPr>
        <w:spacing w:after="200" w:line="360"/>
        <w:jc w:val="both"/>
      </w:pPr>
      <w:r>
        <w:rPr>
          <w:sz w:val="1"/>
          <w:szCs w:val="1"/>
        </w:rPr>
        <w:t xml:space="preserve"/>
      </w:r>
    </w:p>
    <w:p>
      <w:pPr>
        <w:spacing w:after="200" w:line="360"/>
        <w:jc w:val="both"/>
      </w:pPr>
      <w:r>
        <w:rPr>
          <w:rFonts w:ascii="Times New Roman" w:cs="Times New Roman" w:eastAsia="Times New Roman" w:hAnsi="Times New Roman"/>
          <w:sz w:val="24"/>
          <w:szCs w:val="24"/>
        </w:rPr>
        <w:t xml:space="preserve">Como se observa, para a maioria dos processos o artigo específico da LGPD e a descrição detalhada da conduta ainda constam como "a verificar": esses campos exigem a leitura do inteiro teor de cada relatório de instrução (arquivos PDF individuais), tarefa que será automatizada com apoio do LLM na etapa de metodologia descrita a seguir. Ainda assim, os metadados já coletados permitiram uma primeira análise exploratória em Python (biblioteca pandas), da qual destacam-se os seguintes achados preliminares:</w:t>
      </w:r>
    </w:p>
    <w:p>
      <w:pPr>
        <w:pStyle w:val="ListParagraph"/>
        <w:numPr>
          <w:ilvl w:val="0"/>
          <w:numId w:val="1"/>
        </w:numPr>
        <w:spacing w:after="100" w:line="300"/>
      </w:pPr>
      <w:r>
        <w:rPr>
          <w:rFonts w:ascii="Times New Roman" w:cs="Times New Roman" w:eastAsia="Times New Roman" w:hAnsi="Times New Roman"/>
          <w:sz w:val="24"/>
          <w:szCs w:val="24"/>
        </w:rPr>
        <w:t xml:space="preserve">8 dos 10 processos coletados envolvem agentes de tratamento do setor público, e apenas 2 do setor privado — o que já reflete, na literatura, o histórico de atuação inicial da ANPD concentrado no setor público;</w:t>
      </w:r>
    </w:p>
    <w:p>
      <w:pPr>
        <w:pStyle w:val="ListParagraph"/>
        <w:numPr>
          <w:ilvl w:val="0"/>
          <w:numId w:val="1"/>
        </w:numPr>
        <w:spacing w:after="100" w:line="300"/>
      </w:pPr>
      <w:r>
        <w:rPr>
          <w:rFonts w:ascii="Times New Roman" w:cs="Times New Roman" w:eastAsia="Times New Roman" w:hAnsi="Times New Roman"/>
          <w:sz w:val="24"/>
          <w:szCs w:val="24"/>
        </w:rPr>
        <w:t xml:space="preserve">apenas 1 processo, entre os concluídos, resultou em multa pecuniária (Telekall Inforservice, R$ 14.400,00), reforçando achados de estudos anteriores de que sanções contra o setor público tendem a se limitar a advertência e publicização, já que órgãos públicos não recebem multa em dinheiro (art. 52, §3º, da LGPD);</w:t>
      </w:r>
    </w:p>
    <w:p>
      <w:pPr>
        <w:pStyle w:val="ListParagraph"/>
        <w:numPr>
          <w:ilvl w:val="0"/>
          <w:numId w:val="1"/>
        </w:numPr>
        <w:spacing w:after="100" w:line="300"/>
      </w:pPr>
      <w:r>
        <w:rPr>
          <w:rFonts w:ascii="Times New Roman" w:cs="Times New Roman" w:eastAsia="Times New Roman" w:hAnsi="Times New Roman"/>
          <w:sz w:val="24"/>
          <w:szCs w:val="24"/>
        </w:rPr>
        <w:t xml:space="preserve">há 1 processo em andamento envolvendo empresa privada de grande porte (Bytedance Brasil Tecnologia), aberto em 2026, já sob a nova estrutura de fiscalização da ANPD como agência reguladora.</w:t>
      </w:r>
    </w:p>
    <w:p>
      <w:pPr>
        <w:spacing w:after="100" w:before="200"/>
        <w:jc w:val="center"/>
      </w:pPr>
      <w:r>
        <w:drawing>
          <wp:inline distT="0" distB="0" distL="0" distR="0">
            <wp:extent cx="3333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1907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1 — Processos sancionadores da ANPD por setor do agente de tratamento (n=10).</w:t>
      </w:r>
    </w:p>
    <w:p>
      <w:pPr>
        <w:spacing w:after="100" w:before="200"/>
        <w:jc w:val="center"/>
      </w:pPr>
      <w:r>
        <w:drawing>
          <wp:inline distT="0" distB="0" distL="0" distR="0">
            <wp:extent cx="33337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19075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Figura 2 — Processos com e sem aplicação de multa pecuniária (n=10).</w:t>
      </w:r>
    </w:p>
    <w:p>
      <w:pPr>
        <w:spacing w:after="200" w:line="360"/>
        <w:jc w:val="both"/>
      </w:pPr>
      <w:r>
        <w:rPr>
          <w:rFonts w:ascii="Times New Roman" w:cs="Times New Roman" w:eastAsia="Times New Roman" w:hAnsi="Times New Roman"/>
          <w:sz w:val="24"/>
          <w:szCs w:val="24"/>
        </w:rPr>
        <w:t xml:space="preserve">A preparação dos dados incluiu a padronização dos nomes de entidades, a criação de uma variável derivada booleana indicando a aplicação (ou não) de multa pecuniária, e o registro explícito, em cada linha, de quais campos ainda dependem de extração do texto integral — decisão de projeto que documenta de forma transparente os limites do dataset nesta fase. O script de preparação e análise (Python/pandas/matplotlib), o dataset bruto e o dataset preparado serão publicados no repositório GitHub do projeto.</w:t>
      </w:r>
    </w:p>
    <w:p>
      <w:pPr>
        <w:pStyle w:val="Heading1"/>
        <w:spacing w:after="150" w:before="300"/>
      </w:pPr>
      <w:r>
        <w:rPr>
          <w:rFonts w:ascii="Times New Roman" w:cs="Times New Roman" w:eastAsia="Times New Roman" w:hAnsi="Times New Roman"/>
          <w:b/>
          <w:bCs/>
          <w:sz w:val="26"/>
          <w:szCs w:val="26"/>
        </w:rPr>
        <w:t xml:space="preserve">7. Metodologia e Resultados Esperados</w:t>
      </w:r>
    </w:p>
    <w:p>
      <w:pPr>
        <w:spacing w:after="200" w:line="360"/>
        <w:jc w:val="both"/>
      </w:pPr>
      <w:r>
        <w:rPr>
          <w:rFonts w:ascii="Times New Roman" w:cs="Times New Roman" w:eastAsia="Times New Roman" w:hAnsi="Times New Roman"/>
          <w:sz w:val="24"/>
          <w:szCs w:val="24"/>
        </w:rPr>
        <w:t xml:space="preserve">A abordagem metodológica está organizada em três fases:</w:t>
      </w:r>
    </w:p>
    <w:p>
      <w:pPr>
        <w:pStyle w:val="ListParagraph"/>
        <w:numPr>
          <w:ilvl w:val="0"/>
          <w:numId w:val="1"/>
        </w:numPr>
        <w:spacing w:after="100" w:line="300"/>
      </w:pPr>
      <w:r>
        <w:rPr>
          <w:rFonts w:ascii="Times New Roman" w:cs="Times New Roman" w:eastAsia="Times New Roman" w:hAnsi="Times New Roman"/>
          <w:sz w:val="24"/>
          <w:szCs w:val="24"/>
        </w:rPr>
        <w:t xml:space="preserve">Fase 1 (concluída nesta entrega): coleta manual de metadados públicos e construção do dataset inicial; análise exploratória e preparação dos dados em Python.</w:t>
      </w:r>
    </w:p>
    <w:p>
      <w:pPr>
        <w:pStyle w:val="ListParagraph"/>
        <w:numPr>
          <w:ilvl w:val="0"/>
          <w:numId w:val="1"/>
        </w:numPr>
        <w:spacing w:after="100" w:line="300"/>
      </w:pPr>
      <w:r>
        <w:rPr>
          <w:rFonts w:ascii="Times New Roman" w:cs="Times New Roman" w:eastAsia="Times New Roman" w:hAnsi="Times New Roman"/>
          <w:sz w:val="24"/>
          <w:szCs w:val="24"/>
        </w:rPr>
        <w:t xml:space="preserve">Fase 2: download do inteiro teor dos relatórios de instrução em PDF disponíveis no site da ANPD e na Pesquisa Pública do SEI; extração de texto (biblioteca de leitura de PDF em Python) e envio de cada relatório, por meio da API de um LLM, com um prompt estruturado solicitando a extração dos campos: artigo(s) da LGPD apontado(s), tipo de conduta, classificação do agente (controlador/operador), tipo de sanção e trecho do documento que fundamenta cada resposta.</w:t>
      </w:r>
    </w:p>
    <w:p>
      <w:pPr>
        <w:pStyle w:val="ListParagraph"/>
        <w:numPr>
          <w:ilvl w:val="0"/>
          <w:numId w:val="1"/>
        </w:numPr>
        <w:spacing w:after="100" w:line="300"/>
      </w:pPr>
      <w:r>
        <w:rPr>
          <w:rFonts w:ascii="Times New Roman" w:cs="Times New Roman" w:eastAsia="Times New Roman" w:hAnsi="Times New Roman"/>
          <w:sz w:val="24"/>
          <w:szCs w:val="24"/>
        </w:rPr>
        <w:t xml:space="preserve">Fase 3: revisão humana amostral das extrações geradas pelo LLM, comparando-as com o texto original, e consolidação do dataset final estruturado, cruzando os achados com o referencial teórico sobre alocação de responsabilidade civil entre desenvolvedores e operadores de sistemas de tratamento de dados.</w:t>
      </w:r>
    </w:p>
    <w:p>
      <w:pPr>
        <w:spacing w:after="200" w:line="360"/>
        <w:jc w:val="both"/>
      </w:pPr>
      <w:r>
        <w:rPr>
          <w:rFonts w:ascii="Times New Roman" w:cs="Times New Roman" w:eastAsia="Times New Roman" w:hAnsi="Times New Roman"/>
          <w:sz w:val="24"/>
          <w:szCs w:val="24"/>
        </w:rPr>
        <w:t xml:space="preserve">Resultados esperados: um dataset público, estruturado e documentado, com todos os processos sancionadores concluídos pela ANPD até a data de corte do projeto; indicadores comparativos entre setor público e privado quanto ao tipo de conduta e sanção aplicada; e uma discussão, à luz da literatura sobre responsabilidade civil na LGPD, sobre em que medida os padrões observados nas decisões já publicadas refletem os critérios de alocação de responsabilidade entre controladores e operadores. Espera-se também documentar, de forma crítica, os casos em que o LLM utilizado apresentar erros de extração (inclusive alucinações), como contribuição metodológica para o uso responsável de IA na análise de documentos jurídicos.</w:t>
      </w:r>
    </w:p>
    <w:p>
      <w:pPr>
        <w:pStyle w:val="Heading1"/>
        <w:spacing w:after="150" w:before="300"/>
      </w:pPr>
      <w:r>
        <w:rPr>
          <w:rFonts w:ascii="Times New Roman" w:cs="Times New Roman" w:eastAsia="Times New Roman" w:hAnsi="Times New Roman"/>
          <w:b/>
          <w:bCs/>
          <w:sz w:val="26"/>
          <w:szCs w:val="26"/>
        </w:rPr>
        <w:t xml:space="preserve">8. Referências</w:t>
      </w:r>
    </w:p>
    <w:p>
      <w:pPr>
        <w:spacing w:after="200" w:line="360"/>
        <w:jc w:val="both"/>
      </w:pPr>
      <w:r>
        <w:rPr>
          <w:rFonts w:ascii="Times New Roman" w:cs="Times New Roman" w:eastAsia="Times New Roman" w:hAnsi="Times New Roman"/>
          <w:sz w:val="24"/>
          <w:szCs w:val="24"/>
        </w:rPr>
        <w:t xml:space="preserve">BRASIL. Lei nº 13.709, de 14 de agosto de 2018. Lei Geral de Proteção de Dados Pessoais (LGPD). Brasília, DF: Presidência da República, 2018.</w:t>
      </w:r>
    </w:p>
    <w:p>
      <w:pPr>
        <w:spacing w:after="200" w:line="360"/>
        <w:jc w:val="both"/>
      </w:pPr>
      <w:r>
        <w:rPr>
          <w:rFonts w:ascii="Times New Roman" w:cs="Times New Roman" w:eastAsia="Times New Roman" w:hAnsi="Times New Roman"/>
          <w:sz w:val="24"/>
          <w:szCs w:val="24"/>
        </w:rPr>
        <w:t xml:space="preserve">BRASIL. Lei nº 15.352, de 25 de fevereiro de 2026. Transforma a Autoridade Nacional de Proteção de Dados em Agência Nacional de Proteção de Dados (ANPD) e dá outras providências. Brasília, DF: Presidência da República, 2026.</w:t>
      </w:r>
    </w:p>
    <w:p>
      <w:pPr>
        <w:spacing w:after="200" w:line="360"/>
        <w:jc w:val="both"/>
      </w:pPr>
      <w:r>
        <w:rPr>
          <w:rFonts w:ascii="Times New Roman" w:cs="Times New Roman" w:eastAsia="Times New Roman" w:hAnsi="Times New Roman"/>
          <w:sz w:val="24"/>
          <w:szCs w:val="24"/>
        </w:rPr>
        <w:t xml:space="preserve">AGÊNCIA NACIONAL DE PROTEÇÃO DE DADOS (ANPD). Decisões em Processos Sancionadores. Brasília: ANPD, 2026. Disponível em: &lt;https://www.gov.br/anpd/pt-br/centrais-de-conteudo/decisoes-em-processos-sancionadores&gt;. Acesso em: 15 de setembro de 2026.</w:t>
      </w:r>
    </w:p>
    <w:p>
      <w:pPr>
        <w:spacing w:after="200" w:line="360"/>
        <w:jc w:val="both"/>
      </w:pPr>
      <w:r>
        <w:rPr>
          <w:rFonts w:ascii="Times New Roman" w:cs="Times New Roman" w:eastAsia="Times New Roman" w:hAnsi="Times New Roman"/>
          <w:sz w:val="24"/>
          <w:szCs w:val="24"/>
        </w:rPr>
        <w:t xml:space="preserve">ASSOCIAÇÃO BRASILEIRA DE NORMAS TÉCNICAS. NBR 6023: informação e documentação: referências: elaboração. Rio de Janeiro: ABNT, 2018.</w:t>
      </w:r>
    </w:p>
    <w:p>
      <w:pPr>
        <w:pStyle w:val="Heading1"/>
        <w:spacing w:after="150" w:before="300"/>
      </w:pPr>
      <w:r>
        <w:rPr>
          <w:rFonts w:ascii="Times New Roman" w:cs="Times New Roman" w:eastAsia="Times New Roman" w:hAnsi="Times New Roman"/>
          <w:b/>
          <w:bCs/>
          <w:sz w:val="26"/>
          <w:szCs w:val="26"/>
        </w:rPr>
        <w:t xml:space="preserve">9. Bibliografia</w:t>
      </w:r>
    </w:p>
    <w:p>
      <w:pPr>
        <w:spacing w:after="200" w:line="360"/>
        <w:jc w:val="both"/>
      </w:pPr>
      <w:r>
        <w:rPr>
          <w:rFonts w:ascii="Times New Roman" w:cs="Times New Roman" w:eastAsia="Times New Roman" w:hAnsi="Times New Roman"/>
          <w:sz w:val="24"/>
          <w:szCs w:val="24"/>
        </w:rPr>
        <w:t xml:space="preserve">RUSSELL, S.; NORVIG, P. Inteligência artificial. Rio de Janeiro: LTC, 2021.</w:t>
      </w:r>
    </w:p>
    <w:p>
      <w:pPr>
        <w:spacing w:after="200" w:line="360"/>
        <w:jc w:val="both"/>
      </w:pPr>
      <w:r>
        <w:rPr>
          <w:rFonts w:ascii="Times New Roman" w:cs="Times New Roman" w:eastAsia="Times New Roman" w:hAnsi="Times New Roman"/>
          <w:sz w:val="24"/>
          <w:szCs w:val="24"/>
        </w:rPr>
        <w:t xml:space="preserve">UNIVERSIDADE PRESBITERIANA MACKENZIE. Guia do TCC: Orientações gerais para a elaboração do trabalho de conclusão dos cursos de graduação. São Paulo: UPM, 2021.</w:t>
      </w:r>
    </w:p>
    <w:p>
      <w:pPr>
        <w:spacing w:after="200" w:line="360"/>
        <w:jc w:val="both"/>
      </w:pPr>
      <w:r>
        <w:rPr>
          <w:rFonts w:ascii="Times New Roman" w:cs="Times New Roman" w:eastAsia="Times New Roman" w:hAnsi="Times New Roman"/>
          <w:i/>
          <w:iCs/>
          <w:sz w:val="22"/>
          <w:szCs w:val="22"/>
        </w:rPr>
        <w:t xml:space="preserve">Observação: as referências completas da literatura jurídica sobre responsabilidade civil de agentes de tratamento e de IA (ex.: Bioni, Mulholland, Frazão, Medon, Lima Júnior, Tepedino), já levantadas no referencial teórico do TCC do autor, serão formatadas conforme ABNT NBR 6023 e incorporadas nesta seção na versão final do relatório — evitando, nesta entrega, citar dados bibliográficos (ano/edição) que não puderam ser conferidos com precisão.</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da5753eaa14125a67e9d20c86de5e8269829ee.png"/><Relationship Id="rId8" Type="http://schemas.openxmlformats.org/officeDocument/2006/relationships/image" Target="media/ad53d7c2634c7295ab2de5093bdb5038d651f1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2026-09-15T22:46:56.824Z</dcterms:created>
  <dcterms:modified xsi:type="dcterms:W3CDTF">2026-09-15T22:46:56.836Z</dcterms:modified>
</cp:coreProperties>
</file>

<file path=docProps/custom.xml><?xml version="1.0" encoding="utf-8"?>
<Properties xmlns="http://schemas.openxmlformats.org/officeDocument/2006/custom-properties" xmlns:vt="http://schemas.openxmlformats.org/officeDocument/2006/docPropsVTypes"/>
</file>