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5C88"/>
          <w:sz w:val="44"/>
          <w:szCs w:val="44"/>
        </w:rPr>
        <w:t xml:space="preserve">Week 3: SQL &amp; Data Querying</w:t>
      </w:r>
    </w:p>
    <w:p>
      <w:pPr>
        <w:spacing w:after="60"/>
      </w:pPr>
      <w:r>
        <w:rPr>
          <w:i/>
          <w:iCs/>
          <w:color w:val="555555"/>
          <w:sz w:val="24"/>
          <w:szCs w:val="24"/>
        </w:rPr>
        <w:t xml:space="preserve">Chinook Music Store Database  &amp;  Sample Sales Dataset</w:t>
      </w:r>
    </w:p>
    <w:p>
      <w:pPr>
        <w:spacing w:after="400"/>
      </w:pPr>
      <w:r>
        <w:rPr>
          <w:color w:val="777777"/>
          <w:sz w:val="20"/>
          <w:szCs w:val="20"/>
        </w:rPr>
        <w:t xml:space="preserve">Prepared by Mckenzee  |  AnalystLabAfrica Internship Program</w:t>
      </w:r>
    </w:p>
    <w:p>
      <w:pPr>
        <w:pStyle w:val="Heading2"/>
        <w:spacing w:after="120" w:before="240"/>
      </w:pPr>
      <w:r>
        <w:t xml:space="preserve">Overview</w:t>
      </w:r>
    </w:p>
    <w:p>
      <w:pPr>
        <w:spacing w:after="120"/>
      </w:pPr>
      <w:r>
        <w:t xml:space="preserve">This report documents the SQL work completed for Week 3, covering database setup, core querying, advanced SQL (joins, subqueries, window functions), and business problem-solving across two datasets: the Chinook music store database and the Kaggle sample sales dataset. All queries were run against the real data, and every result shown below is the actual output — not sample or placeholder figures.</w:t>
      </w:r>
    </w:p>
    <w:p>
      <w:pPr>
        <w:spacing w:after="120"/>
      </w:pPr>
      <w:r>
        <w:t xml:space="preserve">Companion file: Week3_SQL_Querying.sql — the full, commented SQL script (MySQL dialect) covering both datasets end to end.</w:t>
      </w:r>
    </w:p>
    <w:p>
      <w:pPr>
        <w:spacing w:after="200"/>
      </w:pPr>
    </w:p>
    <w:p>
      <w:pPr>
        <w:pStyle w:val="Heading1"/>
        <w:spacing w:after="150" w:before="300"/>
      </w:pPr>
      <w:r>
        <w:t xml:space="preserve">Part A — Chinook Database (Music Store)</w:t>
      </w:r>
    </w:p>
    <w:p>
      <w:pPr>
        <w:pStyle w:val="Heading2"/>
        <w:spacing w:after="120" w:before="240"/>
      </w:pPr>
      <w:r>
        <w:t xml:space="preserve">1. Database Setup</w:t>
      </w:r>
    </w:p>
    <w:p>
      <w:pPr>
        <w:spacing w:after="120"/>
      </w:pPr>
      <w:r>
        <w:t xml:space="preserve">The Chinook dataset (11 tables: Genre, MediaType, Artist, Album, Track, Employee, Customer, Invoice, InvoiceLine, Playlist, PlaylistTrack) was loaded and related through primary/foreign keys — Track links to Album, MediaType, and Genre; Invoice links to Customer; InvoiceLine links Invoice to Track. Row counts: 3,503 tracks, 412 invoices, 2,240 invoice lines, 59 customers, 8 employees.</w:t>
      </w:r>
    </w:p>
    <w:p>
      <w:pPr>
        <w:pStyle w:val="Heading2"/>
        <w:spacing w:after="120" w:before="240"/>
      </w:pPr>
      <w:r>
        <w:t xml:space="preserve">2. Core SQL Queries</w:t>
      </w:r>
    </w:p>
    <w:p>
      <w:pPr>
        <w:pStyle w:val="Heading3"/>
        <w:spacing w:after="90" w:before="180"/>
      </w:pPr>
      <w:r>
        <w:t xml:space="preserve">SELECT / WHERE / ORDER BY — Premium-priced tracks</w:t>
      </w:r>
    </w:p>
    <w:p>
      <w:pPr>
        <w:spacing w:after="120"/>
      </w:pPr>
      <w:r>
        <w:t xml:space="preserve">Query: filters tracks priced above the standard $0.99 and sorts by price. This isolates the small premium tier (mostly TV show bundles) from the 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Track</w:t>
            </w:r>
          </w:p>
        </w:tc>
        <w:tc>
          <w:tcPr>
            <w:shd w:fill="2E5C88" w:val="clear"/>
            <w:tcMar>
              <w:top w:type="dxa" w:w="80"/>
              <w:left w:type="dxa" w:w="100"/>
              <w:bottom w:type="dxa" w:w="80"/>
              <w:right w:type="dxa" w:w="100"/>
            </w:tcMar>
          </w:tcPr>
          <w:p>
            <w:r>
              <w:rPr>
                <w:b/>
                <w:bCs/>
                <w:color w:val="FFFFFF"/>
                <w:sz w:val="19"/>
                <w:szCs w:val="19"/>
              </w:rPr>
              <w:t xml:space="preserve">Unit Price</w:t>
            </w:r>
          </w:p>
        </w:tc>
      </w:tr>
      <w:tr>
        <w:tc>
          <w:tcPr>
            <w:shd w:fill="FFFFFF" w:val="clear"/>
            <w:tcMar>
              <w:top w:type="dxa" w:w="60"/>
              <w:left w:type="dxa" w:w="100"/>
              <w:bottom w:type="dxa" w:w="60"/>
              <w:right w:type="dxa" w:w="100"/>
            </w:tcMar>
          </w:tcPr>
          <w:p>
            <w:r>
              <w:rPr>
                <w:sz w:val="19"/>
                <w:szCs w:val="19"/>
              </w:rPr>
              <w:t xml:space="preserve">Battlestar Galactica: The Story So Far</w:t>
            </w:r>
          </w:p>
        </w:tc>
        <w:tc>
          <w:tcPr>
            <w:shd w:fill="FFFFFF" w:val="clear"/>
            <w:tcMar>
              <w:top w:type="dxa" w:w="60"/>
              <w:left w:type="dxa" w:w="100"/>
              <w:bottom w:type="dxa" w:w="60"/>
              <w:right w:type="dxa" w:w="100"/>
            </w:tcMar>
          </w:tcPr>
          <w:p>
            <w:r>
              <w:rPr>
                <w:sz w:val="19"/>
                <w:szCs w:val="19"/>
              </w:rPr>
              <w:t xml:space="preserve">$1.99</w:t>
            </w:r>
          </w:p>
        </w:tc>
      </w:tr>
      <w:tr>
        <w:tc>
          <w:tcPr>
            <w:shd w:fill="F5F8FB" w:val="clear"/>
            <w:tcMar>
              <w:top w:type="dxa" w:w="60"/>
              <w:left w:type="dxa" w:w="100"/>
              <w:bottom w:type="dxa" w:w="60"/>
              <w:right w:type="dxa" w:w="100"/>
            </w:tcMar>
          </w:tcPr>
          <w:p>
            <w:r>
              <w:rPr>
                <w:sz w:val="19"/>
                <w:szCs w:val="19"/>
              </w:rPr>
              <w:t xml:space="preserve">Occupation / Precipice</w:t>
            </w:r>
          </w:p>
        </w:tc>
        <w:tc>
          <w:tcPr>
            <w:shd w:fill="F5F8FB" w:val="clear"/>
            <w:tcMar>
              <w:top w:type="dxa" w:w="60"/>
              <w:left w:type="dxa" w:w="100"/>
              <w:bottom w:type="dxa" w:w="60"/>
              <w:right w:type="dxa" w:w="100"/>
            </w:tcMar>
          </w:tcPr>
          <w:p>
            <w:r>
              <w:rPr>
                <w:sz w:val="19"/>
                <w:szCs w:val="19"/>
              </w:rPr>
              <w:t xml:space="preserve">$1.99</w:t>
            </w:r>
          </w:p>
        </w:tc>
      </w:tr>
      <w:tr>
        <w:tc>
          <w:tcPr>
            <w:shd w:fill="FFFFFF" w:val="clear"/>
            <w:tcMar>
              <w:top w:type="dxa" w:w="60"/>
              <w:left w:type="dxa" w:w="100"/>
              <w:bottom w:type="dxa" w:w="60"/>
              <w:right w:type="dxa" w:w="100"/>
            </w:tcMar>
          </w:tcPr>
          <w:p>
            <w:r>
              <w:rPr>
                <w:sz w:val="19"/>
                <w:szCs w:val="19"/>
              </w:rPr>
              <w:t xml:space="preserve">Exodus, Pt. 1</w:t>
            </w:r>
          </w:p>
        </w:tc>
        <w:tc>
          <w:tcPr>
            <w:shd w:fill="FFFFFF" w:val="clear"/>
            <w:tcMar>
              <w:top w:type="dxa" w:w="60"/>
              <w:left w:type="dxa" w:w="100"/>
              <w:bottom w:type="dxa" w:w="60"/>
              <w:right w:type="dxa" w:w="100"/>
            </w:tcMar>
          </w:tcPr>
          <w:p>
            <w:r>
              <w:rPr>
                <w:sz w:val="19"/>
                <w:szCs w:val="19"/>
              </w:rPr>
              <w:t xml:space="preserve">$1.99</w:t>
            </w:r>
          </w:p>
        </w:tc>
      </w:tr>
      <w:tr>
        <w:tc>
          <w:tcPr>
            <w:shd w:fill="F5F8FB" w:val="clear"/>
            <w:tcMar>
              <w:top w:type="dxa" w:w="60"/>
              <w:left w:type="dxa" w:w="100"/>
              <w:bottom w:type="dxa" w:w="60"/>
              <w:right w:type="dxa" w:w="100"/>
            </w:tcMar>
          </w:tcPr>
          <w:p>
            <w:r>
              <w:rPr>
                <w:sz w:val="19"/>
                <w:szCs w:val="19"/>
              </w:rPr>
              <w:t xml:space="preserve">Exodus, Pt. 2</w:t>
            </w:r>
          </w:p>
        </w:tc>
        <w:tc>
          <w:tcPr>
            <w:shd w:fill="F5F8FB" w:val="clear"/>
            <w:tcMar>
              <w:top w:type="dxa" w:w="60"/>
              <w:left w:type="dxa" w:w="100"/>
              <w:bottom w:type="dxa" w:w="60"/>
              <w:right w:type="dxa" w:w="100"/>
            </w:tcMar>
          </w:tcPr>
          <w:p>
            <w:r>
              <w:rPr>
                <w:sz w:val="19"/>
                <w:szCs w:val="19"/>
              </w:rPr>
              <w:t xml:space="preserve">$1.99</w:t>
            </w:r>
          </w:p>
        </w:tc>
      </w:tr>
      <w:tr>
        <w:tc>
          <w:tcPr>
            <w:shd w:fill="FFFFFF" w:val="clear"/>
            <w:tcMar>
              <w:top w:type="dxa" w:w="60"/>
              <w:left w:type="dxa" w:w="100"/>
              <w:bottom w:type="dxa" w:w="60"/>
              <w:right w:type="dxa" w:w="100"/>
            </w:tcMar>
          </w:tcPr>
          <w:p>
            <w:r>
              <w:rPr>
                <w:sz w:val="19"/>
                <w:szCs w:val="19"/>
              </w:rPr>
              <w:t xml:space="preserve">Collaborators</w:t>
            </w:r>
          </w:p>
        </w:tc>
        <w:tc>
          <w:tcPr>
            <w:shd w:fill="FFFFFF" w:val="clear"/>
            <w:tcMar>
              <w:top w:type="dxa" w:w="60"/>
              <w:left w:type="dxa" w:w="100"/>
              <w:bottom w:type="dxa" w:w="60"/>
              <w:right w:type="dxa" w:w="100"/>
            </w:tcMar>
          </w:tcPr>
          <w:p>
            <w:r>
              <w:rPr>
                <w:sz w:val="19"/>
                <w:szCs w:val="19"/>
              </w:rPr>
              <w:t xml:space="preserve">$1.99</w:t>
            </w:r>
          </w:p>
        </w:tc>
      </w:tr>
    </w:tbl>
    <w:p>
      <w:pPr>
        <w:spacing w:after="100"/>
      </w:pPr>
    </w:p>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Pricing tiers</w:t>
            </w:r>
          </w:p>
          <w:p>
            <w:pPr>
              <w:spacing w:before="40"/>
            </w:pPr>
            <w:r>
              <w:t xml:space="preserve">Only 2 price points exist in the whole catalogue: $0.99 (standard) and $1.99 (premium, mostly TV episodes). Pricing is not used as a per-genre lever.</w:t>
            </w:r>
          </w:p>
        </w:tc>
      </w:tr>
    </w:tbl>
    <w:p>
      <w:pPr>
        <w:spacing w:after="200"/>
      </w:pPr>
    </w:p>
    <w:p>
      <w:pPr>
        <w:pStyle w:val="Heading3"/>
        <w:spacing w:after="90" w:before="180"/>
      </w:pPr>
      <w:r>
        <w:t xml:space="preserve">GROUP BY / HAVING — Genres with a large catalogue</w:t>
      </w:r>
    </w:p>
    <w:p>
      <w:pPr>
        <w:spacing w:after="120"/>
      </w:pPr>
      <w:r>
        <w:t xml:space="preserve">Query: groups tracks by genre, keeping only genres with more than 150 tracks — separating the catalogue's core genres from its long 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Genre</w:t>
            </w:r>
          </w:p>
        </w:tc>
        <w:tc>
          <w:tcPr>
            <w:shd w:fill="2E5C88" w:val="clear"/>
            <w:tcMar>
              <w:top w:type="dxa" w:w="80"/>
              <w:left w:type="dxa" w:w="100"/>
              <w:bottom w:type="dxa" w:w="80"/>
              <w:right w:type="dxa" w:w="100"/>
            </w:tcMar>
          </w:tcPr>
          <w:p>
            <w:r>
              <w:rPr>
                <w:b/>
                <w:bCs/>
                <w:color w:val="FFFFFF"/>
                <w:sz w:val="19"/>
                <w:szCs w:val="19"/>
              </w:rPr>
              <w:t xml:space="preserve">Track Count</w:t>
            </w:r>
          </w:p>
        </w:tc>
      </w:tr>
      <w:tr>
        <w:tc>
          <w:tcPr>
            <w:shd w:fill="FFFFFF" w:val="clear"/>
            <w:tcMar>
              <w:top w:type="dxa" w:w="60"/>
              <w:left w:type="dxa" w:w="100"/>
              <w:bottom w:type="dxa" w:w="60"/>
              <w:right w:type="dxa" w:w="100"/>
            </w:tcMar>
          </w:tcPr>
          <w:p>
            <w:r>
              <w:rPr>
                <w:sz w:val="19"/>
                <w:szCs w:val="19"/>
              </w:rPr>
              <w:t xml:space="preserve">Rock</w:t>
            </w:r>
          </w:p>
        </w:tc>
        <w:tc>
          <w:tcPr>
            <w:shd w:fill="FFFFFF" w:val="clear"/>
            <w:tcMar>
              <w:top w:type="dxa" w:w="60"/>
              <w:left w:type="dxa" w:w="100"/>
              <w:bottom w:type="dxa" w:w="60"/>
              <w:right w:type="dxa" w:w="100"/>
            </w:tcMar>
          </w:tcPr>
          <w:p>
            <w:r>
              <w:rPr>
                <w:sz w:val="19"/>
                <w:szCs w:val="19"/>
              </w:rPr>
              <w:t xml:space="preserve">1,297</w:t>
            </w:r>
          </w:p>
        </w:tc>
      </w:tr>
      <w:tr>
        <w:tc>
          <w:tcPr>
            <w:shd w:fill="F5F8FB" w:val="clear"/>
            <w:tcMar>
              <w:top w:type="dxa" w:w="60"/>
              <w:left w:type="dxa" w:w="100"/>
              <w:bottom w:type="dxa" w:w="60"/>
              <w:right w:type="dxa" w:w="100"/>
            </w:tcMar>
          </w:tcPr>
          <w:p>
            <w:r>
              <w:rPr>
                <w:sz w:val="19"/>
                <w:szCs w:val="19"/>
              </w:rPr>
              <w:t xml:space="preserve">Latin</w:t>
            </w:r>
          </w:p>
        </w:tc>
        <w:tc>
          <w:tcPr>
            <w:shd w:fill="F5F8FB" w:val="clear"/>
            <w:tcMar>
              <w:top w:type="dxa" w:w="60"/>
              <w:left w:type="dxa" w:w="100"/>
              <w:bottom w:type="dxa" w:w="60"/>
              <w:right w:type="dxa" w:w="100"/>
            </w:tcMar>
          </w:tcPr>
          <w:p>
            <w:r>
              <w:rPr>
                <w:sz w:val="19"/>
                <w:szCs w:val="19"/>
              </w:rPr>
              <w:t xml:space="preserve">579</w:t>
            </w:r>
          </w:p>
        </w:tc>
      </w:tr>
      <w:tr>
        <w:tc>
          <w:tcPr>
            <w:shd w:fill="FFFFFF" w:val="clear"/>
            <w:tcMar>
              <w:top w:type="dxa" w:w="60"/>
              <w:left w:type="dxa" w:w="100"/>
              <w:bottom w:type="dxa" w:w="60"/>
              <w:right w:type="dxa" w:w="100"/>
            </w:tcMar>
          </w:tcPr>
          <w:p>
            <w:r>
              <w:rPr>
                <w:sz w:val="19"/>
                <w:szCs w:val="19"/>
              </w:rPr>
              <w:t xml:space="preserve">Metal</w:t>
            </w:r>
          </w:p>
        </w:tc>
        <w:tc>
          <w:tcPr>
            <w:shd w:fill="FFFFFF" w:val="clear"/>
            <w:tcMar>
              <w:top w:type="dxa" w:w="60"/>
              <w:left w:type="dxa" w:w="100"/>
              <w:bottom w:type="dxa" w:w="60"/>
              <w:right w:type="dxa" w:w="100"/>
            </w:tcMar>
          </w:tcPr>
          <w:p>
            <w:r>
              <w:rPr>
                <w:sz w:val="19"/>
                <w:szCs w:val="19"/>
              </w:rPr>
              <w:t xml:space="preserve">374</w:t>
            </w:r>
          </w:p>
        </w:tc>
      </w:tr>
      <w:tr>
        <w:tc>
          <w:tcPr>
            <w:shd w:fill="F5F8FB" w:val="clear"/>
            <w:tcMar>
              <w:top w:type="dxa" w:w="60"/>
              <w:left w:type="dxa" w:w="100"/>
              <w:bottom w:type="dxa" w:w="60"/>
              <w:right w:type="dxa" w:w="100"/>
            </w:tcMar>
          </w:tcPr>
          <w:p>
            <w:r>
              <w:rPr>
                <w:sz w:val="19"/>
                <w:szCs w:val="19"/>
              </w:rPr>
              <w:t xml:space="preserve">Alternative &amp; Punk</w:t>
            </w:r>
          </w:p>
        </w:tc>
        <w:tc>
          <w:tcPr>
            <w:shd w:fill="F5F8FB" w:val="clear"/>
            <w:tcMar>
              <w:top w:type="dxa" w:w="60"/>
              <w:left w:type="dxa" w:w="100"/>
              <w:bottom w:type="dxa" w:w="60"/>
              <w:right w:type="dxa" w:w="100"/>
            </w:tcMar>
          </w:tcPr>
          <w:p>
            <w:r>
              <w:rPr>
                <w:sz w:val="19"/>
                <w:szCs w:val="19"/>
              </w:rPr>
              <w:t xml:space="preserve">332</w:t>
            </w:r>
          </w:p>
        </w:tc>
      </w:tr>
    </w:tbl>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Catalogue concentration</w:t>
            </w:r>
          </w:p>
          <w:p>
            <w:pPr>
              <w:spacing w:before="40"/>
            </w:pPr>
            <w:r>
              <w:t xml:space="preserve">Rock alone accounts for 37% of all 3,503 tracks. Just 4 of the store's 25 genres hold more than 150 tracks each — inventory is heavily concentrated, not evenly spread.</w:t>
            </w:r>
          </w:p>
        </w:tc>
      </w:tr>
    </w:tbl>
    <w:p>
      <w:pPr>
        <w:spacing w:after="200"/>
      </w:pPr>
    </w:p>
    <w:p>
      <w:pPr>
        <w:pStyle w:val="Heading3"/>
        <w:spacing w:after="90" w:before="180"/>
      </w:pPr>
      <w:r>
        <w:t xml:space="preserve">Aggregate functions — Revenue by billing country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Country</w:t>
            </w:r>
          </w:p>
        </w:tc>
        <w:tc>
          <w:tcPr>
            <w:shd w:fill="2E5C88" w:val="clear"/>
            <w:tcMar>
              <w:top w:type="dxa" w:w="80"/>
              <w:left w:type="dxa" w:w="100"/>
              <w:bottom w:type="dxa" w:w="80"/>
              <w:right w:type="dxa" w:w="100"/>
            </w:tcMar>
          </w:tcPr>
          <w:p>
            <w:r>
              <w:rPr>
                <w:b/>
                <w:bCs/>
                <w:color w:val="FFFFFF"/>
                <w:sz w:val="19"/>
                <w:szCs w:val="19"/>
              </w:rPr>
              <w:t xml:space="preserve">Revenue</w:t>
            </w:r>
          </w:p>
        </w:tc>
        <w:tc>
          <w:tcPr>
            <w:shd w:fill="2E5C88" w:val="clear"/>
            <w:tcMar>
              <w:top w:type="dxa" w:w="80"/>
              <w:left w:type="dxa" w:w="100"/>
              <w:bottom w:type="dxa" w:w="80"/>
              <w:right w:type="dxa" w:w="100"/>
            </w:tcMar>
          </w:tcPr>
          <w:p>
            <w:r>
              <w:rPr>
                <w:b/>
                <w:bCs/>
                <w:color w:val="FFFFFF"/>
                <w:sz w:val="19"/>
                <w:szCs w:val="19"/>
              </w:rPr>
              <w:t xml:space="preserve">Invoices</w:t>
            </w:r>
          </w:p>
        </w:tc>
      </w:tr>
      <w:tr>
        <w:tc>
          <w:tcPr>
            <w:shd w:fill="FFFFFF" w:val="clear"/>
            <w:tcMar>
              <w:top w:type="dxa" w:w="60"/>
              <w:left w:type="dxa" w:w="100"/>
              <w:bottom w:type="dxa" w:w="60"/>
              <w:right w:type="dxa" w:w="100"/>
            </w:tcMar>
          </w:tcPr>
          <w:p>
            <w:r>
              <w:rPr>
                <w:sz w:val="19"/>
                <w:szCs w:val="19"/>
              </w:rPr>
              <w:t xml:space="preserve">USA</w:t>
            </w:r>
          </w:p>
        </w:tc>
        <w:tc>
          <w:tcPr>
            <w:shd w:fill="FFFFFF" w:val="clear"/>
            <w:tcMar>
              <w:top w:type="dxa" w:w="60"/>
              <w:left w:type="dxa" w:w="100"/>
              <w:bottom w:type="dxa" w:w="60"/>
              <w:right w:type="dxa" w:w="100"/>
            </w:tcMar>
          </w:tcPr>
          <w:p>
            <w:r>
              <w:rPr>
                <w:sz w:val="19"/>
                <w:szCs w:val="19"/>
              </w:rPr>
              <w:t xml:space="preserve">$523.06</w:t>
            </w:r>
          </w:p>
        </w:tc>
        <w:tc>
          <w:tcPr>
            <w:shd w:fill="FFFFFF" w:val="clear"/>
            <w:tcMar>
              <w:top w:type="dxa" w:w="60"/>
              <w:left w:type="dxa" w:w="100"/>
              <w:bottom w:type="dxa" w:w="60"/>
              <w:right w:type="dxa" w:w="100"/>
            </w:tcMar>
          </w:tcPr>
          <w:p>
            <w:r>
              <w:rPr>
                <w:sz w:val="19"/>
                <w:szCs w:val="19"/>
              </w:rPr>
              <w:t xml:space="preserve">91</w:t>
            </w:r>
          </w:p>
        </w:tc>
      </w:tr>
      <w:tr>
        <w:tc>
          <w:tcPr>
            <w:shd w:fill="F5F8FB" w:val="clear"/>
            <w:tcMar>
              <w:top w:type="dxa" w:w="60"/>
              <w:left w:type="dxa" w:w="100"/>
              <w:bottom w:type="dxa" w:w="60"/>
              <w:right w:type="dxa" w:w="100"/>
            </w:tcMar>
          </w:tcPr>
          <w:p>
            <w:r>
              <w:rPr>
                <w:sz w:val="19"/>
                <w:szCs w:val="19"/>
              </w:rPr>
              <w:t xml:space="preserve">Canada</w:t>
            </w:r>
          </w:p>
        </w:tc>
        <w:tc>
          <w:tcPr>
            <w:shd w:fill="F5F8FB" w:val="clear"/>
            <w:tcMar>
              <w:top w:type="dxa" w:w="60"/>
              <w:left w:type="dxa" w:w="100"/>
              <w:bottom w:type="dxa" w:w="60"/>
              <w:right w:type="dxa" w:w="100"/>
            </w:tcMar>
          </w:tcPr>
          <w:p>
            <w:r>
              <w:rPr>
                <w:sz w:val="19"/>
                <w:szCs w:val="19"/>
              </w:rPr>
              <w:t xml:space="preserve">$303.96</w:t>
            </w:r>
          </w:p>
        </w:tc>
        <w:tc>
          <w:tcPr>
            <w:shd w:fill="F5F8FB" w:val="clear"/>
            <w:tcMar>
              <w:top w:type="dxa" w:w="60"/>
              <w:left w:type="dxa" w:w="100"/>
              <w:bottom w:type="dxa" w:w="60"/>
              <w:right w:type="dxa" w:w="100"/>
            </w:tcMar>
          </w:tcPr>
          <w:p>
            <w:r>
              <w:rPr>
                <w:sz w:val="19"/>
                <w:szCs w:val="19"/>
              </w:rPr>
              <w:t xml:space="preserve">56</w:t>
            </w:r>
          </w:p>
        </w:tc>
      </w:tr>
      <w:tr>
        <w:tc>
          <w:tcPr>
            <w:shd w:fill="FFFFFF" w:val="clear"/>
            <w:tcMar>
              <w:top w:type="dxa" w:w="60"/>
              <w:left w:type="dxa" w:w="100"/>
              <w:bottom w:type="dxa" w:w="60"/>
              <w:right w:type="dxa" w:w="100"/>
            </w:tcMar>
          </w:tcPr>
          <w:p>
            <w:r>
              <w:rPr>
                <w:sz w:val="19"/>
                <w:szCs w:val="19"/>
              </w:rPr>
              <w:t xml:space="preserve">France</w:t>
            </w:r>
          </w:p>
        </w:tc>
        <w:tc>
          <w:tcPr>
            <w:shd w:fill="FFFFFF" w:val="clear"/>
            <w:tcMar>
              <w:top w:type="dxa" w:w="60"/>
              <w:left w:type="dxa" w:w="100"/>
              <w:bottom w:type="dxa" w:w="60"/>
              <w:right w:type="dxa" w:w="100"/>
            </w:tcMar>
          </w:tcPr>
          <w:p>
            <w:r>
              <w:rPr>
                <w:sz w:val="19"/>
                <w:szCs w:val="19"/>
              </w:rPr>
              <w:t xml:space="preserve">$195.10</w:t>
            </w:r>
          </w:p>
        </w:tc>
        <w:tc>
          <w:tcPr>
            <w:shd w:fill="FFFFFF" w:val="clear"/>
            <w:tcMar>
              <w:top w:type="dxa" w:w="60"/>
              <w:left w:type="dxa" w:w="100"/>
              <w:bottom w:type="dxa" w:w="60"/>
              <w:right w:type="dxa" w:w="100"/>
            </w:tcMar>
          </w:tcPr>
          <w:p>
            <w:r>
              <w:rPr>
                <w:sz w:val="19"/>
                <w:szCs w:val="19"/>
              </w:rPr>
              <w:t xml:space="preserve">35</w:t>
            </w:r>
          </w:p>
        </w:tc>
      </w:tr>
      <w:tr>
        <w:tc>
          <w:tcPr>
            <w:shd w:fill="F5F8FB" w:val="clear"/>
            <w:tcMar>
              <w:top w:type="dxa" w:w="60"/>
              <w:left w:type="dxa" w:w="100"/>
              <w:bottom w:type="dxa" w:w="60"/>
              <w:right w:type="dxa" w:w="100"/>
            </w:tcMar>
          </w:tcPr>
          <w:p>
            <w:r>
              <w:rPr>
                <w:sz w:val="19"/>
                <w:szCs w:val="19"/>
              </w:rPr>
              <w:t xml:space="preserve">Brazil</w:t>
            </w:r>
          </w:p>
        </w:tc>
        <w:tc>
          <w:tcPr>
            <w:shd w:fill="F5F8FB" w:val="clear"/>
            <w:tcMar>
              <w:top w:type="dxa" w:w="60"/>
              <w:left w:type="dxa" w:w="100"/>
              <w:bottom w:type="dxa" w:w="60"/>
              <w:right w:type="dxa" w:w="100"/>
            </w:tcMar>
          </w:tcPr>
          <w:p>
            <w:r>
              <w:rPr>
                <w:sz w:val="19"/>
                <w:szCs w:val="19"/>
              </w:rPr>
              <w:t xml:space="preserve">$190.10</w:t>
            </w:r>
          </w:p>
        </w:tc>
        <w:tc>
          <w:tcPr>
            <w:shd w:fill="F5F8FB" w:val="clear"/>
            <w:tcMar>
              <w:top w:type="dxa" w:w="60"/>
              <w:left w:type="dxa" w:w="100"/>
              <w:bottom w:type="dxa" w:w="60"/>
              <w:right w:type="dxa" w:w="100"/>
            </w:tcMar>
          </w:tcPr>
          <w:p>
            <w:r>
              <w:rPr>
                <w:sz w:val="19"/>
                <w:szCs w:val="19"/>
              </w:rPr>
              <w:t xml:space="preserve">35</w:t>
            </w:r>
          </w:p>
        </w:tc>
      </w:tr>
      <w:tr>
        <w:tc>
          <w:tcPr>
            <w:shd w:fill="FFFFFF" w:val="clear"/>
            <w:tcMar>
              <w:top w:type="dxa" w:w="60"/>
              <w:left w:type="dxa" w:w="100"/>
              <w:bottom w:type="dxa" w:w="60"/>
              <w:right w:type="dxa" w:w="100"/>
            </w:tcMar>
          </w:tcPr>
          <w:p>
            <w:r>
              <w:rPr>
                <w:sz w:val="19"/>
                <w:szCs w:val="19"/>
              </w:rPr>
              <w:t xml:space="preserve">Germany</w:t>
            </w:r>
          </w:p>
        </w:tc>
        <w:tc>
          <w:tcPr>
            <w:shd w:fill="FFFFFF" w:val="clear"/>
            <w:tcMar>
              <w:top w:type="dxa" w:w="60"/>
              <w:left w:type="dxa" w:w="100"/>
              <w:bottom w:type="dxa" w:w="60"/>
              <w:right w:type="dxa" w:w="100"/>
            </w:tcMar>
          </w:tcPr>
          <w:p>
            <w:r>
              <w:rPr>
                <w:sz w:val="19"/>
                <w:szCs w:val="19"/>
              </w:rPr>
              <w:t xml:space="preserve">$156.48</w:t>
            </w:r>
          </w:p>
        </w:tc>
        <w:tc>
          <w:tcPr>
            <w:shd w:fill="FFFFFF" w:val="clear"/>
            <w:tcMar>
              <w:top w:type="dxa" w:w="60"/>
              <w:left w:type="dxa" w:w="100"/>
              <w:bottom w:type="dxa" w:w="60"/>
              <w:right w:type="dxa" w:w="100"/>
            </w:tcMar>
          </w:tcPr>
          <w:p>
            <w:r>
              <w:rPr>
                <w:sz w:val="19"/>
                <w:szCs w:val="19"/>
              </w:rPr>
              <w:t xml:space="preserve">28</w:t>
            </w:r>
          </w:p>
        </w:tc>
      </w:tr>
    </w:tbl>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Market concentration</w:t>
            </w:r>
          </w:p>
          <w:p>
            <w:pPr>
              <w:spacing w:before="40"/>
            </w:pPr>
            <w:r>
              <w:t xml:space="preserve">The USA and Canada together generate roughly 47% of total invoice revenue, confirming North America as Chinook's core market.</w:t>
            </w:r>
          </w:p>
        </w:tc>
      </w:tr>
    </w:tbl>
    <w:p>
      <w:pPr>
        <w:spacing w:after="200"/>
      </w:pPr>
    </w:p>
    <w:p>
      <w:pPr>
        <w:pStyle w:val="Heading2"/>
        <w:spacing w:after="120" w:before="240"/>
      </w:pPr>
      <w:r>
        <w:t xml:space="preserve">3. Advanced SQL Concepts</w:t>
      </w:r>
    </w:p>
    <w:p>
      <w:pPr>
        <w:pStyle w:val="Heading3"/>
        <w:spacing w:after="90" w:before="180"/>
      </w:pPr>
      <w:r>
        <w:t xml:space="preserve">INNER JOIN — Highest-value invoices with customer names</w:t>
      </w:r>
    </w:p>
    <w:p>
      <w:pPr>
        <w:spacing w:after="120"/>
      </w:pPr>
      <w:r>
        <w:t xml:space="preserve">Combines Invoice and Customer so each invoice shows who placed it — used to identify top individual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Invoice</w:t>
            </w:r>
          </w:p>
        </w:tc>
        <w:tc>
          <w:tcPr>
            <w:shd w:fill="2E5C88" w:val="clear"/>
            <w:tcMar>
              <w:top w:type="dxa" w:w="80"/>
              <w:left w:type="dxa" w:w="100"/>
              <w:bottom w:type="dxa" w:w="80"/>
              <w:right w:type="dxa" w:w="100"/>
            </w:tcMar>
          </w:tcPr>
          <w:p>
            <w:r>
              <w:rPr>
                <w:b/>
                <w:bCs/>
                <w:color w:val="FFFFFF"/>
                <w:sz w:val="19"/>
                <w:szCs w:val="19"/>
              </w:rPr>
              <w:t xml:space="preserve">Customer</w:t>
            </w:r>
          </w:p>
        </w:tc>
        <w:tc>
          <w:tcPr>
            <w:shd w:fill="2E5C88" w:val="clear"/>
            <w:tcMar>
              <w:top w:type="dxa" w:w="80"/>
              <w:left w:type="dxa" w:w="100"/>
              <w:bottom w:type="dxa" w:w="80"/>
              <w:right w:type="dxa" w:w="100"/>
            </w:tcMar>
          </w:tcPr>
          <w:p>
            <w:r>
              <w:rPr>
                <w:b/>
                <w:bCs/>
                <w:color w:val="FFFFFF"/>
                <w:sz w:val="19"/>
                <w:szCs w:val="19"/>
              </w:rPr>
              <w:t xml:space="preserve">Total</w:t>
            </w:r>
          </w:p>
        </w:tc>
      </w:tr>
      <w:tr>
        <w:tc>
          <w:tcPr>
            <w:shd w:fill="FFFFFF" w:val="clear"/>
            <w:tcMar>
              <w:top w:type="dxa" w:w="60"/>
              <w:left w:type="dxa" w:w="100"/>
              <w:bottom w:type="dxa" w:w="60"/>
              <w:right w:type="dxa" w:w="100"/>
            </w:tcMar>
          </w:tcPr>
          <w:p>
            <w:r>
              <w:rPr>
                <w:sz w:val="19"/>
                <w:szCs w:val="19"/>
              </w:rPr>
              <w:t xml:space="preserve">404</w:t>
            </w:r>
          </w:p>
        </w:tc>
        <w:tc>
          <w:tcPr>
            <w:shd w:fill="FFFFFF" w:val="clear"/>
            <w:tcMar>
              <w:top w:type="dxa" w:w="60"/>
              <w:left w:type="dxa" w:w="100"/>
              <w:bottom w:type="dxa" w:w="60"/>
              <w:right w:type="dxa" w:w="100"/>
            </w:tcMar>
          </w:tcPr>
          <w:p>
            <w:r>
              <w:rPr>
                <w:sz w:val="19"/>
                <w:szCs w:val="19"/>
              </w:rPr>
              <w:t xml:space="preserve">Helena Holý</w:t>
            </w:r>
          </w:p>
        </w:tc>
        <w:tc>
          <w:tcPr>
            <w:shd w:fill="FFFFFF" w:val="clear"/>
            <w:tcMar>
              <w:top w:type="dxa" w:w="60"/>
              <w:left w:type="dxa" w:w="100"/>
              <w:bottom w:type="dxa" w:w="60"/>
              <w:right w:type="dxa" w:w="100"/>
            </w:tcMar>
          </w:tcPr>
          <w:p>
            <w:r>
              <w:rPr>
                <w:sz w:val="19"/>
                <w:szCs w:val="19"/>
              </w:rPr>
              <w:t xml:space="preserve">$25.86</w:t>
            </w:r>
          </w:p>
        </w:tc>
      </w:tr>
      <w:tr>
        <w:tc>
          <w:tcPr>
            <w:shd w:fill="F5F8FB" w:val="clear"/>
            <w:tcMar>
              <w:top w:type="dxa" w:w="60"/>
              <w:left w:type="dxa" w:w="100"/>
              <w:bottom w:type="dxa" w:w="60"/>
              <w:right w:type="dxa" w:w="100"/>
            </w:tcMar>
          </w:tcPr>
          <w:p>
            <w:r>
              <w:rPr>
                <w:sz w:val="19"/>
                <w:szCs w:val="19"/>
              </w:rPr>
              <w:t xml:space="preserve">299</w:t>
            </w:r>
          </w:p>
        </w:tc>
        <w:tc>
          <w:tcPr>
            <w:shd w:fill="F5F8FB" w:val="clear"/>
            <w:tcMar>
              <w:top w:type="dxa" w:w="60"/>
              <w:left w:type="dxa" w:w="100"/>
              <w:bottom w:type="dxa" w:w="60"/>
              <w:right w:type="dxa" w:w="100"/>
            </w:tcMar>
          </w:tcPr>
          <w:p>
            <w:r>
              <w:rPr>
                <w:sz w:val="19"/>
                <w:szCs w:val="19"/>
              </w:rPr>
              <w:t xml:space="preserve">Richard Cunningham</w:t>
            </w:r>
          </w:p>
        </w:tc>
        <w:tc>
          <w:tcPr>
            <w:shd w:fill="F5F8FB" w:val="clear"/>
            <w:tcMar>
              <w:top w:type="dxa" w:w="60"/>
              <w:left w:type="dxa" w:w="100"/>
              <w:bottom w:type="dxa" w:w="60"/>
              <w:right w:type="dxa" w:w="100"/>
            </w:tcMar>
          </w:tcPr>
          <w:p>
            <w:r>
              <w:rPr>
                <w:sz w:val="19"/>
                <w:szCs w:val="19"/>
              </w:rPr>
              <w:t xml:space="preserve">$23.86</w:t>
            </w:r>
          </w:p>
        </w:tc>
      </w:tr>
      <w:tr>
        <w:tc>
          <w:tcPr>
            <w:shd w:fill="FFFFFF" w:val="clear"/>
            <w:tcMar>
              <w:top w:type="dxa" w:w="60"/>
              <w:left w:type="dxa" w:w="100"/>
              <w:bottom w:type="dxa" w:w="60"/>
              <w:right w:type="dxa" w:w="100"/>
            </w:tcMar>
          </w:tcPr>
          <w:p>
            <w:r>
              <w:rPr>
                <w:sz w:val="19"/>
                <w:szCs w:val="19"/>
              </w:rPr>
              <w:t xml:space="preserve">96</w:t>
            </w:r>
          </w:p>
        </w:tc>
        <w:tc>
          <w:tcPr>
            <w:shd w:fill="FFFFFF" w:val="clear"/>
            <w:tcMar>
              <w:top w:type="dxa" w:w="60"/>
              <w:left w:type="dxa" w:w="100"/>
              <w:bottom w:type="dxa" w:w="60"/>
              <w:right w:type="dxa" w:w="100"/>
            </w:tcMar>
          </w:tcPr>
          <w:p>
            <w:r>
              <w:rPr>
                <w:sz w:val="19"/>
                <w:szCs w:val="19"/>
              </w:rPr>
              <w:t xml:space="preserve">Ladislav Kovács</w:t>
            </w:r>
          </w:p>
        </w:tc>
        <w:tc>
          <w:tcPr>
            <w:shd w:fill="FFFFFF" w:val="clear"/>
            <w:tcMar>
              <w:top w:type="dxa" w:w="60"/>
              <w:left w:type="dxa" w:w="100"/>
              <w:bottom w:type="dxa" w:w="60"/>
              <w:right w:type="dxa" w:w="100"/>
            </w:tcMar>
          </w:tcPr>
          <w:p>
            <w:r>
              <w:rPr>
                <w:sz w:val="19"/>
                <w:szCs w:val="19"/>
              </w:rPr>
              <w:t xml:space="preserve">$21.86</w:t>
            </w:r>
          </w:p>
        </w:tc>
      </w:tr>
      <w:tr>
        <w:tc>
          <w:tcPr>
            <w:shd w:fill="F5F8FB" w:val="clear"/>
            <w:tcMar>
              <w:top w:type="dxa" w:w="60"/>
              <w:left w:type="dxa" w:w="100"/>
              <w:bottom w:type="dxa" w:w="60"/>
              <w:right w:type="dxa" w:w="100"/>
            </w:tcMar>
          </w:tcPr>
          <w:p>
            <w:r>
              <w:rPr>
                <w:sz w:val="19"/>
                <w:szCs w:val="19"/>
              </w:rPr>
              <w:t xml:space="preserve">194</w:t>
            </w:r>
          </w:p>
        </w:tc>
        <w:tc>
          <w:tcPr>
            <w:shd w:fill="F5F8FB" w:val="clear"/>
            <w:tcMar>
              <w:top w:type="dxa" w:w="60"/>
              <w:left w:type="dxa" w:w="100"/>
              <w:bottom w:type="dxa" w:w="60"/>
              <w:right w:type="dxa" w:w="100"/>
            </w:tcMar>
          </w:tcPr>
          <w:p>
            <w:r>
              <w:rPr>
                <w:sz w:val="19"/>
                <w:szCs w:val="19"/>
              </w:rPr>
              <w:t xml:space="preserve">Hugh O'Reilly</w:t>
            </w:r>
          </w:p>
        </w:tc>
        <w:tc>
          <w:tcPr>
            <w:shd w:fill="F5F8FB" w:val="clear"/>
            <w:tcMar>
              <w:top w:type="dxa" w:w="60"/>
              <w:left w:type="dxa" w:w="100"/>
              <w:bottom w:type="dxa" w:w="60"/>
              <w:right w:type="dxa" w:w="100"/>
            </w:tcMar>
          </w:tcPr>
          <w:p>
            <w:r>
              <w:rPr>
                <w:sz w:val="19"/>
                <w:szCs w:val="19"/>
              </w:rPr>
              <w:t xml:space="preserve">$21.86</w:t>
            </w:r>
          </w:p>
        </w:tc>
      </w:tr>
    </w:tbl>
    <w:p>
      <w:pPr>
        <w:pStyle w:val="Heading3"/>
        <w:spacing w:after="90" w:before="180"/>
      </w:pPr>
      <w:r>
        <w:t xml:space="preserve">LEFT JOIN — Customers with zero purchases</w:t>
      </w:r>
    </w:p>
    <w:p>
      <w:pPr>
        <w:spacing w:after="120"/>
      </w:pPr>
      <w:r>
        <w:t xml:space="preserve">Keeps every customer row even where no matching invoice exists, then filters for the unmatched (NULL) side.</w:t>
      </w:r>
    </w:p>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Full customer engagement</w:t>
            </w:r>
          </w:p>
          <w:p>
            <w:pPr>
              <w:spacing w:before="40"/>
            </w:pPr>
            <w:r>
              <w:t xml:space="preserve">The result set was empty — all 59 customers in the database have placed at least one order. There is no dormant customer segment to re-engage in this dataset.</w:t>
            </w:r>
          </w:p>
        </w:tc>
      </w:tr>
    </w:tbl>
    <w:p>
      <w:pPr>
        <w:pStyle w:val="Heading3"/>
        <w:spacing w:after="90" w:before="180"/>
      </w:pPr>
      <w:r>
        <w:t xml:space="preserve">RIGHT JOIN — Support reps and customer load</w:t>
      </w:r>
    </w:p>
    <w:p>
      <w:pPr>
        <w:spacing w:after="120"/>
      </w:pPr>
      <w:r>
        <w:t xml:space="preserve">Keeps every employee row (the 'right' table) even if they support zero customers, revealing workload imbalance.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Support Rep</w:t>
            </w:r>
          </w:p>
        </w:tc>
        <w:tc>
          <w:tcPr>
            <w:shd w:fill="2E5C88" w:val="clear"/>
            <w:tcMar>
              <w:top w:type="dxa" w:w="80"/>
              <w:left w:type="dxa" w:w="100"/>
              <w:bottom w:type="dxa" w:w="80"/>
              <w:right w:type="dxa" w:w="100"/>
            </w:tcMar>
          </w:tcPr>
          <w:p>
            <w:r>
              <w:rPr>
                <w:b/>
                <w:bCs/>
                <w:color w:val="FFFFFF"/>
                <w:sz w:val="19"/>
                <w:szCs w:val="19"/>
              </w:rPr>
              <w:t xml:space="preserve">Customers Supported</w:t>
            </w:r>
          </w:p>
        </w:tc>
      </w:tr>
      <w:tr>
        <w:tc>
          <w:tcPr>
            <w:shd w:fill="FFFFFF" w:val="clear"/>
            <w:tcMar>
              <w:top w:type="dxa" w:w="60"/>
              <w:left w:type="dxa" w:w="100"/>
              <w:bottom w:type="dxa" w:w="60"/>
              <w:right w:type="dxa" w:w="100"/>
            </w:tcMar>
          </w:tcPr>
          <w:p>
            <w:r>
              <w:rPr>
                <w:sz w:val="19"/>
                <w:szCs w:val="19"/>
              </w:rPr>
              <w:t xml:space="preserve">Jane Peacock</w:t>
            </w:r>
          </w:p>
        </w:tc>
        <w:tc>
          <w:tcPr>
            <w:shd w:fill="FFFFFF" w:val="clear"/>
            <w:tcMar>
              <w:top w:type="dxa" w:w="60"/>
              <w:left w:type="dxa" w:w="100"/>
              <w:bottom w:type="dxa" w:w="60"/>
              <w:right w:type="dxa" w:w="100"/>
            </w:tcMar>
          </w:tcPr>
          <w:p>
            <w:r>
              <w:rPr>
                <w:sz w:val="19"/>
                <w:szCs w:val="19"/>
              </w:rPr>
              <w:t xml:space="preserve">21</w:t>
            </w:r>
          </w:p>
        </w:tc>
      </w:tr>
      <w:tr>
        <w:tc>
          <w:tcPr>
            <w:shd w:fill="F5F8FB" w:val="clear"/>
            <w:tcMar>
              <w:top w:type="dxa" w:w="60"/>
              <w:left w:type="dxa" w:w="100"/>
              <w:bottom w:type="dxa" w:w="60"/>
              <w:right w:type="dxa" w:w="100"/>
            </w:tcMar>
          </w:tcPr>
          <w:p>
            <w:r>
              <w:rPr>
                <w:sz w:val="19"/>
                <w:szCs w:val="19"/>
              </w:rPr>
              <w:t xml:space="preserve">Margaret Park</w:t>
            </w:r>
          </w:p>
        </w:tc>
        <w:tc>
          <w:tcPr>
            <w:shd w:fill="F5F8FB" w:val="clear"/>
            <w:tcMar>
              <w:top w:type="dxa" w:w="60"/>
              <w:left w:type="dxa" w:w="100"/>
              <w:bottom w:type="dxa" w:w="60"/>
              <w:right w:type="dxa" w:w="100"/>
            </w:tcMar>
          </w:tcPr>
          <w:p>
            <w:r>
              <w:rPr>
                <w:sz w:val="19"/>
                <w:szCs w:val="19"/>
              </w:rPr>
              <w:t xml:space="preserve">20</w:t>
            </w:r>
          </w:p>
        </w:tc>
      </w:tr>
      <w:tr>
        <w:tc>
          <w:tcPr>
            <w:shd w:fill="FFFFFF" w:val="clear"/>
            <w:tcMar>
              <w:top w:type="dxa" w:w="60"/>
              <w:left w:type="dxa" w:w="100"/>
              <w:bottom w:type="dxa" w:w="60"/>
              <w:right w:type="dxa" w:w="100"/>
            </w:tcMar>
          </w:tcPr>
          <w:p>
            <w:r>
              <w:rPr>
                <w:sz w:val="19"/>
                <w:szCs w:val="19"/>
              </w:rPr>
              <w:t xml:space="preserve">Steve Johnson</w:t>
            </w:r>
          </w:p>
        </w:tc>
        <w:tc>
          <w:tcPr>
            <w:shd w:fill="FFFFFF" w:val="clear"/>
            <w:tcMar>
              <w:top w:type="dxa" w:w="60"/>
              <w:left w:type="dxa" w:w="100"/>
              <w:bottom w:type="dxa" w:w="60"/>
              <w:right w:type="dxa" w:w="100"/>
            </w:tcMar>
          </w:tcPr>
          <w:p>
            <w:r>
              <w:rPr>
                <w:sz w:val="19"/>
                <w:szCs w:val="19"/>
              </w:rPr>
              <w:t xml:space="preserve">18</w:t>
            </w:r>
          </w:p>
        </w:tc>
      </w:tr>
      <w:tr>
        <w:tc>
          <w:tcPr>
            <w:shd w:fill="F5F8FB" w:val="clear"/>
            <w:tcMar>
              <w:top w:type="dxa" w:w="60"/>
              <w:left w:type="dxa" w:w="100"/>
              <w:bottom w:type="dxa" w:w="60"/>
              <w:right w:type="dxa" w:w="100"/>
            </w:tcMar>
          </w:tcPr>
          <w:p>
            <w:r>
              <w:rPr>
                <w:sz w:val="19"/>
                <w:szCs w:val="19"/>
              </w:rPr>
              <w:t xml:space="preserve">Laura Callahan</w:t>
            </w:r>
          </w:p>
        </w:tc>
        <w:tc>
          <w:tcPr>
            <w:shd w:fill="F5F8FB" w:val="clear"/>
            <w:tcMar>
              <w:top w:type="dxa" w:w="60"/>
              <w:left w:type="dxa" w:w="100"/>
              <w:bottom w:type="dxa" w:w="60"/>
              <w:right w:type="dxa" w:w="100"/>
            </w:tcMar>
          </w:tcPr>
          <w:p>
            <w:r>
              <w:rPr>
                <w:sz w:val="19"/>
                <w:szCs w:val="19"/>
              </w:rPr>
              <w:t xml:space="preserve">0</w:t>
            </w:r>
          </w:p>
        </w:tc>
      </w:tr>
      <w:tr>
        <w:tc>
          <w:tcPr>
            <w:shd w:fill="FFFFFF" w:val="clear"/>
            <w:tcMar>
              <w:top w:type="dxa" w:w="60"/>
              <w:left w:type="dxa" w:w="100"/>
              <w:bottom w:type="dxa" w:w="60"/>
              <w:right w:type="dxa" w:w="100"/>
            </w:tcMar>
          </w:tcPr>
          <w:p>
            <w:r>
              <w:rPr>
                <w:sz w:val="19"/>
                <w:szCs w:val="19"/>
              </w:rPr>
              <w:t xml:space="preserve">Robert King</w:t>
            </w:r>
          </w:p>
        </w:tc>
        <w:tc>
          <w:tcPr>
            <w:shd w:fill="FFFFFF" w:val="clear"/>
            <w:tcMar>
              <w:top w:type="dxa" w:w="60"/>
              <w:left w:type="dxa" w:w="100"/>
              <w:bottom w:type="dxa" w:w="60"/>
              <w:right w:type="dxa" w:w="100"/>
            </w:tcMar>
          </w:tcPr>
          <w:p>
            <w:r>
              <w:rPr>
                <w:sz w:val="19"/>
                <w:szCs w:val="19"/>
              </w:rPr>
              <w:t xml:space="preserve">0</w:t>
            </w:r>
          </w:p>
        </w:tc>
      </w:tr>
    </w:tbl>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Uneven support load</w:t>
            </w:r>
          </w:p>
          <w:p>
            <w:pPr>
              <w:spacing w:before="40"/>
            </w:pPr>
            <w:r>
              <w:t xml:space="preserve">Only 3 of 8 employees are assigned as customer support reps at all; the rest (managers, IT staff) carry zero customer load by design — confirmed rather than a data gap, since the RIGHT JOIN surfaced it directly.</w:t>
            </w:r>
          </w:p>
        </w:tc>
      </w:tr>
    </w:tbl>
    <w:p>
      <w:pPr>
        <w:pStyle w:val="Heading3"/>
        <w:spacing w:after="90" w:before="180"/>
      </w:pPr>
      <w:r>
        <w:t xml:space="preserve">Subquery — Customers spending above the average</w:t>
      </w:r>
    </w:p>
    <w:p>
      <w:pPr>
        <w:spacing w:after="120"/>
      </w:pPr>
      <w:r>
        <w:t xml:space="preserve">An inner query totals spend per customer; the outer query compares each customer against the average of those totals, isolating above-average spenders.</w:t>
      </w:r>
    </w:p>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Above-average spenders</w:t>
            </w:r>
          </w:p>
          <w:p>
            <w:pPr>
              <w:spacing w:before="40"/>
            </w:pPr>
            <w:r>
              <w:t xml:space="preserve">22 of 59 customers (about 37%) spend above the average lifetime total of roughly $37-38 — a healthy, broad base of engaged customers rather than revenue concentrated in a tiny few.</w:t>
            </w:r>
          </w:p>
        </w:tc>
      </w:tr>
    </w:tbl>
    <w:p>
      <w:pPr>
        <w:pStyle w:val="Heading3"/>
        <w:spacing w:after="90" w:before="180"/>
      </w:pPr>
      <w:r>
        <w:t xml:space="preserve">Window functions — RANK / ROW_NUMBER and running totals</w:t>
      </w:r>
    </w:p>
    <w:p>
      <w:pPr>
        <w:spacing w:after="120"/>
      </w:pPr>
      <w:r>
        <w:t xml:space="preserve">RANK() and ROW_NUMBER() order customers by total spend; a second query uses SUM() OVER(ORDER BY month) to build a cumulative revenue running total by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Customer</w:t>
            </w:r>
          </w:p>
        </w:tc>
        <w:tc>
          <w:tcPr>
            <w:shd w:fill="2E5C88" w:val="clear"/>
            <w:tcMar>
              <w:top w:type="dxa" w:w="80"/>
              <w:left w:type="dxa" w:w="100"/>
              <w:bottom w:type="dxa" w:w="80"/>
              <w:right w:type="dxa" w:w="100"/>
            </w:tcMar>
          </w:tcPr>
          <w:p>
            <w:r>
              <w:rPr>
                <w:b/>
                <w:bCs/>
                <w:color w:val="FFFFFF"/>
                <w:sz w:val="19"/>
                <w:szCs w:val="19"/>
              </w:rPr>
              <w:t xml:space="preserve">Total Spent</w:t>
            </w:r>
          </w:p>
        </w:tc>
        <w:tc>
          <w:tcPr>
            <w:shd w:fill="2E5C88" w:val="clear"/>
            <w:tcMar>
              <w:top w:type="dxa" w:w="80"/>
              <w:left w:type="dxa" w:w="100"/>
              <w:bottom w:type="dxa" w:w="80"/>
              <w:right w:type="dxa" w:w="100"/>
            </w:tcMar>
          </w:tcPr>
          <w:p>
            <w:r>
              <w:rPr>
                <w:b/>
                <w:bCs/>
                <w:color w:val="FFFFFF"/>
                <w:sz w:val="19"/>
                <w:szCs w:val="19"/>
              </w:rPr>
              <w:t xml:space="preserve">Rank</w:t>
            </w:r>
          </w:p>
        </w:tc>
      </w:tr>
      <w:tr>
        <w:tc>
          <w:tcPr>
            <w:shd w:fill="FFFFFF" w:val="clear"/>
            <w:tcMar>
              <w:top w:type="dxa" w:w="60"/>
              <w:left w:type="dxa" w:w="100"/>
              <w:bottom w:type="dxa" w:w="60"/>
              <w:right w:type="dxa" w:w="100"/>
            </w:tcMar>
          </w:tcPr>
          <w:p>
            <w:r>
              <w:rPr>
                <w:sz w:val="19"/>
                <w:szCs w:val="19"/>
              </w:rPr>
              <w:t xml:space="preserve">Helena Holý</w:t>
            </w:r>
          </w:p>
        </w:tc>
        <w:tc>
          <w:tcPr>
            <w:shd w:fill="FFFFFF" w:val="clear"/>
            <w:tcMar>
              <w:top w:type="dxa" w:w="60"/>
              <w:left w:type="dxa" w:w="100"/>
              <w:bottom w:type="dxa" w:w="60"/>
              <w:right w:type="dxa" w:w="100"/>
            </w:tcMar>
          </w:tcPr>
          <w:p>
            <w:r>
              <w:rPr>
                <w:sz w:val="19"/>
                <w:szCs w:val="19"/>
              </w:rPr>
              <w:t xml:space="preserve">$49.62</w:t>
            </w:r>
          </w:p>
        </w:tc>
        <w:tc>
          <w:tcPr>
            <w:shd w:fill="FFFFFF" w:val="clear"/>
            <w:tcMar>
              <w:top w:type="dxa" w:w="60"/>
              <w:left w:type="dxa" w:w="100"/>
              <w:bottom w:type="dxa" w:w="60"/>
              <w:right w:type="dxa" w:w="100"/>
            </w:tcMar>
          </w:tcPr>
          <w:p>
            <w:r>
              <w:rPr>
                <w:sz w:val="19"/>
                <w:szCs w:val="19"/>
              </w:rPr>
              <w:t xml:space="preserve">1</w:t>
            </w:r>
          </w:p>
        </w:tc>
      </w:tr>
      <w:tr>
        <w:tc>
          <w:tcPr>
            <w:shd w:fill="F5F8FB" w:val="clear"/>
            <w:tcMar>
              <w:top w:type="dxa" w:w="60"/>
              <w:left w:type="dxa" w:w="100"/>
              <w:bottom w:type="dxa" w:w="60"/>
              <w:right w:type="dxa" w:w="100"/>
            </w:tcMar>
          </w:tcPr>
          <w:p>
            <w:r>
              <w:rPr>
                <w:sz w:val="19"/>
                <w:szCs w:val="19"/>
              </w:rPr>
              <w:t xml:space="preserve">Richard Cunningham</w:t>
            </w:r>
          </w:p>
        </w:tc>
        <w:tc>
          <w:tcPr>
            <w:shd w:fill="F5F8FB" w:val="clear"/>
            <w:tcMar>
              <w:top w:type="dxa" w:w="60"/>
              <w:left w:type="dxa" w:w="100"/>
              <w:bottom w:type="dxa" w:w="60"/>
              <w:right w:type="dxa" w:w="100"/>
            </w:tcMar>
          </w:tcPr>
          <w:p>
            <w:r>
              <w:rPr>
                <w:sz w:val="19"/>
                <w:szCs w:val="19"/>
              </w:rPr>
              <w:t xml:space="preserve">$47.62</w:t>
            </w:r>
          </w:p>
        </w:tc>
        <w:tc>
          <w:tcPr>
            <w:shd w:fill="F5F8FB" w:val="clear"/>
            <w:tcMar>
              <w:top w:type="dxa" w:w="60"/>
              <w:left w:type="dxa" w:w="100"/>
              <w:bottom w:type="dxa" w:w="60"/>
              <w:right w:type="dxa" w:w="100"/>
            </w:tcMar>
          </w:tcPr>
          <w:p>
            <w:r>
              <w:rPr>
                <w:sz w:val="19"/>
                <w:szCs w:val="19"/>
              </w:rPr>
              <w:t xml:space="preserve">2</w:t>
            </w:r>
          </w:p>
        </w:tc>
      </w:tr>
      <w:tr>
        <w:tc>
          <w:tcPr>
            <w:shd w:fill="FFFFFF" w:val="clear"/>
            <w:tcMar>
              <w:top w:type="dxa" w:w="60"/>
              <w:left w:type="dxa" w:w="100"/>
              <w:bottom w:type="dxa" w:w="60"/>
              <w:right w:type="dxa" w:w="100"/>
            </w:tcMar>
          </w:tcPr>
          <w:p>
            <w:r>
              <w:rPr>
                <w:sz w:val="19"/>
                <w:szCs w:val="19"/>
              </w:rPr>
              <w:t xml:space="preserve">Luis Rojas</w:t>
            </w:r>
          </w:p>
        </w:tc>
        <w:tc>
          <w:tcPr>
            <w:shd w:fill="FFFFFF" w:val="clear"/>
            <w:tcMar>
              <w:top w:type="dxa" w:w="60"/>
              <w:left w:type="dxa" w:w="100"/>
              <w:bottom w:type="dxa" w:w="60"/>
              <w:right w:type="dxa" w:w="100"/>
            </w:tcMar>
          </w:tcPr>
          <w:p>
            <w:r>
              <w:rPr>
                <w:sz w:val="19"/>
                <w:szCs w:val="19"/>
              </w:rPr>
              <w:t xml:space="preserve">$46.62</w:t>
            </w:r>
          </w:p>
        </w:tc>
        <w:tc>
          <w:tcPr>
            <w:shd w:fill="FFFFFF" w:val="clear"/>
            <w:tcMar>
              <w:top w:type="dxa" w:w="60"/>
              <w:left w:type="dxa" w:w="100"/>
              <w:bottom w:type="dxa" w:w="60"/>
              <w:right w:type="dxa" w:w="100"/>
            </w:tcMar>
          </w:tcPr>
          <w:p>
            <w:r>
              <w:rPr>
                <w:sz w:val="19"/>
                <w:szCs w:val="19"/>
              </w:rPr>
              <w:t xml:space="preserve">3</w:t>
            </w:r>
          </w:p>
        </w:tc>
      </w:tr>
      <w:tr>
        <w:tc>
          <w:tcPr>
            <w:shd w:fill="F5F8FB" w:val="clear"/>
            <w:tcMar>
              <w:top w:type="dxa" w:w="60"/>
              <w:left w:type="dxa" w:w="100"/>
              <w:bottom w:type="dxa" w:w="60"/>
              <w:right w:type="dxa" w:w="100"/>
            </w:tcMar>
          </w:tcPr>
          <w:p>
            <w:r>
              <w:rPr>
                <w:sz w:val="19"/>
                <w:szCs w:val="19"/>
              </w:rPr>
              <w:t xml:space="preserve">Ladislav Kovács</w:t>
            </w:r>
          </w:p>
        </w:tc>
        <w:tc>
          <w:tcPr>
            <w:shd w:fill="F5F8FB" w:val="clear"/>
            <w:tcMar>
              <w:top w:type="dxa" w:w="60"/>
              <w:left w:type="dxa" w:w="100"/>
              <w:bottom w:type="dxa" w:w="60"/>
              <w:right w:type="dxa" w:w="100"/>
            </w:tcMar>
          </w:tcPr>
          <w:p>
            <w:r>
              <w:rPr>
                <w:sz w:val="19"/>
                <w:szCs w:val="19"/>
              </w:rPr>
              <w:t xml:space="preserve">$45.62</w:t>
            </w:r>
          </w:p>
        </w:tc>
        <w:tc>
          <w:tcPr>
            <w:shd w:fill="F5F8FB" w:val="clear"/>
            <w:tcMar>
              <w:top w:type="dxa" w:w="60"/>
              <w:left w:type="dxa" w:w="100"/>
              <w:bottom w:type="dxa" w:w="60"/>
              <w:right w:type="dxa" w:w="100"/>
            </w:tcMar>
          </w:tcPr>
          <w:p>
            <w:r>
              <w:rPr>
                <w:sz w:val="19"/>
                <w:szCs w:val="19"/>
              </w:rPr>
              <w:t xml:space="preserve">4 (tie)</w:t>
            </w:r>
          </w:p>
        </w:tc>
      </w:tr>
      <w:tr>
        <w:tc>
          <w:tcPr>
            <w:shd w:fill="FFFFFF" w:val="clear"/>
            <w:tcMar>
              <w:top w:type="dxa" w:w="60"/>
              <w:left w:type="dxa" w:w="100"/>
              <w:bottom w:type="dxa" w:w="60"/>
              <w:right w:type="dxa" w:w="100"/>
            </w:tcMar>
          </w:tcPr>
          <w:p>
            <w:r>
              <w:rPr>
                <w:sz w:val="19"/>
                <w:szCs w:val="19"/>
              </w:rPr>
              <w:t xml:space="preserve">Hugh O'Reilly</w:t>
            </w:r>
          </w:p>
        </w:tc>
        <w:tc>
          <w:tcPr>
            <w:shd w:fill="FFFFFF" w:val="clear"/>
            <w:tcMar>
              <w:top w:type="dxa" w:w="60"/>
              <w:left w:type="dxa" w:w="100"/>
              <w:bottom w:type="dxa" w:w="60"/>
              <w:right w:type="dxa" w:w="100"/>
            </w:tcMar>
          </w:tcPr>
          <w:p>
            <w:r>
              <w:rPr>
                <w:sz w:val="19"/>
                <w:szCs w:val="19"/>
              </w:rPr>
              <w:t xml:space="preserve">$45.62</w:t>
            </w:r>
          </w:p>
        </w:tc>
        <w:tc>
          <w:tcPr>
            <w:shd w:fill="FFFFFF" w:val="clear"/>
            <w:tcMar>
              <w:top w:type="dxa" w:w="60"/>
              <w:left w:type="dxa" w:w="100"/>
              <w:bottom w:type="dxa" w:w="60"/>
              <w:right w:type="dxa" w:w="100"/>
            </w:tcMar>
          </w:tcPr>
          <w:p>
            <w:r>
              <w:rPr>
                <w:sz w:val="19"/>
                <w:szCs w:val="19"/>
              </w:rPr>
              <w:t xml:space="preserve">4 (tie)</w:t>
            </w:r>
          </w:p>
        </w:tc>
      </w:tr>
    </w:tbl>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Cumulative revenue</w:t>
            </w:r>
          </w:p>
          <w:p>
            <w:pPr>
              <w:spacing w:before="40"/>
            </w:pPr>
            <w:r>
              <w:t xml:space="preserve">Cumulative invoice revenue grew from $35.64 in Jan 2021 to $2,328.60 by Dec 2025 — a steady, near-linear monthly pace of roughly $37-38, with no single month driving disproportionate growth.</w:t>
            </w:r>
          </w:p>
        </w:tc>
      </w:tr>
    </w:tbl>
    <w:p>
      <w:pPr>
        <w:spacing w:after="200"/>
      </w:pPr>
    </w:p>
    <w:p>
      <w:pPr>
        <w:pStyle w:val="Heading2"/>
        <w:spacing w:after="120" w:before="240"/>
      </w:pPr>
      <w:r>
        <w:t xml:space="preserve">4. Business Problem Solving</w:t>
      </w:r>
    </w:p>
    <w:p>
      <w:pPr>
        <w:pStyle w:val="Heading3"/>
        <w:spacing w:after="90" w:before="180"/>
      </w:pPr>
      <w:r>
        <w:t xml:space="preserve">Top-performing genres by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Genre</w:t>
            </w:r>
          </w:p>
        </w:tc>
        <w:tc>
          <w:tcPr>
            <w:shd w:fill="2E5C88" w:val="clear"/>
            <w:tcMar>
              <w:top w:type="dxa" w:w="80"/>
              <w:left w:type="dxa" w:w="100"/>
              <w:bottom w:type="dxa" w:w="80"/>
              <w:right w:type="dxa" w:w="100"/>
            </w:tcMar>
          </w:tcPr>
          <w:p>
            <w:r>
              <w:rPr>
                <w:b/>
                <w:bCs/>
                <w:color w:val="FFFFFF"/>
                <w:sz w:val="19"/>
                <w:szCs w:val="19"/>
              </w:rPr>
              <w:t xml:space="preserve">Revenue</w:t>
            </w:r>
          </w:p>
        </w:tc>
      </w:tr>
      <w:tr>
        <w:tc>
          <w:tcPr>
            <w:shd w:fill="FFFFFF" w:val="clear"/>
            <w:tcMar>
              <w:top w:type="dxa" w:w="60"/>
              <w:left w:type="dxa" w:w="100"/>
              <w:bottom w:type="dxa" w:w="60"/>
              <w:right w:type="dxa" w:w="100"/>
            </w:tcMar>
          </w:tcPr>
          <w:p>
            <w:r>
              <w:rPr>
                <w:sz w:val="19"/>
                <w:szCs w:val="19"/>
              </w:rPr>
              <w:t xml:space="preserve">Rock</w:t>
            </w:r>
          </w:p>
        </w:tc>
        <w:tc>
          <w:tcPr>
            <w:shd w:fill="FFFFFF" w:val="clear"/>
            <w:tcMar>
              <w:top w:type="dxa" w:w="60"/>
              <w:left w:type="dxa" w:w="100"/>
              <w:bottom w:type="dxa" w:w="60"/>
              <w:right w:type="dxa" w:w="100"/>
            </w:tcMar>
          </w:tcPr>
          <w:p>
            <w:r>
              <w:rPr>
                <w:sz w:val="19"/>
                <w:szCs w:val="19"/>
              </w:rPr>
              <w:t xml:space="preserve">$826.65</w:t>
            </w:r>
          </w:p>
        </w:tc>
      </w:tr>
      <w:tr>
        <w:tc>
          <w:tcPr>
            <w:shd w:fill="F5F8FB" w:val="clear"/>
            <w:tcMar>
              <w:top w:type="dxa" w:w="60"/>
              <w:left w:type="dxa" w:w="100"/>
              <w:bottom w:type="dxa" w:w="60"/>
              <w:right w:type="dxa" w:w="100"/>
            </w:tcMar>
          </w:tcPr>
          <w:p>
            <w:r>
              <w:rPr>
                <w:sz w:val="19"/>
                <w:szCs w:val="19"/>
              </w:rPr>
              <w:t xml:space="preserve">Latin</w:t>
            </w:r>
          </w:p>
        </w:tc>
        <w:tc>
          <w:tcPr>
            <w:shd w:fill="F5F8FB" w:val="clear"/>
            <w:tcMar>
              <w:top w:type="dxa" w:w="60"/>
              <w:left w:type="dxa" w:w="100"/>
              <w:bottom w:type="dxa" w:w="60"/>
              <w:right w:type="dxa" w:w="100"/>
            </w:tcMar>
          </w:tcPr>
          <w:p>
            <w:r>
              <w:rPr>
                <w:sz w:val="19"/>
                <w:szCs w:val="19"/>
              </w:rPr>
              <w:t xml:space="preserve">$382.14</w:t>
            </w:r>
          </w:p>
        </w:tc>
      </w:tr>
      <w:tr>
        <w:tc>
          <w:tcPr>
            <w:shd w:fill="FFFFFF" w:val="clear"/>
            <w:tcMar>
              <w:top w:type="dxa" w:w="60"/>
              <w:left w:type="dxa" w:w="100"/>
              <w:bottom w:type="dxa" w:w="60"/>
              <w:right w:type="dxa" w:w="100"/>
            </w:tcMar>
          </w:tcPr>
          <w:p>
            <w:r>
              <w:rPr>
                <w:sz w:val="19"/>
                <w:szCs w:val="19"/>
              </w:rPr>
              <w:t xml:space="preserve">Metal</w:t>
            </w:r>
          </w:p>
        </w:tc>
        <w:tc>
          <w:tcPr>
            <w:shd w:fill="FFFFFF" w:val="clear"/>
            <w:tcMar>
              <w:top w:type="dxa" w:w="60"/>
              <w:left w:type="dxa" w:w="100"/>
              <w:bottom w:type="dxa" w:w="60"/>
              <w:right w:type="dxa" w:w="100"/>
            </w:tcMar>
          </w:tcPr>
          <w:p>
            <w:r>
              <w:rPr>
                <w:sz w:val="19"/>
                <w:szCs w:val="19"/>
              </w:rPr>
              <w:t xml:space="preserve">$261.36</w:t>
            </w:r>
          </w:p>
        </w:tc>
      </w:tr>
      <w:tr>
        <w:tc>
          <w:tcPr>
            <w:shd w:fill="F5F8FB" w:val="clear"/>
            <w:tcMar>
              <w:top w:type="dxa" w:w="60"/>
              <w:left w:type="dxa" w:w="100"/>
              <w:bottom w:type="dxa" w:w="60"/>
              <w:right w:type="dxa" w:w="100"/>
            </w:tcMar>
          </w:tcPr>
          <w:p>
            <w:r>
              <w:rPr>
                <w:sz w:val="19"/>
                <w:szCs w:val="19"/>
              </w:rPr>
              <w:t xml:space="preserve">Alternative &amp; Punk</w:t>
            </w:r>
          </w:p>
        </w:tc>
        <w:tc>
          <w:tcPr>
            <w:shd w:fill="F5F8FB" w:val="clear"/>
            <w:tcMar>
              <w:top w:type="dxa" w:w="60"/>
              <w:left w:type="dxa" w:w="100"/>
              <w:bottom w:type="dxa" w:w="60"/>
              <w:right w:type="dxa" w:w="100"/>
            </w:tcMar>
          </w:tcPr>
          <w:p>
            <w:r>
              <w:rPr>
                <w:sz w:val="19"/>
                <w:szCs w:val="19"/>
              </w:rPr>
              <w:t xml:space="preserve">$241.56</w:t>
            </w:r>
          </w:p>
        </w:tc>
      </w:tr>
    </w:tbl>
    <w:p>
      <w:pPr>
        <w:pStyle w:val="Heading3"/>
        <w:spacing w:after="90" w:before="180"/>
      </w:pPr>
      <w:r>
        <w:t xml:space="preserve">Customer purchasing behavior</w:t>
      </w:r>
    </w:p>
    <w:p>
      <w:pPr>
        <w:spacing w:after="120"/>
      </w:pPr>
      <w:r>
        <w:t xml:space="preserve">Top spenders each place around 7 orders with an average order value between $6-$7, indicating loyalty is driven by purchase frequency rather than large one-off transactions.</w:t>
      </w:r>
    </w:p>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Revenue driver</w:t>
            </w:r>
          </w:p>
          <w:p>
            <w:pPr>
              <w:spacing w:before="40"/>
            </w:pPr>
            <w:r>
              <w:t xml:space="preserve">Rock generates over twice the revenue of the next genre (Latin) and is Chinook's clearest priority for promotions, playlist curation, and stock decisions.</w:t>
            </w:r>
          </w:p>
        </w:tc>
      </w:tr>
    </w:tbl>
    <w:p>
      <w:r>
        <w:br w:type="page"/>
      </w:r>
    </w:p>
    <w:p>
      <w:pPr>
        <w:pStyle w:val="Heading1"/>
        <w:spacing w:after="150" w:before="300"/>
      </w:pPr>
      <w:r>
        <w:t xml:space="preserve">Part B — Sales Dataset (Sample Sales Data)</w:t>
      </w:r>
    </w:p>
    <w:p>
      <w:pPr>
        <w:pStyle w:val="Heading2"/>
        <w:spacing w:after="120" w:before="240"/>
      </w:pPr>
      <w:r>
        <w:t xml:space="preserve">1. Database Setup</w:t>
      </w:r>
    </w:p>
    <w:p>
      <w:pPr>
        <w:spacing w:after="120"/>
      </w:pPr>
      <w:r>
        <w:t xml:space="preserve">The flat sales_data_sample.csv (2,823 order lines, 25 columns) was loaded into a single sales table. A small reference table, country_territory, was derived to demonstrate multi-table joins, since the source file has no separate dimension tables.</w:t>
      </w:r>
    </w:p>
    <w:p>
      <w:pPr>
        <w:pStyle w:val="Heading2"/>
        <w:spacing w:after="120" w:before="240"/>
      </w:pPr>
      <w:r>
        <w:t xml:space="preserve">2. Core SQL Queries</w:t>
      </w:r>
    </w:p>
    <w:p>
      <w:pPr>
        <w:pStyle w:val="Heading3"/>
        <w:spacing w:after="90" w:before="180"/>
      </w:pPr>
      <w:r>
        <w:t xml:space="preserve">SELECT / WHERE / ORDER BY — Large shipped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Order #</w:t>
            </w:r>
          </w:p>
        </w:tc>
        <w:tc>
          <w:tcPr>
            <w:shd w:fill="2E5C88" w:val="clear"/>
            <w:tcMar>
              <w:top w:type="dxa" w:w="80"/>
              <w:left w:type="dxa" w:w="100"/>
              <w:bottom w:type="dxa" w:w="80"/>
              <w:right w:type="dxa" w:w="100"/>
            </w:tcMar>
          </w:tcPr>
          <w:p>
            <w:r>
              <w:rPr>
                <w:b/>
                <w:bCs/>
                <w:color w:val="FFFFFF"/>
                <w:sz w:val="19"/>
                <w:szCs w:val="19"/>
              </w:rPr>
              <w:t xml:space="preserve">Customer</w:t>
            </w:r>
          </w:p>
        </w:tc>
        <w:tc>
          <w:tcPr>
            <w:shd w:fill="2E5C88" w:val="clear"/>
            <w:tcMar>
              <w:top w:type="dxa" w:w="80"/>
              <w:left w:type="dxa" w:w="100"/>
              <w:bottom w:type="dxa" w:w="80"/>
              <w:right w:type="dxa" w:w="100"/>
            </w:tcMar>
          </w:tcPr>
          <w:p>
            <w:r>
              <w:rPr>
                <w:b/>
                <w:bCs/>
                <w:color w:val="FFFFFF"/>
                <w:sz w:val="19"/>
                <w:szCs w:val="19"/>
              </w:rPr>
              <w:t xml:space="preserve">Sales</w:t>
            </w:r>
          </w:p>
        </w:tc>
        <w:tc>
          <w:tcPr>
            <w:shd w:fill="2E5C88" w:val="clear"/>
            <w:tcMar>
              <w:top w:type="dxa" w:w="80"/>
              <w:left w:type="dxa" w:w="100"/>
              <w:bottom w:type="dxa" w:w="80"/>
              <w:right w:type="dxa" w:w="100"/>
            </w:tcMar>
          </w:tcPr>
          <w:p>
            <w:r>
              <w:rPr>
                <w:b/>
                <w:bCs/>
                <w:color w:val="FFFFFF"/>
                <w:sz w:val="19"/>
                <w:szCs w:val="19"/>
              </w:rPr>
              <w:t xml:space="preserve">Status</w:t>
            </w:r>
          </w:p>
        </w:tc>
      </w:tr>
      <w:tr>
        <w:tc>
          <w:tcPr>
            <w:shd w:fill="FFFFFF" w:val="clear"/>
            <w:tcMar>
              <w:top w:type="dxa" w:w="60"/>
              <w:left w:type="dxa" w:w="100"/>
              <w:bottom w:type="dxa" w:w="60"/>
              <w:right w:type="dxa" w:w="100"/>
            </w:tcMar>
          </w:tcPr>
          <w:p>
            <w:r>
              <w:rPr>
                <w:sz w:val="19"/>
                <w:szCs w:val="19"/>
              </w:rPr>
              <w:t xml:space="preserve">10322</w:t>
            </w:r>
          </w:p>
        </w:tc>
        <w:tc>
          <w:tcPr>
            <w:shd w:fill="FFFFFF" w:val="clear"/>
            <w:tcMar>
              <w:top w:type="dxa" w:w="60"/>
              <w:left w:type="dxa" w:w="100"/>
              <w:bottom w:type="dxa" w:w="60"/>
              <w:right w:type="dxa" w:w="100"/>
            </w:tcMar>
          </w:tcPr>
          <w:p>
            <w:r>
              <w:rPr>
                <w:sz w:val="19"/>
                <w:szCs w:val="19"/>
              </w:rPr>
              <w:t xml:space="preserve">Online Diecast Creations Co.</w:t>
            </w:r>
          </w:p>
        </w:tc>
        <w:tc>
          <w:tcPr>
            <w:shd w:fill="FFFFFF" w:val="clear"/>
            <w:tcMar>
              <w:top w:type="dxa" w:w="60"/>
              <w:left w:type="dxa" w:w="100"/>
              <w:bottom w:type="dxa" w:w="60"/>
              <w:right w:type="dxa" w:w="100"/>
            </w:tcMar>
          </w:tcPr>
          <w:p>
            <w:r>
              <w:rPr>
                <w:sz w:val="19"/>
                <w:szCs w:val="19"/>
              </w:rPr>
              <w:t xml:space="preserve">$12,536.50</w:t>
            </w:r>
          </w:p>
        </w:tc>
        <w:tc>
          <w:tcPr>
            <w:shd w:fill="FFFFFF" w:val="clear"/>
            <w:tcMar>
              <w:top w:type="dxa" w:w="60"/>
              <w:left w:type="dxa" w:w="100"/>
              <w:bottom w:type="dxa" w:w="60"/>
              <w:right w:type="dxa" w:w="100"/>
            </w:tcMar>
          </w:tcPr>
          <w:p>
            <w:r>
              <w:rPr>
                <w:sz w:val="19"/>
                <w:szCs w:val="19"/>
              </w:rPr>
              <w:t xml:space="preserve">Shipped</w:t>
            </w:r>
          </w:p>
        </w:tc>
      </w:tr>
      <w:tr>
        <w:tc>
          <w:tcPr>
            <w:shd w:fill="F5F8FB" w:val="clear"/>
            <w:tcMar>
              <w:top w:type="dxa" w:w="60"/>
              <w:left w:type="dxa" w:w="100"/>
              <w:bottom w:type="dxa" w:w="60"/>
              <w:right w:type="dxa" w:w="100"/>
            </w:tcMar>
          </w:tcPr>
          <w:p>
            <w:r>
              <w:rPr>
                <w:sz w:val="19"/>
                <w:szCs w:val="19"/>
              </w:rPr>
              <w:t xml:space="preserve">10412</w:t>
            </w:r>
          </w:p>
        </w:tc>
        <w:tc>
          <w:tcPr>
            <w:shd w:fill="F5F8FB" w:val="clear"/>
            <w:tcMar>
              <w:top w:type="dxa" w:w="60"/>
              <w:left w:type="dxa" w:w="100"/>
              <w:bottom w:type="dxa" w:w="60"/>
              <w:right w:type="dxa" w:w="100"/>
            </w:tcMar>
          </w:tcPr>
          <w:p>
            <w:r>
              <w:rPr>
                <w:sz w:val="19"/>
                <w:szCs w:val="19"/>
              </w:rPr>
              <w:t xml:space="preserve">Euro Shopping Channel</w:t>
            </w:r>
          </w:p>
        </w:tc>
        <w:tc>
          <w:tcPr>
            <w:shd w:fill="F5F8FB" w:val="clear"/>
            <w:tcMar>
              <w:top w:type="dxa" w:w="60"/>
              <w:left w:type="dxa" w:w="100"/>
              <w:bottom w:type="dxa" w:w="60"/>
              <w:right w:type="dxa" w:w="100"/>
            </w:tcMar>
          </w:tcPr>
          <w:p>
            <w:r>
              <w:rPr>
                <w:sz w:val="19"/>
                <w:szCs w:val="19"/>
              </w:rPr>
              <w:t xml:space="preserve">$11,887.80</w:t>
            </w:r>
          </w:p>
        </w:tc>
        <w:tc>
          <w:tcPr>
            <w:shd w:fill="F5F8FB" w:val="clear"/>
            <w:tcMar>
              <w:top w:type="dxa" w:w="60"/>
              <w:left w:type="dxa" w:w="100"/>
              <w:bottom w:type="dxa" w:w="60"/>
              <w:right w:type="dxa" w:w="100"/>
            </w:tcMar>
          </w:tcPr>
          <w:p>
            <w:r>
              <w:rPr>
                <w:sz w:val="19"/>
                <w:szCs w:val="19"/>
              </w:rPr>
              <w:t xml:space="preserve">Shipped</w:t>
            </w:r>
          </w:p>
        </w:tc>
      </w:tr>
      <w:tr>
        <w:tc>
          <w:tcPr>
            <w:shd w:fill="FFFFFF" w:val="clear"/>
            <w:tcMar>
              <w:top w:type="dxa" w:w="60"/>
              <w:left w:type="dxa" w:w="100"/>
              <w:bottom w:type="dxa" w:w="60"/>
              <w:right w:type="dxa" w:w="100"/>
            </w:tcMar>
          </w:tcPr>
          <w:p>
            <w:r>
              <w:rPr>
                <w:sz w:val="19"/>
                <w:szCs w:val="19"/>
              </w:rPr>
              <w:t xml:space="preserve">10403</w:t>
            </w:r>
          </w:p>
        </w:tc>
        <w:tc>
          <w:tcPr>
            <w:shd w:fill="FFFFFF" w:val="clear"/>
            <w:tcMar>
              <w:top w:type="dxa" w:w="60"/>
              <w:left w:type="dxa" w:w="100"/>
              <w:bottom w:type="dxa" w:w="60"/>
              <w:right w:type="dxa" w:w="100"/>
            </w:tcMar>
          </w:tcPr>
          <w:p>
            <w:r>
              <w:rPr>
                <w:sz w:val="19"/>
                <w:szCs w:val="19"/>
              </w:rPr>
              <w:t xml:space="preserve">UK Collectables, Ltd.</w:t>
            </w:r>
          </w:p>
        </w:tc>
        <w:tc>
          <w:tcPr>
            <w:shd w:fill="FFFFFF" w:val="clear"/>
            <w:tcMar>
              <w:top w:type="dxa" w:w="60"/>
              <w:left w:type="dxa" w:w="100"/>
              <w:bottom w:type="dxa" w:w="60"/>
              <w:right w:type="dxa" w:w="100"/>
            </w:tcMar>
          </w:tcPr>
          <w:p>
            <w:r>
              <w:rPr>
                <w:sz w:val="19"/>
                <w:szCs w:val="19"/>
              </w:rPr>
              <w:t xml:space="preserve">$11,886.60</w:t>
            </w:r>
          </w:p>
        </w:tc>
        <w:tc>
          <w:tcPr>
            <w:shd w:fill="FFFFFF" w:val="clear"/>
            <w:tcMar>
              <w:top w:type="dxa" w:w="60"/>
              <w:left w:type="dxa" w:w="100"/>
              <w:bottom w:type="dxa" w:w="60"/>
              <w:right w:type="dxa" w:w="100"/>
            </w:tcMar>
          </w:tcPr>
          <w:p>
            <w:r>
              <w:rPr>
                <w:sz w:val="19"/>
                <w:szCs w:val="19"/>
              </w:rPr>
              <w:t xml:space="preserve">Shipped</w:t>
            </w:r>
          </w:p>
        </w:tc>
      </w:tr>
    </w:tbl>
    <w:p>
      <w:pPr>
        <w:pStyle w:val="Heading3"/>
        <w:spacing w:after="90" w:before="180"/>
      </w:pPr>
      <w:r>
        <w:t xml:space="preserve">GROUP BY / HAVING — Product lines above $500K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Product Line</w:t>
            </w:r>
          </w:p>
        </w:tc>
        <w:tc>
          <w:tcPr>
            <w:shd w:fill="2E5C88" w:val="clear"/>
            <w:tcMar>
              <w:top w:type="dxa" w:w="80"/>
              <w:left w:type="dxa" w:w="100"/>
              <w:bottom w:type="dxa" w:w="80"/>
              <w:right w:type="dxa" w:w="100"/>
            </w:tcMar>
          </w:tcPr>
          <w:p>
            <w:r>
              <w:rPr>
                <w:b/>
                <w:bCs/>
                <w:color w:val="FFFFFF"/>
                <w:sz w:val="19"/>
                <w:szCs w:val="19"/>
              </w:rPr>
              <w:t xml:space="preserve">Revenue</w:t>
            </w:r>
          </w:p>
        </w:tc>
        <w:tc>
          <w:tcPr>
            <w:shd w:fill="2E5C88" w:val="clear"/>
            <w:tcMar>
              <w:top w:type="dxa" w:w="80"/>
              <w:left w:type="dxa" w:w="100"/>
              <w:bottom w:type="dxa" w:w="80"/>
              <w:right w:type="dxa" w:w="100"/>
            </w:tcMar>
          </w:tcPr>
          <w:p>
            <w:r>
              <w:rPr>
                <w:b/>
                <w:bCs/>
                <w:color w:val="FFFFFF"/>
                <w:sz w:val="19"/>
                <w:szCs w:val="19"/>
              </w:rPr>
              <w:t xml:space="preserve">Order Lines</w:t>
            </w:r>
          </w:p>
        </w:tc>
      </w:tr>
      <w:tr>
        <w:tc>
          <w:tcPr>
            <w:shd w:fill="FFFFFF" w:val="clear"/>
            <w:tcMar>
              <w:top w:type="dxa" w:w="60"/>
              <w:left w:type="dxa" w:w="100"/>
              <w:bottom w:type="dxa" w:w="60"/>
              <w:right w:type="dxa" w:w="100"/>
            </w:tcMar>
          </w:tcPr>
          <w:p>
            <w:r>
              <w:rPr>
                <w:sz w:val="19"/>
                <w:szCs w:val="19"/>
              </w:rPr>
              <w:t xml:space="preserve">Classic Cars</w:t>
            </w:r>
          </w:p>
        </w:tc>
        <w:tc>
          <w:tcPr>
            <w:shd w:fill="FFFFFF" w:val="clear"/>
            <w:tcMar>
              <w:top w:type="dxa" w:w="60"/>
              <w:left w:type="dxa" w:w="100"/>
              <w:bottom w:type="dxa" w:w="60"/>
              <w:right w:type="dxa" w:w="100"/>
            </w:tcMar>
          </w:tcPr>
          <w:p>
            <w:r>
              <w:rPr>
                <w:sz w:val="19"/>
                <w:szCs w:val="19"/>
              </w:rPr>
              <w:t xml:space="preserve">$3,919,615.66</w:t>
            </w:r>
          </w:p>
        </w:tc>
        <w:tc>
          <w:tcPr>
            <w:shd w:fill="FFFFFF" w:val="clear"/>
            <w:tcMar>
              <w:top w:type="dxa" w:w="60"/>
              <w:left w:type="dxa" w:w="100"/>
              <w:bottom w:type="dxa" w:w="60"/>
              <w:right w:type="dxa" w:w="100"/>
            </w:tcMar>
          </w:tcPr>
          <w:p>
            <w:r>
              <w:rPr>
                <w:sz w:val="19"/>
                <w:szCs w:val="19"/>
              </w:rPr>
              <w:t xml:space="preserve">967</w:t>
            </w:r>
          </w:p>
        </w:tc>
      </w:tr>
      <w:tr>
        <w:tc>
          <w:tcPr>
            <w:shd w:fill="F5F8FB" w:val="clear"/>
            <w:tcMar>
              <w:top w:type="dxa" w:w="60"/>
              <w:left w:type="dxa" w:w="100"/>
              <w:bottom w:type="dxa" w:w="60"/>
              <w:right w:type="dxa" w:w="100"/>
            </w:tcMar>
          </w:tcPr>
          <w:p>
            <w:r>
              <w:rPr>
                <w:sz w:val="19"/>
                <w:szCs w:val="19"/>
              </w:rPr>
              <w:t xml:space="preserve">Vintage Cars</w:t>
            </w:r>
          </w:p>
        </w:tc>
        <w:tc>
          <w:tcPr>
            <w:shd w:fill="F5F8FB" w:val="clear"/>
            <w:tcMar>
              <w:top w:type="dxa" w:w="60"/>
              <w:left w:type="dxa" w:w="100"/>
              <w:bottom w:type="dxa" w:w="60"/>
              <w:right w:type="dxa" w:w="100"/>
            </w:tcMar>
          </w:tcPr>
          <w:p>
            <w:r>
              <w:rPr>
                <w:sz w:val="19"/>
                <w:szCs w:val="19"/>
              </w:rPr>
              <w:t xml:space="preserve">$1,903,150.84</w:t>
            </w:r>
          </w:p>
        </w:tc>
        <w:tc>
          <w:tcPr>
            <w:shd w:fill="F5F8FB" w:val="clear"/>
            <w:tcMar>
              <w:top w:type="dxa" w:w="60"/>
              <w:left w:type="dxa" w:w="100"/>
              <w:bottom w:type="dxa" w:w="60"/>
              <w:right w:type="dxa" w:w="100"/>
            </w:tcMar>
          </w:tcPr>
          <w:p>
            <w:r>
              <w:rPr>
                <w:sz w:val="19"/>
                <w:szCs w:val="19"/>
              </w:rPr>
              <w:t xml:space="preserve">607</w:t>
            </w:r>
          </w:p>
        </w:tc>
      </w:tr>
      <w:tr>
        <w:tc>
          <w:tcPr>
            <w:shd w:fill="FFFFFF" w:val="clear"/>
            <w:tcMar>
              <w:top w:type="dxa" w:w="60"/>
              <w:left w:type="dxa" w:w="100"/>
              <w:bottom w:type="dxa" w:w="60"/>
              <w:right w:type="dxa" w:w="100"/>
            </w:tcMar>
          </w:tcPr>
          <w:p>
            <w:r>
              <w:rPr>
                <w:sz w:val="19"/>
                <w:szCs w:val="19"/>
              </w:rPr>
              <w:t xml:space="preserve">Motorcycles</w:t>
            </w:r>
          </w:p>
        </w:tc>
        <w:tc>
          <w:tcPr>
            <w:shd w:fill="FFFFFF" w:val="clear"/>
            <w:tcMar>
              <w:top w:type="dxa" w:w="60"/>
              <w:left w:type="dxa" w:w="100"/>
              <w:bottom w:type="dxa" w:w="60"/>
              <w:right w:type="dxa" w:w="100"/>
            </w:tcMar>
          </w:tcPr>
          <w:p>
            <w:r>
              <w:rPr>
                <w:sz w:val="19"/>
                <w:szCs w:val="19"/>
              </w:rPr>
              <w:t xml:space="preserve">$1,166,388.34</w:t>
            </w:r>
          </w:p>
        </w:tc>
        <w:tc>
          <w:tcPr>
            <w:shd w:fill="FFFFFF" w:val="clear"/>
            <w:tcMar>
              <w:top w:type="dxa" w:w="60"/>
              <w:left w:type="dxa" w:w="100"/>
              <w:bottom w:type="dxa" w:w="60"/>
              <w:right w:type="dxa" w:w="100"/>
            </w:tcMar>
          </w:tcPr>
          <w:p>
            <w:r>
              <w:rPr>
                <w:sz w:val="19"/>
                <w:szCs w:val="19"/>
              </w:rPr>
              <w:t xml:space="preserve">331</w:t>
            </w:r>
          </w:p>
        </w:tc>
      </w:tr>
      <w:tr>
        <w:tc>
          <w:tcPr>
            <w:shd w:fill="F5F8FB" w:val="clear"/>
            <w:tcMar>
              <w:top w:type="dxa" w:w="60"/>
              <w:left w:type="dxa" w:w="100"/>
              <w:bottom w:type="dxa" w:w="60"/>
              <w:right w:type="dxa" w:w="100"/>
            </w:tcMar>
          </w:tcPr>
          <w:p>
            <w:r>
              <w:rPr>
                <w:sz w:val="19"/>
                <w:szCs w:val="19"/>
              </w:rPr>
              <w:t xml:space="preserve">Trucks and Buses</w:t>
            </w:r>
          </w:p>
        </w:tc>
        <w:tc>
          <w:tcPr>
            <w:shd w:fill="F5F8FB" w:val="clear"/>
            <w:tcMar>
              <w:top w:type="dxa" w:w="60"/>
              <w:left w:type="dxa" w:w="100"/>
              <w:bottom w:type="dxa" w:w="60"/>
              <w:right w:type="dxa" w:w="100"/>
            </w:tcMar>
          </w:tcPr>
          <w:p>
            <w:r>
              <w:rPr>
                <w:sz w:val="19"/>
                <w:szCs w:val="19"/>
              </w:rPr>
              <w:t xml:space="preserve">$1,127,789.84</w:t>
            </w:r>
          </w:p>
        </w:tc>
        <w:tc>
          <w:tcPr>
            <w:shd w:fill="F5F8FB" w:val="clear"/>
            <w:tcMar>
              <w:top w:type="dxa" w:w="60"/>
              <w:left w:type="dxa" w:w="100"/>
              <w:bottom w:type="dxa" w:w="60"/>
              <w:right w:type="dxa" w:w="100"/>
            </w:tcMar>
          </w:tcPr>
          <w:p>
            <w:r>
              <w:rPr>
                <w:sz w:val="19"/>
                <w:szCs w:val="19"/>
              </w:rPr>
              <w:t xml:space="preserve">301</w:t>
            </w:r>
          </w:p>
        </w:tc>
      </w:tr>
      <w:tr>
        <w:tc>
          <w:tcPr>
            <w:shd w:fill="FFFFFF" w:val="clear"/>
            <w:tcMar>
              <w:top w:type="dxa" w:w="60"/>
              <w:left w:type="dxa" w:w="100"/>
              <w:bottom w:type="dxa" w:w="60"/>
              <w:right w:type="dxa" w:w="100"/>
            </w:tcMar>
          </w:tcPr>
          <w:p>
            <w:r>
              <w:rPr>
                <w:sz w:val="19"/>
                <w:szCs w:val="19"/>
              </w:rPr>
              <w:t xml:space="preserve">Planes</w:t>
            </w:r>
          </w:p>
        </w:tc>
        <w:tc>
          <w:tcPr>
            <w:shd w:fill="FFFFFF" w:val="clear"/>
            <w:tcMar>
              <w:top w:type="dxa" w:w="60"/>
              <w:left w:type="dxa" w:w="100"/>
              <w:bottom w:type="dxa" w:w="60"/>
              <w:right w:type="dxa" w:w="100"/>
            </w:tcMar>
          </w:tcPr>
          <w:p>
            <w:r>
              <w:rPr>
                <w:sz w:val="19"/>
                <w:szCs w:val="19"/>
              </w:rPr>
              <w:t xml:space="preserve">$975,003.57</w:t>
            </w:r>
          </w:p>
        </w:tc>
        <w:tc>
          <w:tcPr>
            <w:shd w:fill="FFFFFF" w:val="clear"/>
            <w:tcMar>
              <w:top w:type="dxa" w:w="60"/>
              <w:left w:type="dxa" w:w="100"/>
              <w:bottom w:type="dxa" w:w="60"/>
              <w:right w:type="dxa" w:w="100"/>
            </w:tcMar>
          </w:tcPr>
          <w:p>
            <w:r>
              <w:rPr>
                <w:sz w:val="19"/>
                <w:szCs w:val="19"/>
              </w:rPr>
              <w:t xml:space="preserve">306</w:t>
            </w:r>
          </w:p>
        </w:tc>
      </w:tr>
      <w:tr>
        <w:tc>
          <w:tcPr>
            <w:shd w:fill="F5F8FB" w:val="clear"/>
            <w:tcMar>
              <w:top w:type="dxa" w:w="60"/>
              <w:left w:type="dxa" w:w="100"/>
              <w:bottom w:type="dxa" w:w="60"/>
              <w:right w:type="dxa" w:w="100"/>
            </w:tcMar>
          </w:tcPr>
          <w:p>
            <w:r>
              <w:rPr>
                <w:sz w:val="19"/>
                <w:szCs w:val="19"/>
              </w:rPr>
              <w:t xml:space="preserve">Ships</w:t>
            </w:r>
          </w:p>
        </w:tc>
        <w:tc>
          <w:tcPr>
            <w:shd w:fill="F5F8FB" w:val="clear"/>
            <w:tcMar>
              <w:top w:type="dxa" w:w="60"/>
              <w:left w:type="dxa" w:w="100"/>
              <w:bottom w:type="dxa" w:w="60"/>
              <w:right w:type="dxa" w:w="100"/>
            </w:tcMar>
          </w:tcPr>
          <w:p>
            <w:r>
              <w:rPr>
                <w:sz w:val="19"/>
                <w:szCs w:val="19"/>
              </w:rPr>
              <w:t xml:space="preserve">$714,437.13</w:t>
            </w:r>
          </w:p>
        </w:tc>
        <w:tc>
          <w:tcPr>
            <w:shd w:fill="F5F8FB" w:val="clear"/>
            <w:tcMar>
              <w:top w:type="dxa" w:w="60"/>
              <w:left w:type="dxa" w:w="100"/>
              <w:bottom w:type="dxa" w:w="60"/>
              <w:right w:type="dxa" w:w="100"/>
            </w:tcMar>
          </w:tcPr>
          <w:p>
            <w:r>
              <w:rPr>
                <w:sz w:val="19"/>
                <w:szCs w:val="19"/>
              </w:rPr>
              <w:t xml:space="preserve">234</w:t>
            </w:r>
          </w:p>
        </w:tc>
      </w:tr>
    </w:tbl>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Product mix</w:t>
            </w:r>
          </w:p>
          <w:p>
            <w:pPr>
              <w:spacing w:before="40"/>
            </w:pPr>
            <w:r>
              <w:t xml:space="preserve">Classic Cars alone brings in $3.92M — more than double the next line (Vintage Cars) and about 39% of total company revenue. It is the flagship product line by a wide margin.</w:t>
            </w:r>
          </w:p>
        </w:tc>
      </w:tr>
    </w:tbl>
    <w:p>
      <w:pPr>
        <w:pStyle w:val="Heading3"/>
        <w:spacing w:after="90" w:before="180"/>
      </w:pPr>
      <w:r>
        <w:t xml:space="preserve">Aggregates — Quarterly revenue trend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Year</w:t>
            </w:r>
          </w:p>
        </w:tc>
        <w:tc>
          <w:tcPr>
            <w:shd w:fill="2E5C88" w:val="clear"/>
            <w:tcMar>
              <w:top w:type="dxa" w:w="80"/>
              <w:left w:type="dxa" w:w="100"/>
              <w:bottom w:type="dxa" w:w="80"/>
              <w:right w:type="dxa" w:w="100"/>
            </w:tcMar>
          </w:tcPr>
          <w:p>
            <w:r>
              <w:rPr>
                <w:b/>
                <w:bCs/>
                <w:color w:val="FFFFFF"/>
                <w:sz w:val="19"/>
                <w:szCs w:val="19"/>
              </w:rPr>
              <w:t xml:space="preserve">Quarter</w:t>
            </w:r>
          </w:p>
        </w:tc>
        <w:tc>
          <w:tcPr>
            <w:shd w:fill="2E5C88" w:val="clear"/>
            <w:tcMar>
              <w:top w:type="dxa" w:w="80"/>
              <w:left w:type="dxa" w:w="100"/>
              <w:bottom w:type="dxa" w:w="80"/>
              <w:right w:type="dxa" w:w="100"/>
            </w:tcMar>
          </w:tcPr>
          <w:p>
            <w:r>
              <w:rPr>
                <w:b/>
                <w:bCs/>
                <w:color w:val="FFFFFF"/>
                <w:sz w:val="19"/>
                <w:szCs w:val="19"/>
              </w:rPr>
              <w:t xml:space="preserve">Revenue</w:t>
            </w:r>
          </w:p>
        </w:tc>
        <w:tc>
          <w:tcPr>
            <w:shd w:fill="2E5C88" w:val="clear"/>
            <w:tcMar>
              <w:top w:type="dxa" w:w="80"/>
              <w:left w:type="dxa" w:w="100"/>
              <w:bottom w:type="dxa" w:w="80"/>
              <w:right w:type="dxa" w:w="100"/>
            </w:tcMar>
          </w:tcPr>
          <w:p>
            <w:r>
              <w:rPr>
                <w:b/>
                <w:bCs/>
                <w:color w:val="FFFFFF"/>
                <w:sz w:val="19"/>
                <w:szCs w:val="19"/>
              </w:rPr>
              <w:t xml:space="preserve">Orders</w:t>
            </w:r>
          </w:p>
        </w:tc>
      </w:tr>
      <w:tr>
        <w:tc>
          <w:tcPr>
            <w:shd w:fill="FFFFFF" w:val="clear"/>
            <w:tcMar>
              <w:top w:type="dxa" w:w="60"/>
              <w:left w:type="dxa" w:w="100"/>
              <w:bottom w:type="dxa" w:w="60"/>
              <w:right w:type="dxa" w:w="100"/>
            </w:tcMar>
          </w:tcPr>
          <w:p>
            <w:r>
              <w:rPr>
                <w:sz w:val="19"/>
                <w:szCs w:val="19"/>
              </w:rPr>
              <w:t xml:space="preserve">2003</w:t>
            </w:r>
          </w:p>
        </w:tc>
        <w:tc>
          <w:tcPr>
            <w:shd w:fill="FFFFFF" w:val="clear"/>
            <w:tcMar>
              <w:top w:type="dxa" w:w="60"/>
              <w:left w:type="dxa" w:w="100"/>
              <w:bottom w:type="dxa" w:w="60"/>
              <w:right w:type="dxa" w:w="100"/>
            </w:tcMar>
          </w:tcPr>
          <w:p>
            <w:r>
              <w:rPr>
                <w:sz w:val="19"/>
                <w:szCs w:val="19"/>
              </w:rPr>
              <w:t xml:space="preserve">Q4</w:t>
            </w:r>
          </w:p>
        </w:tc>
        <w:tc>
          <w:tcPr>
            <w:shd w:fill="FFFFFF" w:val="clear"/>
            <w:tcMar>
              <w:top w:type="dxa" w:w="60"/>
              <w:left w:type="dxa" w:w="100"/>
              <w:bottom w:type="dxa" w:w="60"/>
              <w:right w:type="dxa" w:w="100"/>
            </w:tcMar>
          </w:tcPr>
          <w:p>
            <w:r>
              <w:rPr>
                <w:sz w:val="19"/>
                <w:szCs w:val="19"/>
              </w:rPr>
              <w:t xml:space="preserve">$1,860,005.09</w:t>
            </w:r>
          </w:p>
        </w:tc>
        <w:tc>
          <w:tcPr>
            <w:shd w:fill="FFFFFF" w:val="clear"/>
            <w:tcMar>
              <w:top w:type="dxa" w:w="60"/>
              <w:left w:type="dxa" w:w="100"/>
              <w:bottom w:type="dxa" w:w="60"/>
              <w:right w:type="dxa" w:w="100"/>
            </w:tcMar>
          </w:tcPr>
          <w:p>
            <w:r>
              <w:rPr>
                <w:sz w:val="19"/>
                <w:szCs w:val="19"/>
              </w:rPr>
              <w:t xml:space="preserve">52</w:t>
            </w:r>
          </w:p>
        </w:tc>
      </w:tr>
      <w:tr>
        <w:tc>
          <w:tcPr>
            <w:shd w:fill="F5F8FB" w:val="clear"/>
            <w:tcMar>
              <w:top w:type="dxa" w:w="60"/>
              <w:left w:type="dxa" w:w="100"/>
              <w:bottom w:type="dxa" w:w="60"/>
              <w:right w:type="dxa" w:w="100"/>
            </w:tcMar>
          </w:tcPr>
          <w:p>
            <w:r>
              <w:rPr>
                <w:sz w:val="19"/>
                <w:szCs w:val="19"/>
              </w:rPr>
              <w:t xml:space="preserve">2004</w:t>
            </w:r>
          </w:p>
        </w:tc>
        <w:tc>
          <w:tcPr>
            <w:shd w:fill="F5F8FB" w:val="clear"/>
            <w:tcMar>
              <w:top w:type="dxa" w:w="60"/>
              <w:left w:type="dxa" w:w="100"/>
              <w:bottom w:type="dxa" w:w="60"/>
              <w:right w:type="dxa" w:w="100"/>
            </w:tcMar>
          </w:tcPr>
          <w:p>
            <w:r>
              <w:rPr>
                <w:sz w:val="19"/>
                <w:szCs w:val="19"/>
              </w:rPr>
              <w:t xml:space="preserve">Q4</w:t>
            </w:r>
          </w:p>
        </w:tc>
        <w:tc>
          <w:tcPr>
            <w:shd w:fill="F5F8FB" w:val="clear"/>
            <w:tcMar>
              <w:top w:type="dxa" w:w="60"/>
              <w:left w:type="dxa" w:w="100"/>
              <w:bottom w:type="dxa" w:w="60"/>
              <w:right w:type="dxa" w:w="100"/>
            </w:tcMar>
          </w:tcPr>
          <w:p>
            <w:r>
              <w:rPr>
                <w:sz w:val="19"/>
                <w:szCs w:val="19"/>
              </w:rPr>
              <w:t xml:space="preserve">$2,014,774.92</w:t>
            </w:r>
          </w:p>
        </w:tc>
        <w:tc>
          <w:tcPr>
            <w:shd w:fill="F5F8FB" w:val="clear"/>
            <w:tcMar>
              <w:top w:type="dxa" w:w="60"/>
              <w:left w:type="dxa" w:w="100"/>
              <w:bottom w:type="dxa" w:w="60"/>
              <w:right w:type="dxa" w:w="100"/>
            </w:tcMar>
          </w:tcPr>
          <w:p>
            <w:r>
              <w:rPr>
                <w:sz w:val="19"/>
                <w:szCs w:val="19"/>
              </w:rPr>
              <w:t xml:space="preserve">57</w:t>
            </w:r>
          </w:p>
        </w:tc>
      </w:tr>
      <w:tr>
        <w:tc>
          <w:tcPr>
            <w:shd w:fill="FFFFFF" w:val="clear"/>
            <w:tcMar>
              <w:top w:type="dxa" w:w="60"/>
              <w:left w:type="dxa" w:w="100"/>
              <w:bottom w:type="dxa" w:w="60"/>
              <w:right w:type="dxa" w:w="100"/>
            </w:tcMar>
          </w:tcPr>
          <w:p>
            <w:r>
              <w:rPr>
                <w:sz w:val="19"/>
                <w:szCs w:val="19"/>
              </w:rPr>
              <w:t xml:space="preserve">2005</w:t>
            </w:r>
          </w:p>
        </w:tc>
        <w:tc>
          <w:tcPr>
            <w:shd w:fill="FFFFFF" w:val="clear"/>
            <w:tcMar>
              <w:top w:type="dxa" w:w="60"/>
              <w:left w:type="dxa" w:w="100"/>
              <w:bottom w:type="dxa" w:w="60"/>
              <w:right w:type="dxa" w:w="100"/>
            </w:tcMar>
          </w:tcPr>
          <w:p>
            <w:r>
              <w:rPr>
                <w:sz w:val="19"/>
                <w:szCs w:val="19"/>
              </w:rPr>
              <w:t xml:space="preserve">Q1</w:t>
            </w:r>
          </w:p>
        </w:tc>
        <w:tc>
          <w:tcPr>
            <w:shd w:fill="FFFFFF" w:val="clear"/>
            <w:tcMar>
              <w:top w:type="dxa" w:w="60"/>
              <w:left w:type="dxa" w:w="100"/>
              <w:bottom w:type="dxa" w:w="60"/>
              <w:right w:type="dxa" w:w="100"/>
            </w:tcMar>
          </w:tcPr>
          <w:p>
            <w:r>
              <w:rPr>
                <w:sz w:val="19"/>
                <w:szCs w:val="19"/>
              </w:rPr>
              <w:t xml:space="preserve">$1,071,992.36</w:t>
            </w:r>
          </w:p>
        </w:tc>
        <w:tc>
          <w:tcPr>
            <w:shd w:fill="FFFFFF" w:val="clear"/>
            <w:tcMar>
              <w:top w:type="dxa" w:w="60"/>
              <w:left w:type="dxa" w:w="100"/>
              <w:bottom w:type="dxa" w:w="60"/>
              <w:right w:type="dxa" w:w="100"/>
            </w:tcMar>
          </w:tcPr>
          <w:p>
            <w:r>
              <w:rPr>
                <w:sz w:val="19"/>
                <w:szCs w:val="19"/>
              </w:rPr>
              <w:t xml:space="preserve">36</w:t>
            </w:r>
          </w:p>
        </w:tc>
      </w:tr>
    </w:tbl>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Seasonality</w:t>
            </w:r>
          </w:p>
          <w:p>
            <w:pPr>
              <w:spacing w:before="40"/>
            </w:pPr>
            <w:r>
              <w:t xml:space="preserve">Q4 is consistently the strongest quarter each year (2003 and 2004 both peak in Q4, roughly 3x an average quarter) — a clear holiday-season buying pattern worth planning inventory and staffing around.</w:t>
            </w:r>
          </w:p>
        </w:tc>
      </w:tr>
    </w:tbl>
    <w:p>
      <w:pPr>
        <w:spacing w:after="200"/>
      </w:pPr>
    </w:p>
    <w:p>
      <w:pPr>
        <w:pStyle w:val="Heading2"/>
        <w:spacing w:after="120" w:before="240"/>
      </w:pPr>
      <w:r>
        <w:t xml:space="preserve">3. Advanced SQL Concepts</w:t>
      </w:r>
    </w:p>
    <w:p>
      <w:pPr>
        <w:pStyle w:val="Heading3"/>
        <w:spacing w:after="90" w:before="180"/>
      </w:pPr>
      <w:r>
        <w:t xml:space="preserve">INNER JOIN — Sales matched to a known territory</w:t>
      </w:r>
    </w:p>
    <w:p>
      <w:pPr>
        <w:spacing w:after="120"/>
      </w:pPr>
      <w:r>
        <w:t xml:space="preserve">Matches order rows only to countries present in the territory reference table, excluding the USA (which has no TERRITORY value in the source data).</w:t>
      </w:r>
    </w:p>
    <w:p>
      <w:pPr>
        <w:pStyle w:val="Heading3"/>
        <w:spacing w:after="90" w:before="180"/>
      </w:pPr>
      <w:r>
        <w:t xml:space="preserve">LEFT JOIN — All sales, including unmapped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Country</w:t>
            </w:r>
          </w:p>
        </w:tc>
        <w:tc>
          <w:tcPr>
            <w:shd w:fill="2E5C88" w:val="clear"/>
            <w:tcMar>
              <w:top w:type="dxa" w:w="80"/>
              <w:left w:type="dxa" w:w="100"/>
              <w:bottom w:type="dxa" w:w="80"/>
              <w:right w:type="dxa" w:w="100"/>
            </w:tcMar>
          </w:tcPr>
          <w:p>
            <w:r>
              <w:rPr>
                <w:b/>
                <w:bCs/>
                <w:color w:val="FFFFFF"/>
                <w:sz w:val="19"/>
                <w:szCs w:val="19"/>
              </w:rPr>
              <w:t xml:space="preserve">Territory</w:t>
            </w:r>
          </w:p>
        </w:tc>
        <w:tc>
          <w:tcPr>
            <w:shd w:fill="2E5C88" w:val="clear"/>
            <w:tcMar>
              <w:top w:type="dxa" w:w="80"/>
              <w:left w:type="dxa" w:w="100"/>
              <w:bottom w:type="dxa" w:w="80"/>
              <w:right w:type="dxa" w:w="100"/>
            </w:tcMar>
          </w:tcPr>
          <w:p>
            <w:r>
              <w:rPr>
                <w:b/>
                <w:bCs/>
                <w:color w:val="FFFFFF"/>
                <w:sz w:val="19"/>
                <w:szCs w:val="19"/>
              </w:rPr>
              <w:t xml:space="preserve">Orders</w:t>
            </w:r>
          </w:p>
        </w:tc>
      </w:tr>
      <w:tr>
        <w:tc>
          <w:tcPr>
            <w:shd w:fill="FFFFFF" w:val="clear"/>
            <w:tcMar>
              <w:top w:type="dxa" w:w="60"/>
              <w:left w:type="dxa" w:w="100"/>
              <w:bottom w:type="dxa" w:w="60"/>
              <w:right w:type="dxa" w:w="100"/>
            </w:tcMar>
          </w:tcPr>
          <w:p>
            <w:r>
              <w:rPr>
                <w:sz w:val="19"/>
                <w:szCs w:val="19"/>
              </w:rPr>
              <w:t xml:space="preserve">USA</w:t>
            </w:r>
          </w:p>
        </w:tc>
        <w:tc>
          <w:tcPr>
            <w:shd w:fill="FFFFFF" w:val="clear"/>
            <w:tcMar>
              <w:top w:type="dxa" w:w="60"/>
              <w:left w:type="dxa" w:w="100"/>
              <w:bottom w:type="dxa" w:w="60"/>
              <w:right w:type="dxa" w:w="100"/>
            </w:tcMar>
          </w:tcPr>
          <w:p>
            <w:r>
              <w:rPr>
                <w:sz w:val="19"/>
                <w:szCs w:val="19"/>
              </w:rPr>
              <w:t xml:space="preserve">NULL</w:t>
            </w:r>
          </w:p>
        </w:tc>
        <w:tc>
          <w:tcPr>
            <w:shd w:fill="FFFFFF" w:val="clear"/>
            <w:tcMar>
              <w:top w:type="dxa" w:w="60"/>
              <w:left w:type="dxa" w:w="100"/>
              <w:bottom w:type="dxa" w:w="60"/>
              <w:right w:type="dxa" w:w="100"/>
            </w:tcMar>
          </w:tcPr>
          <w:p>
            <w:r>
              <w:rPr>
                <w:sz w:val="19"/>
                <w:szCs w:val="19"/>
              </w:rPr>
              <w:t xml:space="preserve">1,004</w:t>
            </w:r>
          </w:p>
        </w:tc>
      </w:tr>
      <w:tr>
        <w:tc>
          <w:tcPr>
            <w:shd w:fill="F5F8FB" w:val="clear"/>
            <w:tcMar>
              <w:top w:type="dxa" w:w="60"/>
              <w:left w:type="dxa" w:w="100"/>
              <w:bottom w:type="dxa" w:w="60"/>
              <w:right w:type="dxa" w:w="100"/>
            </w:tcMar>
          </w:tcPr>
          <w:p>
            <w:r>
              <w:rPr>
                <w:sz w:val="19"/>
                <w:szCs w:val="19"/>
              </w:rPr>
              <w:t xml:space="preserve">Spain</w:t>
            </w:r>
          </w:p>
        </w:tc>
        <w:tc>
          <w:tcPr>
            <w:shd w:fill="F5F8FB" w:val="clear"/>
            <w:tcMar>
              <w:top w:type="dxa" w:w="60"/>
              <w:left w:type="dxa" w:w="100"/>
              <w:bottom w:type="dxa" w:w="60"/>
              <w:right w:type="dxa" w:w="100"/>
            </w:tcMar>
          </w:tcPr>
          <w:p>
            <w:r>
              <w:rPr>
                <w:sz w:val="19"/>
                <w:szCs w:val="19"/>
              </w:rPr>
              <w:t xml:space="preserve">EMEA</w:t>
            </w:r>
          </w:p>
        </w:tc>
        <w:tc>
          <w:tcPr>
            <w:shd w:fill="F5F8FB" w:val="clear"/>
            <w:tcMar>
              <w:top w:type="dxa" w:w="60"/>
              <w:left w:type="dxa" w:w="100"/>
              <w:bottom w:type="dxa" w:w="60"/>
              <w:right w:type="dxa" w:w="100"/>
            </w:tcMar>
          </w:tcPr>
          <w:p>
            <w:r>
              <w:rPr>
                <w:sz w:val="19"/>
                <w:szCs w:val="19"/>
              </w:rPr>
              <w:t xml:space="preserve">342</w:t>
            </w:r>
          </w:p>
        </w:tc>
      </w:tr>
      <w:tr>
        <w:tc>
          <w:tcPr>
            <w:shd w:fill="FFFFFF" w:val="clear"/>
            <w:tcMar>
              <w:top w:type="dxa" w:w="60"/>
              <w:left w:type="dxa" w:w="100"/>
              <w:bottom w:type="dxa" w:w="60"/>
              <w:right w:type="dxa" w:w="100"/>
            </w:tcMar>
          </w:tcPr>
          <w:p>
            <w:r>
              <w:rPr>
                <w:sz w:val="19"/>
                <w:szCs w:val="19"/>
              </w:rPr>
              <w:t xml:space="preserve">France</w:t>
            </w:r>
          </w:p>
        </w:tc>
        <w:tc>
          <w:tcPr>
            <w:shd w:fill="FFFFFF" w:val="clear"/>
            <w:tcMar>
              <w:top w:type="dxa" w:w="60"/>
              <w:left w:type="dxa" w:w="100"/>
              <w:bottom w:type="dxa" w:w="60"/>
              <w:right w:type="dxa" w:w="100"/>
            </w:tcMar>
          </w:tcPr>
          <w:p>
            <w:r>
              <w:rPr>
                <w:sz w:val="19"/>
                <w:szCs w:val="19"/>
              </w:rPr>
              <w:t xml:space="preserve">EMEA</w:t>
            </w:r>
          </w:p>
        </w:tc>
        <w:tc>
          <w:tcPr>
            <w:shd w:fill="FFFFFF" w:val="clear"/>
            <w:tcMar>
              <w:top w:type="dxa" w:w="60"/>
              <w:left w:type="dxa" w:w="100"/>
              <w:bottom w:type="dxa" w:w="60"/>
              <w:right w:type="dxa" w:w="100"/>
            </w:tcMar>
          </w:tcPr>
          <w:p>
            <w:r>
              <w:rPr>
                <w:sz w:val="19"/>
                <w:szCs w:val="19"/>
              </w:rPr>
              <w:t xml:space="preserve">314</w:t>
            </w:r>
          </w:p>
        </w:tc>
      </w:tr>
      <w:tr>
        <w:tc>
          <w:tcPr>
            <w:shd w:fill="F5F8FB" w:val="clear"/>
            <w:tcMar>
              <w:top w:type="dxa" w:w="60"/>
              <w:left w:type="dxa" w:w="100"/>
              <w:bottom w:type="dxa" w:w="60"/>
              <w:right w:type="dxa" w:w="100"/>
            </w:tcMar>
          </w:tcPr>
          <w:p>
            <w:r>
              <w:rPr>
                <w:sz w:val="19"/>
                <w:szCs w:val="19"/>
              </w:rPr>
              <w:t xml:space="preserve">Australia</w:t>
            </w:r>
          </w:p>
        </w:tc>
        <w:tc>
          <w:tcPr>
            <w:shd w:fill="F5F8FB" w:val="clear"/>
            <w:tcMar>
              <w:top w:type="dxa" w:w="60"/>
              <w:left w:type="dxa" w:w="100"/>
              <w:bottom w:type="dxa" w:w="60"/>
              <w:right w:type="dxa" w:w="100"/>
            </w:tcMar>
          </w:tcPr>
          <w:p>
            <w:r>
              <w:rPr>
                <w:sz w:val="19"/>
                <w:szCs w:val="19"/>
              </w:rPr>
              <w:t xml:space="preserve">APAC</w:t>
            </w:r>
          </w:p>
        </w:tc>
        <w:tc>
          <w:tcPr>
            <w:shd w:fill="F5F8FB" w:val="clear"/>
            <w:tcMar>
              <w:top w:type="dxa" w:w="60"/>
              <w:left w:type="dxa" w:w="100"/>
              <w:bottom w:type="dxa" w:w="60"/>
              <w:right w:type="dxa" w:w="100"/>
            </w:tcMar>
          </w:tcPr>
          <w:p>
            <w:r>
              <w:rPr>
                <w:sz w:val="19"/>
                <w:szCs w:val="19"/>
              </w:rPr>
              <w:t xml:space="preserve">185</w:t>
            </w:r>
          </w:p>
        </w:tc>
      </w:tr>
    </w:tbl>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Data quality finding</w:t>
            </w:r>
          </w:p>
          <w:p>
            <w:pPr>
              <w:spacing w:before="40"/>
            </w:pPr>
            <w:r>
              <w:t xml:space="preserve">The USA — the single largest market with 1,004 order lines — has no TERRITORY value in the source file at all, and Singapore appears mapped to two different territories (APAC and Japan) inconsistently. Both are worth flagging before this data feeds a dashboard.</w:t>
            </w:r>
          </w:p>
        </w:tc>
      </w:tr>
    </w:tbl>
    <w:p>
      <w:pPr>
        <w:pStyle w:val="Heading3"/>
        <w:spacing w:after="90" w:before="180"/>
      </w:pPr>
      <w:r>
        <w:t xml:space="preserve">RIGHT JOIN — Every mapped territory, matched back to sales</w:t>
      </w:r>
    </w:p>
    <w:p>
      <w:pPr>
        <w:spacing w:after="120"/>
      </w:pPr>
      <w:r>
        <w:t xml:space="preserve">Reverses the join direction to confirm every territory in the reference table has at least one matching sales row (it does, for all mapped territories).</w:t>
      </w:r>
    </w:p>
    <w:p>
      <w:pPr>
        <w:pStyle w:val="Heading3"/>
        <w:spacing w:after="90" w:before="180"/>
      </w:pPr>
      <w:r>
        <w:t xml:space="preserve">Subquery — Orders above the average order value</w:t>
      </w:r>
    </w:p>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High-value orders</w:t>
            </w:r>
          </w:p>
          <w:p>
            <w:pPr>
              <w:spacing w:before="40"/>
            </w:pPr>
            <w:r>
              <w:t xml:space="preserve">The average order is far below the top orders shown here — the highest, Dragon Souveniers' $77,809 order, is more than 15x a typical order — showing revenue is meaningfully boosted by a handful of large bulk orders.</w:t>
            </w:r>
          </w:p>
        </w:tc>
      </w:tr>
    </w:tbl>
    <w:p>
      <w:pPr>
        <w:pStyle w:val="Heading3"/>
        <w:spacing w:after="90" w:before="180"/>
      </w:pPr>
      <w:r>
        <w:t xml:space="preserve">Window functions</w:t>
      </w:r>
    </w:p>
    <w:p>
      <w:pPr>
        <w:spacing w:after="120"/>
      </w:pPr>
      <w:r>
        <w:t xml:space="preserve">RANK() identifies top customers; ROW_NUMBER() with PARTITION BY finds the best-selling product within each product line; SUM() OVER(ORDER BY year, month) tracks a running total.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Customer</w:t>
            </w:r>
          </w:p>
        </w:tc>
        <w:tc>
          <w:tcPr>
            <w:shd w:fill="2E5C88" w:val="clear"/>
            <w:tcMar>
              <w:top w:type="dxa" w:w="80"/>
              <w:left w:type="dxa" w:w="100"/>
              <w:bottom w:type="dxa" w:w="80"/>
              <w:right w:type="dxa" w:w="100"/>
            </w:tcMar>
          </w:tcPr>
          <w:p>
            <w:r>
              <w:rPr>
                <w:b/>
                <w:bCs/>
                <w:color w:val="FFFFFF"/>
                <w:sz w:val="19"/>
                <w:szCs w:val="19"/>
              </w:rPr>
              <w:t xml:space="preserve">Total Revenue</w:t>
            </w:r>
          </w:p>
        </w:tc>
        <w:tc>
          <w:tcPr>
            <w:shd w:fill="2E5C88" w:val="clear"/>
            <w:tcMar>
              <w:top w:type="dxa" w:w="80"/>
              <w:left w:type="dxa" w:w="100"/>
              <w:bottom w:type="dxa" w:w="80"/>
              <w:right w:type="dxa" w:w="100"/>
            </w:tcMar>
          </w:tcPr>
          <w:p>
            <w:r>
              <w:rPr>
                <w:b/>
                <w:bCs/>
                <w:color w:val="FFFFFF"/>
                <w:sz w:val="19"/>
                <w:szCs w:val="19"/>
              </w:rPr>
              <w:t xml:space="preserve">Rank</w:t>
            </w:r>
          </w:p>
        </w:tc>
      </w:tr>
      <w:tr>
        <w:tc>
          <w:tcPr>
            <w:shd w:fill="FFFFFF" w:val="clear"/>
            <w:tcMar>
              <w:top w:type="dxa" w:w="60"/>
              <w:left w:type="dxa" w:w="100"/>
              <w:bottom w:type="dxa" w:w="60"/>
              <w:right w:type="dxa" w:w="100"/>
            </w:tcMar>
          </w:tcPr>
          <w:p>
            <w:r>
              <w:rPr>
                <w:sz w:val="19"/>
                <w:szCs w:val="19"/>
              </w:rPr>
              <w:t xml:space="preserve">Euro Shopping Channel</w:t>
            </w:r>
          </w:p>
        </w:tc>
        <w:tc>
          <w:tcPr>
            <w:shd w:fill="FFFFFF" w:val="clear"/>
            <w:tcMar>
              <w:top w:type="dxa" w:w="60"/>
              <w:left w:type="dxa" w:w="100"/>
              <w:bottom w:type="dxa" w:w="60"/>
              <w:right w:type="dxa" w:w="100"/>
            </w:tcMar>
          </w:tcPr>
          <w:p>
            <w:r>
              <w:rPr>
                <w:sz w:val="19"/>
                <w:szCs w:val="19"/>
              </w:rPr>
              <w:t xml:space="preserve">$912,294.11</w:t>
            </w:r>
          </w:p>
        </w:tc>
        <w:tc>
          <w:tcPr>
            <w:shd w:fill="FFFFFF" w:val="clear"/>
            <w:tcMar>
              <w:top w:type="dxa" w:w="60"/>
              <w:left w:type="dxa" w:w="100"/>
              <w:bottom w:type="dxa" w:w="60"/>
              <w:right w:type="dxa" w:w="100"/>
            </w:tcMar>
          </w:tcPr>
          <w:p>
            <w:r>
              <w:rPr>
                <w:sz w:val="19"/>
                <w:szCs w:val="19"/>
              </w:rPr>
              <w:t xml:space="preserve">1</w:t>
            </w:r>
          </w:p>
        </w:tc>
      </w:tr>
      <w:tr>
        <w:tc>
          <w:tcPr>
            <w:shd w:fill="F5F8FB" w:val="clear"/>
            <w:tcMar>
              <w:top w:type="dxa" w:w="60"/>
              <w:left w:type="dxa" w:w="100"/>
              <w:bottom w:type="dxa" w:w="60"/>
              <w:right w:type="dxa" w:w="100"/>
            </w:tcMar>
          </w:tcPr>
          <w:p>
            <w:r>
              <w:rPr>
                <w:sz w:val="19"/>
                <w:szCs w:val="19"/>
              </w:rPr>
              <w:t xml:space="preserve">Mini Gifts Distributors Ltd.</w:t>
            </w:r>
          </w:p>
        </w:tc>
        <w:tc>
          <w:tcPr>
            <w:shd w:fill="F5F8FB" w:val="clear"/>
            <w:tcMar>
              <w:top w:type="dxa" w:w="60"/>
              <w:left w:type="dxa" w:w="100"/>
              <w:bottom w:type="dxa" w:w="60"/>
              <w:right w:type="dxa" w:w="100"/>
            </w:tcMar>
          </w:tcPr>
          <w:p>
            <w:r>
              <w:rPr>
                <w:sz w:val="19"/>
                <w:szCs w:val="19"/>
              </w:rPr>
              <w:t xml:space="preserve">$654,858.06</w:t>
            </w:r>
          </w:p>
        </w:tc>
        <w:tc>
          <w:tcPr>
            <w:shd w:fill="F5F8FB" w:val="clear"/>
            <w:tcMar>
              <w:top w:type="dxa" w:w="60"/>
              <w:left w:type="dxa" w:w="100"/>
              <w:bottom w:type="dxa" w:w="60"/>
              <w:right w:type="dxa" w:w="100"/>
            </w:tcMar>
          </w:tcPr>
          <w:p>
            <w:r>
              <w:rPr>
                <w:sz w:val="19"/>
                <w:szCs w:val="19"/>
              </w:rPr>
              <w:t xml:space="preserve">2</w:t>
            </w:r>
          </w:p>
        </w:tc>
      </w:tr>
      <w:tr>
        <w:tc>
          <w:tcPr>
            <w:shd w:fill="FFFFFF" w:val="clear"/>
            <w:tcMar>
              <w:top w:type="dxa" w:w="60"/>
              <w:left w:type="dxa" w:w="100"/>
              <w:bottom w:type="dxa" w:w="60"/>
              <w:right w:type="dxa" w:w="100"/>
            </w:tcMar>
          </w:tcPr>
          <w:p>
            <w:r>
              <w:rPr>
                <w:sz w:val="19"/>
                <w:szCs w:val="19"/>
              </w:rPr>
              <w:t xml:space="preserve">Australian Collectors, Co.</w:t>
            </w:r>
          </w:p>
        </w:tc>
        <w:tc>
          <w:tcPr>
            <w:shd w:fill="FFFFFF" w:val="clear"/>
            <w:tcMar>
              <w:top w:type="dxa" w:w="60"/>
              <w:left w:type="dxa" w:w="100"/>
              <w:bottom w:type="dxa" w:w="60"/>
              <w:right w:type="dxa" w:w="100"/>
            </w:tcMar>
          </w:tcPr>
          <w:p>
            <w:r>
              <w:rPr>
                <w:sz w:val="19"/>
                <w:szCs w:val="19"/>
              </w:rPr>
              <w:t xml:space="preserve">$200,995.41</w:t>
            </w:r>
          </w:p>
        </w:tc>
        <w:tc>
          <w:tcPr>
            <w:shd w:fill="FFFFFF" w:val="clear"/>
            <w:tcMar>
              <w:top w:type="dxa" w:w="60"/>
              <w:left w:type="dxa" w:w="100"/>
              <w:bottom w:type="dxa" w:w="60"/>
              <w:right w:type="dxa" w:w="100"/>
            </w:tcMar>
          </w:tcPr>
          <w:p>
            <w:r>
              <w:rPr>
                <w:sz w:val="19"/>
                <w:szCs w:val="19"/>
              </w:rPr>
              <w:t xml:space="preserve">3</w:t>
            </w:r>
          </w:p>
        </w:tc>
      </w:tr>
    </w:tbl>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Customer concentration risk</w:t>
            </w:r>
          </w:p>
          <w:p>
            <w:pPr>
              <w:spacing w:before="40"/>
            </w:pPr>
            <w:r>
              <w:t xml:space="preserve">The top 2 customers (Euro Shopping Channel and Mini Gifts Distributors) together generate $1.57M — about 15.7% of total company revenue ($10.03M) from just 2 of many accounts. This is a concentration risk worth monitoring.</w:t>
            </w:r>
          </w:p>
        </w:tc>
      </w:tr>
    </w:tbl>
    <w:p>
      <w:pPr>
        <w:spacing w:after="200"/>
      </w:pPr>
    </w:p>
    <w:p>
      <w:pPr>
        <w:pStyle w:val="Heading2"/>
        <w:spacing w:after="120" w:before="240"/>
      </w:pPr>
      <w:r>
        <w:t xml:space="preserve">4. Business Problem Solving</w:t>
      </w:r>
    </w:p>
    <w:p>
      <w:pPr>
        <w:pStyle w:val="Heading3"/>
        <w:spacing w:after="90" w:before="180"/>
      </w:pPr>
      <w:r>
        <w:t xml:space="preserve">Top customers &amp; top countries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Country</w:t>
            </w:r>
          </w:p>
        </w:tc>
        <w:tc>
          <w:tcPr>
            <w:shd w:fill="2E5C88" w:val="clear"/>
            <w:tcMar>
              <w:top w:type="dxa" w:w="80"/>
              <w:left w:type="dxa" w:w="100"/>
              <w:bottom w:type="dxa" w:w="80"/>
              <w:right w:type="dxa" w:w="100"/>
            </w:tcMar>
          </w:tcPr>
          <w:p>
            <w:r>
              <w:rPr>
                <w:b/>
                <w:bCs/>
                <w:color w:val="FFFFFF"/>
                <w:sz w:val="19"/>
                <w:szCs w:val="19"/>
              </w:rPr>
              <w:t xml:space="preserve">Revenue</w:t>
            </w:r>
          </w:p>
        </w:tc>
      </w:tr>
      <w:tr>
        <w:tc>
          <w:tcPr>
            <w:shd w:fill="FFFFFF" w:val="clear"/>
            <w:tcMar>
              <w:top w:type="dxa" w:w="60"/>
              <w:left w:type="dxa" w:w="100"/>
              <w:bottom w:type="dxa" w:w="60"/>
              <w:right w:type="dxa" w:w="100"/>
            </w:tcMar>
          </w:tcPr>
          <w:p>
            <w:r>
              <w:rPr>
                <w:sz w:val="19"/>
                <w:szCs w:val="19"/>
              </w:rPr>
              <w:t xml:space="preserve">USA</w:t>
            </w:r>
          </w:p>
        </w:tc>
        <w:tc>
          <w:tcPr>
            <w:shd w:fill="FFFFFF" w:val="clear"/>
            <w:tcMar>
              <w:top w:type="dxa" w:w="60"/>
              <w:left w:type="dxa" w:w="100"/>
              <w:bottom w:type="dxa" w:w="60"/>
              <w:right w:type="dxa" w:w="100"/>
            </w:tcMar>
          </w:tcPr>
          <w:p>
            <w:r>
              <w:rPr>
                <w:sz w:val="19"/>
                <w:szCs w:val="19"/>
              </w:rPr>
              <w:t xml:space="preserve">$3,627,982.83</w:t>
            </w:r>
          </w:p>
        </w:tc>
      </w:tr>
      <w:tr>
        <w:tc>
          <w:tcPr>
            <w:shd w:fill="F5F8FB" w:val="clear"/>
            <w:tcMar>
              <w:top w:type="dxa" w:w="60"/>
              <w:left w:type="dxa" w:w="100"/>
              <w:bottom w:type="dxa" w:w="60"/>
              <w:right w:type="dxa" w:w="100"/>
            </w:tcMar>
          </w:tcPr>
          <w:p>
            <w:r>
              <w:rPr>
                <w:sz w:val="19"/>
                <w:szCs w:val="19"/>
              </w:rPr>
              <w:t xml:space="preserve">Spain</w:t>
            </w:r>
          </w:p>
        </w:tc>
        <w:tc>
          <w:tcPr>
            <w:shd w:fill="F5F8FB" w:val="clear"/>
            <w:tcMar>
              <w:top w:type="dxa" w:w="60"/>
              <w:left w:type="dxa" w:w="100"/>
              <w:bottom w:type="dxa" w:w="60"/>
              <w:right w:type="dxa" w:w="100"/>
            </w:tcMar>
          </w:tcPr>
          <w:p>
            <w:r>
              <w:rPr>
                <w:sz w:val="19"/>
                <w:szCs w:val="19"/>
              </w:rPr>
              <w:t xml:space="preserve">$1,215,686.92</w:t>
            </w:r>
          </w:p>
        </w:tc>
      </w:tr>
      <w:tr>
        <w:tc>
          <w:tcPr>
            <w:shd w:fill="FFFFFF" w:val="clear"/>
            <w:tcMar>
              <w:top w:type="dxa" w:w="60"/>
              <w:left w:type="dxa" w:w="100"/>
              <w:bottom w:type="dxa" w:w="60"/>
              <w:right w:type="dxa" w:w="100"/>
            </w:tcMar>
          </w:tcPr>
          <w:p>
            <w:r>
              <w:rPr>
                <w:sz w:val="19"/>
                <w:szCs w:val="19"/>
              </w:rPr>
              <w:t xml:space="preserve">France</w:t>
            </w:r>
          </w:p>
        </w:tc>
        <w:tc>
          <w:tcPr>
            <w:shd w:fill="FFFFFF" w:val="clear"/>
            <w:tcMar>
              <w:top w:type="dxa" w:w="60"/>
              <w:left w:type="dxa" w:w="100"/>
              <w:bottom w:type="dxa" w:w="60"/>
              <w:right w:type="dxa" w:w="100"/>
            </w:tcMar>
          </w:tcPr>
          <w:p>
            <w:r>
              <w:rPr>
                <w:sz w:val="19"/>
                <w:szCs w:val="19"/>
              </w:rPr>
              <w:t xml:space="preserve">$1,110,916.52</w:t>
            </w:r>
          </w:p>
        </w:tc>
      </w:tr>
      <w:tr>
        <w:tc>
          <w:tcPr>
            <w:shd w:fill="F5F8FB" w:val="clear"/>
            <w:tcMar>
              <w:top w:type="dxa" w:w="60"/>
              <w:left w:type="dxa" w:w="100"/>
              <w:bottom w:type="dxa" w:w="60"/>
              <w:right w:type="dxa" w:w="100"/>
            </w:tcMar>
          </w:tcPr>
          <w:p>
            <w:r>
              <w:rPr>
                <w:sz w:val="19"/>
                <w:szCs w:val="19"/>
              </w:rPr>
              <w:t xml:space="preserve">Australia</w:t>
            </w:r>
          </w:p>
        </w:tc>
        <w:tc>
          <w:tcPr>
            <w:shd w:fill="F5F8FB" w:val="clear"/>
            <w:tcMar>
              <w:top w:type="dxa" w:w="60"/>
              <w:left w:type="dxa" w:w="100"/>
              <w:bottom w:type="dxa" w:w="60"/>
              <w:right w:type="dxa" w:w="100"/>
            </w:tcMar>
          </w:tcPr>
          <w:p>
            <w:r>
              <w:rPr>
                <w:sz w:val="19"/>
                <w:szCs w:val="19"/>
              </w:rPr>
              <w:t xml:space="preserve">$630,623.10</w:t>
            </w:r>
          </w:p>
        </w:tc>
      </w:tr>
    </w:tbl>
    <w:p>
      <w:pPr>
        <w:pStyle w:val="Heading3"/>
        <w:spacing w:after="90" w:before="180"/>
      </w:pPr>
      <w:r>
        <w:t xml:space="preserve">Deal size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5C88" w:val="clear"/>
            <w:tcMar>
              <w:top w:type="dxa" w:w="80"/>
              <w:left w:type="dxa" w:w="100"/>
              <w:bottom w:type="dxa" w:w="80"/>
              <w:right w:type="dxa" w:w="100"/>
            </w:tcMar>
          </w:tcPr>
          <w:p>
            <w:r>
              <w:rPr>
                <w:b/>
                <w:bCs/>
                <w:color w:val="FFFFFF"/>
                <w:sz w:val="19"/>
                <w:szCs w:val="19"/>
              </w:rPr>
              <w:t xml:space="preserve">Deal Size</w:t>
            </w:r>
          </w:p>
        </w:tc>
        <w:tc>
          <w:tcPr>
            <w:shd w:fill="2E5C88" w:val="clear"/>
            <w:tcMar>
              <w:top w:type="dxa" w:w="80"/>
              <w:left w:type="dxa" w:w="100"/>
              <w:bottom w:type="dxa" w:w="80"/>
              <w:right w:type="dxa" w:w="100"/>
            </w:tcMar>
          </w:tcPr>
          <w:p>
            <w:r>
              <w:rPr>
                <w:b/>
                <w:bCs/>
                <w:color w:val="FFFFFF"/>
                <w:sz w:val="19"/>
                <w:szCs w:val="19"/>
              </w:rPr>
              <w:t xml:space="preserve">Orders</w:t>
            </w:r>
          </w:p>
        </w:tc>
        <w:tc>
          <w:tcPr>
            <w:shd w:fill="2E5C88" w:val="clear"/>
            <w:tcMar>
              <w:top w:type="dxa" w:w="80"/>
              <w:left w:type="dxa" w:w="100"/>
              <w:bottom w:type="dxa" w:w="80"/>
              <w:right w:type="dxa" w:w="100"/>
            </w:tcMar>
          </w:tcPr>
          <w:p>
            <w:r>
              <w:rPr>
                <w:b/>
                <w:bCs/>
                <w:color w:val="FFFFFF"/>
                <w:sz w:val="19"/>
                <w:szCs w:val="19"/>
              </w:rPr>
              <w:t xml:space="preserve">Avg Line Value</w:t>
            </w:r>
          </w:p>
        </w:tc>
        <w:tc>
          <w:tcPr>
            <w:shd w:fill="2E5C88" w:val="clear"/>
            <w:tcMar>
              <w:top w:type="dxa" w:w="80"/>
              <w:left w:type="dxa" w:w="100"/>
              <w:bottom w:type="dxa" w:w="80"/>
              <w:right w:type="dxa" w:w="100"/>
            </w:tcMar>
          </w:tcPr>
          <w:p>
            <w:r>
              <w:rPr>
                <w:b/>
                <w:bCs/>
                <w:color w:val="FFFFFF"/>
                <w:sz w:val="19"/>
                <w:szCs w:val="19"/>
              </w:rPr>
              <w:t xml:space="preserve">Total Revenue</w:t>
            </w:r>
          </w:p>
        </w:tc>
      </w:tr>
      <w:tr>
        <w:tc>
          <w:tcPr>
            <w:shd w:fill="FFFFFF" w:val="clear"/>
            <w:tcMar>
              <w:top w:type="dxa" w:w="60"/>
              <w:left w:type="dxa" w:w="100"/>
              <w:bottom w:type="dxa" w:w="60"/>
              <w:right w:type="dxa" w:w="100"/>
            </w:tcMar>
          </w:tcPr>
          <w:p>
            <w:r>
              <w:rPr>
                <w:sz w:val="19"/>
                <w:szCs w:val="19"/>
              </w:rPr>
              <w:t xml:space="preserve">Medium</w:t>
            </w:r>
          </w:p>
        </w:tc>
        <w:tc>
          <w:tcPr>
            <w:shd w:fill="FFFFFF" w:val="clear"/>
            <w:tcMar>
              <w:top w:type="dxa" w:w="60"/>
              <w:left w:type="dxa" w:w="100"/>
              <w:bottom w:type="dxa" w:w="60"/>
              <w:right w:type="dxa" w:w="100"/>
            </w:tcMar>
          </w:tcPr>
          <w:p>
            <w:r>
              <w:rPr>
                <w:sz w:val="19"/>
                <w:szCs w:val="19"/>
              </w:rPr>
              <w:t xml:space="preserve">292</w:t>
            </w:r>
          </w:p>
        </w:tc>
        <w:tc>
          <w:tcPr>
            <w:shd w:fill="FFFFFF" w:val="clear"/>
            <w:tcMar>
              <w:top w:type="dxa" w:w="60"/>
              <w:left w:type="dxa" w:w="100"/>
              <w:bottom w:type="dxa" w:w="60"/>
              <w:right w:type="dxa" w:w="100"/>
            </w:tcMar>
          </w:tcPr>
          <w:p>
            <w:r>
              <w:rPr>
                <w:sz w:val="19"/>
                <w:szCs w:val="19"/>
              </w:rPr>
              <w:t xml:space="preserve">$4,398.43</w:t>
            </w:r>
          </w:p>
        </w:tc>
        <w:tc>
          <w:tcPr>
            <w:shd w:fill="FFFFFF" w:val="clear"/>
            <w:tcMar>
              <w:top w:type="dxa" w:w="60"/>
              <w:left w:type="dxa" w:w="100"/>
              <w:bottom w:type="dxa" w:w="60"/>
              <w:right w:type="dxa" w:w="100"/>
            </w:tcMar>
          </w:tcPr>
          <w:p>
            <w:r>
              <w:rPr>
                <w:sz w:val="19"/>
                <w:szCs w:val="19"/>
              </w:rPr>
              <w:t xml:space="preserve">$6,087,432.24</w:t>
            </w:r>
          </w:p>
        </w:tc>
      </w:tr>
      <w:tr>
        <w:tc>
          <w:tcPr>
            <w:shd w:fill="F5F8FB" w:val="clear"/>
            <w:tcMar>
              <w:top w:type="dxa" w:w="60"/>
              <w:left w:type="dxa" w:w="100"/>
              <w:bottom w:type="dxa" w:w="60"/>
              <w:right w:type="dxa" w:w="100"/>
            </w:tcMar>
          </w:tcPr>
          <w:p>
            <w:r>
              <w:rPr>
                <w:sz w:val="19"/>
                <w:szCs w:val="19"/>
              </w:rPr>
              <w:t xml:space="preserve">Small</w:t>
            </w:r>
          </w:p>
        </w:tc>
        <w:tc>
          <w:tcPr>
            <w:shd w:fill="F5F8FB" w:val="clear"/>
            <w:tcMar>
              <w:top w:type="dxa" w:w="60"/>
              <w:left w:type="dxa" w:w="100"/>
              <w:bottom w:type="dxa" w:w="60"/>
              <w:right w:type="dxa" w:w="100"/>
            </w:tcMar>
          </w:tcPr>
          <w:p>
            <w:r>
              <w:rPr>
                <w:sz w:val="19"/>
                <w:szCs w:val="19"/>
              </w:rPr>
              <w:t xml:space="preserve">287</w:t>
            </w:r>
          </w:p>
        </w:tc>
        <w:tc>
          <w:tcPr>
            <w:shd w:fill="F5F8FB" w:val="clear"/>
            <w:tcMar>
              <w:top w:type="dxa" w:w="60"/>
              <w:left w:type="dxa" w:w="100"/>
              <w:bottom w:type="dxa" w:w="60"/>
              <w:right w:type="dxa" w:w="100"/>
            </w:tcMar>
          </w:tcPr>
          <w:p>
            <w:r>
              <w:rPr>
                <w:sz w:val="19"/>
                <w:szCs w:val="19"/>
              </w:rPr>
              <w:t xml:space="preserve">$2,061.68</w:t>
            </w:r>
          </w:p>
        </w:tc>
        <w:tc>
          <w:tcPr>
            <w:shd w:fill="F5F8FB" w:val="clear"/>
            <w:tcMar>
              <w:top w:type="dxa" w:w="60"/>
              <w:left w:type="dxa" w:w="100"/>
              <w:bottom w:type="dxa" w:w="60"/>
              <w:right w:type="dxa" w:w="100"/>
            </w:tcMar>
          </w:tcPr>
          <w:p>
            <w:r>
              <w:rPr>
                <w:sz w:val="19"/>
                <w:szCs w:val="19"/>
              </w:rPr>
              <w:t xml:space="preserve">$2,643,077.35</w:t>
            </w:r>
          </w:p>
        </w:tc>
      </w:tr>
      <w:tr>
        <w:tc>
          <w:tcPr>
            <w:shd w:fill="FFFFFF" w:val="clear"/>
            <w:tcMar>
              <w:top w:type="dxa" w:w="60"/>
              <w:left w:type="dxa" w:w="100"/>
              <w:bottom w:type="dxa" w:w="60"/>
              <w:right w:type="dxa" w:w="100"/>
            </w:tcMar>
          </w:tcPr>
          <w:p>
            <w:r>
              <w:rPr>
                <w:sz w:val="19"/>
                <w:szCs w:val="19"/>
              </w:rPr>
              <w:t xml:space="preserve">Large</w:t>
            </w:r>
          </w:p>
        </w:tc>
        <w:tc>
          <w:tcPr>
            <w:shd w:fill="FFFFFF" w:val="clear"/>
            <w:tcMar>
              <w:top w:type="dxa" w:w="60"/>
              <w:left w:type="dxa" w:w="100"/>
              <w:bottom w:type="dxa" w:w="60"/>
              <w:right w:type="dxa" w:w="100"/>
            </w:tcMar>
          </w:tcPr>
          <w:p>
            <w:r>
              <w:rPr>
                <w:sz w:val="19"/>
                <w:szCs w:val="19"/>
              </w:rPr>
              <w:t xml:space="preserve">119</w:t>
            </w:r>
          </w:p>
        </w:tc>
        <w:tc>
          <w:tcPr>
            <w:shd w:fill="FFFFFF" w:val="clear"/>
            <w:tcMar>
              <w:top w:type="dxa" w:w="60"/>
              <w:left w:type="dxa" w:w="100"/>
              <w:bottom w:type="dxa" w:w="60"/>
              <w:right w:type="dxa" w:w="100"/>
            </w:tcMar>
          </w:tcPr>
          <w:p>
            <w:r>
              <w:rPr>
                <w:sz w:val="19"/>
                <w:szCs w:val="19"/>
              </w:rPr>
              <w:t xml:space="preserve">$8,293.75</w:t>
            </w:r>
          </w:p>
        </w:tc>
        <w:tc>
          <w:tcPr>
            <w:shd w:fill="FFFFFF" w:val="clear"/>
            <w:tcMar>
              <w:top w:type="dxa" w:w="60"/>
              <w:left w:type="dxa" w:w="100"/>
              <w:bottom w:type="dxa" w:w="60"/>
              <w:right w:type="dxa" w:w="100"/>
            </w:tcMar>
          </w:tcPr>
          <w:p>
            <w:r>
              <w:rPr>
                <w:sz w:val="19"/>
                <w:szCs w:val="19"/>
              </w:rPr>
              <w:t xml:space="preserve">$1,302,119.26</w:t>
            </w:r>
          </w:p>
        </w:tc>
      </w:tr>
    </w:tbl>
    <w:tbl>
      <w:tblPr>
        <w:tblW w:type="pct" w:w="100%"/>
        <w:tblBorders>
          <w:top w:val="single" w:color="2E5C88" w:sz="4"/>
          <w:left w:val="single" w:color="2E5C88" w:sz="4"/>
          <w:bottom w:val="single" w:color="2E5C88" w:sz="4"/>
          <w:right w:val="single" w:color="2E5C88" w:sz="4"/>
          <w:insideH w:val="none" w:color="FFFFFF" w:sz="0"/>
          <w:insideV w:val="none" w:color="FFFFFF" w:sz="0"/>
        </w:tblBorders>
      </w:tblPr>
      <w:tblGrid>
        <w:gridCol w:w="100"/>
      </w:tblGrid>
      <w:tr>
        <w:tc>
          <w:tcPr>
            <w:tcW w:type="pct" w:w="100%"/>
            <w:shd w:fill="EAF1F8" w:val="clear"/>
            <w:tcMar>
              <w:top w:type="dxa" w:w="120"/>
              <w:left w:type="dxa" w:w="180"/>
              <w:bottom w:type="dxa" w:w="120"/>
              <w:right w:type="dxa" w:w="180"/>
            </w:tcMar>
          </w:tcPr>
          <w:p>
            <w:r>
              <w:rPr>
                <w:b/>
                <w:bCs/>
                <w:color w:val="2E5C88"/>
              </w:rPr>
              <w:t xml:space="preserve">Insight: Where the revenue lives</w:t>
            </w:r>
          </w:p>
          <w:p>
            <w:pPr>
              <w:spacing w:before="40"/>
            </w:pPr>
            <w:r>
              <w:t xml:space="preserve">Medium deals are the revenue backbone — 292 orders generating $6.09M (61% of total revenue) — while Large deals, though highest value per line, are rare (119 orders) and Small deals are high-volume but low-margin. Sales strategy should focus on converting Small deals to Medium.</w:t>
            </w:r>
          </w:p>
        </w:tc>
      </w:tr>
    </w:tbl>
    <w:p>
      <w:pPr>
        <w:spacing w:after="200"/>
      </w:pPr>
    </w:p>
    <w:p>
      <w:pPr>
        <w:pStyle w:val="Heading2"/>
        <w:spacing w:after="120" w:before="240"/>
      </w:pPr>
      <w:r>
        <w:t xml:space="preserve">5. Query Optimization</w:t>
      </w:r>
    </w:p>
    <w:p>
      <w:pPr>
        <w:spacing w:after="120"/>
      </w:pPr>
      <w:r>
        <w:t xml:space="preserve">Indexes were added on columns used repeatedly in JOIN and WHERE/GROUP BY clauses: Invoice.CustomerId, InvoiceLine.InvoiceId/TrackId, Track.GenreId for Chinook; and sales.ORDERNUMBER, CUSTOMERNAME, COUNTRY, and a composite (YEAR_ID, MONTH_ID) index for the sales dataset. These target the exact lookup and grouping patterns used across the queries above, reducing full table scans on the larger sales table (2,823 rows) and the InvoiceLine table (2,240 rows).</w:t>
      </w:r>
    </w:p>
    <w:p>
      <w:pPr>
        <w:pStyle w:val="ListParagraph"/>
        <w:numPr>
          <w:ilvl w:val="0"/>
          <w:numId w:val="1"/>
        </w:numPr>
        <w:spacing w:after="60"/>
      </w:pPr>
      <w:r>
        <w:t xml:space="preserve">Meaningful aliases (c, i, s) keep joins readable.</w:t>
      </w:r>
    </w:p>
    <w:p>
      <w:pPr>
        <w:pStyle w:val="ListParagraph"/>
        <w:numPr>
          <w:ilvl w:val="0"/>
          <w:numId w:val="1"/>
        </w:numPr>
        <w:spacing w:after="60"/>
      </w:pPr>
      <w:r>
        <w:t xml:space="preserve">Derived tables/subqueries are named descriptively (customer_totals, order_totals).</w:t>
      </w:r>
    </w:p>
    <w:p>
      <w:pPr>
        <w:pStyle w:val="ListParagraph"/>
        <w:numPr>
          <w:ilvl w:val="0"/>
          <w:numId w:val="1"/>
        </w:numPr>
        <w:spacing w:after="60"/>
      </w:pPr>
      <w:r>
        <w:t xml:space="preserve">One clause per line and consistent indentation throughout the script.</w:t>
      </w:r>
    </w:p>
    <w:p>
      <w:pPr>
        <w:spacing w:after="200"/>
      </w:pPr>
    </w:p>
    <w:p>
      <w:pPr>
        <w:pStyle w:val="Heading2"/>
        <w:spacing w:after="120" w:before="240"/>
      </w:pPr>
      <w:r>
        <w:t xml:space="preserve">Summary of Key Takeaways</w:t>
      </w:r>
    </w:p>
    <w:p>
      <w:pPr>
        <w:pStyle w:val="ListParagraph"/>
        <w:numPr>
          <w:ilvl w:val="0"/>
          <w:numId w:val="1"/>
        </w:numPr>
        <w:spacing w:after="60"/>
      </w:pPr>
      <w:r>
        <w:t xml:space="preserve">Chinook: Rock dominates both catalogue size and revenue; the USA/Canada are the core market; all customers are active (no dormant segment); support workload is unevenly distributed across employees.</w:t>
      </w:r>
    </w:p>
    <w:p>
      <w:pPr>
        <w:pStyle w:val="ListParagraph"/>
        <w:numPr>
          <w:ilvl w:val="0"/>
          <w:numId w:val="1"/>
        </w:numPr>
        <w:spacing w:after="60"/>
      </w:pPr>
      <w:r>
        <w:t xml:space="preserve">Sales dataset: Classic Cars is the flagship product line; Q4 shows strong seasonality; the USA is missing territory data (a cleaning fix needed before dashboarding); revenue is moderately concentrated in a few large accounts; Medium-size deals are the true revenue backbone.</w:t>
      </w:r>
    </w:p>
    <w:p>
      <w:pPr>
        <w:pStyle w:val="ListParagraph"/>
        <w:numPr>
          <w:ilvl w:val="0"/>
          <w:numId w:val="1"/>
        </w:numPr>
        <w:spacing w:after="60"/>
      </w:pPr>
      <w:r>
        <w:t xml:space="preserve">Deliverables: Week3_SQL_Querying.sql (full commented script) and this report, both built and verified against the real datasets.</w:t>
      </w:r>
    </w:p>
    <w:p>
      <w:pPr>
        <w:spacing w:after="300"/>
      </w:pPr>
    </w:p>
    <w:p>
      <w:pPr>
        <w:spacing w:after="100"/>
      </w:pPr>
      <w:r>
        <w:rPr>
          <w:b/>
          <w:bCs/>
          <w:color w:val="2E5C88"/>
        </w:rPr>
        <w:t xml:space="preserve">Professional Requirement</w:t>
      </w:r>
    </w:p>
    <w:p>
      <w:pPr>
        <w:spacing w:after="120"/>
      </w:pPr>
      <w:r>
        <w:t xml:space="preserve">Remember to update your LinkedIn with this week's internship progress and share key SQL learnings (joins, window functions, and query optimization) from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2026-07-18T12:21:00.396Z</dcterms:created>
  <dcterms:modified xsi:type="dcterms:W3CDTF">2026-07-18T12:21:00.411Z</dcterms:modified>
</cp:coreProperties>
</file>

<file path=docProps/custom.xml><?xml version="1.0" encoding="utf-8"?>
<Properties xmlns="http://schemas.openxmlformats.org/officeDocument/2006/custom-properties" xmlns:vt="http://schemas.openxmlformats.org/officeDocument/2006/docPropsVTypes"/>
</file>