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IT Service Desk — Incident Resolution Report</w:t>
      </w:r>
    </w:p>
    <w:p>
      <w:pPr>
        <w:spacing w:after="300"/>
      </w:pPr>
      <w:r>
        <w:rPr>
          <w:color w:val="555555"/>
          <w:sz w:val="22"/>
          <w:szCs w:val="22"/>
        </w:rPr>
        <w:t xml:space="preserve">Incident INC0012860</w:t>
      </w:r>
    </w:p>
    <w:p>
      <w:pPr>
        <w:pStyle w:val="Heading2"/>
        <w:spacing w:after="120"/>
      </w:pPr>
      <w:r>
        <w:t xml:space="preserve">Ticket Summary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F2F2F2" w:val="clear"/>
          </w:tcPr>
          <w:p>
            <w:r>
              <w:rPr>
                <w:b/>
                <w:bCs/>
                <w:sz w:val="20"/>
                <w:szCs w:val="20"/>
              </w:rPr>
              <w:t xml:space="preserve">Ticket ID</w:t>
            </w:r>
          </w:p>
        </w:tc>
        <w:tc>
          <w:tcPr>
            <w:tcW w:type="dxa" w:w="6640"/>
          </w:tcPr>
          <w:p>
            <w:r>
              <w:rPr>
                <w:sz w:val="20"/>
                <w:szCs w:val="20"/>
              </w:rPr>
              <w:t xml:space="preserve">INC0012860</w:t>
            </w:r>
          </w:p>
        </w:tc>
      </w:tr>
      <w:tr>
        <w:tc>
          <w:tcPr>
            <w:tcW w:type="dxa" w:w="2600"/>
            <w:shd w:fill="F2F2F2" w:val="clear"/>
          </w:tcPr>
          <w:p>
            <w:r>
              <w:rPr>
                <w:b/>
                <w:bCs/>
                <w:sz w:val="20"/>
                <w:szCs w:val="20"/>
              </w:rPr>
              <w:t xml:space="preserve">Priority</w:t>
            </w:r>
          </w:p>
        </w:tc>
        <w:tc>
          <w:tcPr>
            <w:tcW w:type="dxa" w:w="6640"/>
          </w:tcPr>
          <w:p>
            <w:r>
              <w:rPr>
                <w:sz w:val="20"/>
                <w:szCs w:val="20"/>
              </w:rPr>
              <w:t xml:space="preserve">Medium</w:t>
            </w:r>
          </w:p>
        </w:tc>
      </w:tr>
      <w:tr>
        <w:tc>
          <w:tcPr>
            <w:tcW w:type="dxa" w:w="2600"/>
            <w:shd w:fill="F2F2F2" w:val="clear"/>
          </w:tcPr>
          <w:p>
            <w:r>
              <w:rPr>
                <w:b/>
                <w:bCs/>
                <w:sz w:val="20"/>
                <w:szCs w:val="20"/>
              </w:rPr>
              <w:t xml:space="preserve">Subject</w:t>
            </w:r>
          </w:p>
        </w:tc>
        <w:tc>
          <w:tcPr>
            <w:tcW w:type="dxa" w:w="6640"/>
          </w:tcPr>
          <w:p>
            <w:r>
              <w:rPr>
                <w:sz w:val="20"/>
                <w:szCs w:val="20"/>
              </w:rPr>
              <w:t xml:space="preserve">Moved to a New Team and Cannot Access Their Files or Folders</w:t>
            </w:r>
          </w:p>
        </w:tc>
      </w:tr>
      <w:tr>
        <w:tc>
          <w:tcPr>
            <w:tcW w:type="dxa" w:w="2600"/>
            <w:shd w:fill="F2F2F2" w:val="clear"/>
          </w:tcPr>
          <w:p>
            <w:r>
              <w:rPr>
                <w:b/>
                <w:bCs/>
                <w:sz w:val="20"/>
                <w:szCs w:val="20"/>
              </w:rPr>
              <w:t xml:space="preserve">Submitted By</w:t>
            </w:r>
          </w:p>
        </w:tc>
        <w:tc>
          <w:tcPr>
            <w:tcW w:type="dxa" w:w="6640"/>
          </w:tcPr>
          <w:p>
            <w:r>
              <w:rPr>
                <w:sz w:val="20"/>
                <w:szCs w:val="20"/>
              </w:rPr>
              <w:t xml:space="preserve">Tom Wilson (twilson@servicedesk-simulator.com)</w:t>
            </w:r>
          </w:p>
        </w:tc>
      </w:tr>
      <w:tr>
        <w:tc>
          <w:tcPr>
            <w:tcW w:type="dxa" w:w="2600"/>
            <w:shd w:fill="F2F2F2" w:val="clear"/>
          </w:tcPr>
          <w:p>
            <w:r>
              <w:rPr>
                <w:b/>
                <w:bCs/>
                <w:sz w:val="20"/>
                <w:szCs w:val="20"/>
              </w:rPr>
              <w:t xml:space="preserve">Request Type</w:t>
            </w:r>
          </w:p>
        </w:tc>
        <w:tc>
          <w:tcPr>
            <w:tcW w:type="dxa" w:w="6640"/>
          </w:tcPr>
          <w:p>
            <w:r>
              <w:rPr>
                <w:sz w:val="20"/>
                <w:szCs w:val="20"/>
              </w:rPr>
              <w:t xml:space="preserve">Access Modification – Department Transfer</w:t>
            </w:r>
          </w:p>
        </w:tc>
      </w:tr>
      <w:tr>
        <w:tc>
          <w:tcPr>
            <w:tcW w:type="dxa" w:w="2600"/>
            <w:shd w:fill="F2F2F2" w:val="clear"/>
          </w:tcPr>
          <w:p>
            <w:r>
              <w:rPr>
                <w:b/>
                <w:bCs/>
                <w:sz w:val="20"/>
                <w:szCs w:val="20"/>
              </w:rPr>
              <w:t xml:space="preserve">Employee Affected</w:t>
            </w:r>
          </w:p>
        </w:tc>
        <w:tc>
          <w:tcPr>
            <w:tcW w:type="dxa" w:w="6640"/>
          </w:tcPr>
          <w:p>
            <w:r>
              <w:rPr>
                <w:sz w:val="20"/>
                <w:szCs w:val="20"/>
              </w:rPr>
              <w:t xml:space="preserve">Kavita Patel (username: kpatel)</w:t>
            </w:r>
          </w:p>
        </w:tc>
      </w:tr>
      <w:tr>
        <w:tc>
          <w:tcPr>
            <w:tcW w:type="dxa" w:w="2600"/>
            <w:shd w:fill="F2F2F2" w:val="clear"/>
          </w:tcPr>
          <w:p>
            <w:r>
              <w:rPr>
                <w:b/>
                <w:bCs/>
                <w:sz w:val="20"/>
                <w:szCs w:val="20"/>
              </w:rPr>
              <w:t xml:space="preserve">Status</w:t>
            </w:r>
          </w:p>
        </w:tc>
        <w:tc>
          <w:tcPr>
            <w:tcW w:type="dxa" w:w="6640"/>
          </w:tcPr>
          <w:p>
            <w:r>
              <w:rPr>
                <w:sz w:val="20"/>
                <w:szCs w:val="20"/>
              </w:rPr>
              <w:t xml:space="preserve">Resolved</w:t>
            </w:r>
          </w:p>
        </w:tc>
      </w:tr>
    </w:tbl>
    <w:p>
      <w:pPr>
        <w:pStyle w:val="Heading2"/>
        <w:spacing w:after="120" w:before="300"/>
      </w:pPr>
      <w:r>
        <w:t xml:space="preserve">Request Details</w:t>
      </w:r>
    </w:p>
    <w:p>
      <w:pPr>
        <w:spacing w:after="120"/>
      </w:pPr>
      <w:r>
        <w:t xml:space="preserve">The requester (Kavita Patel's manager) reported that Kavita had moved from the Engineering team to IT Infrastructure and could no longer access her files or folders. Specific items requested:</w:t>
      </w:r>
    </w:p>
    <w:p>
      <w:pPr>
        <w:pStyle w:val="ListParagraph"/>
        <w:numPr>
          <w:ilvl w:val="0"/>
          <w:numId w:val="1"/>
        </w:numPr>
        <w:spacing w:after="60"/>
      </w:pPr>
      <w:r>
        <w:t xml:space="preserve">Grant Kavita access to the tools needed for her new role on IT Infrastructure.</w:t>
      </w:r>
    </w:p>
    <w:p>
      <w:pPr>
        <w:pStyle w:val="ListParagraph"/>
        <w:numPr>
          <w:ilvl w:val="0"/>
          <w:numId w:val="1"/>
        </w:numPr>
        <w:spacing w:after="60"/>
      </w:pPr>
      <w:r>
        <w:t xml:space="preserve">Revoke her previous Engineering access per security policy.</w:t>
      </w:r>
    </w:p>
    <w:p>
      <w:pPr>
        <w:pStyle w:val="ListParagraph"/>
        <w:numPr>
          <w:ilvl w:val="0"/>
          <w:numId w:val="1"/>
        </w:numPr>
        <w:spacing w:after="60"/>
      </w:pPr>
      <w:r>
        <w:t xml:space="preserve">Effective date: 2026-02-05. New role starts Wednesday — access needed by morning.</w:t>
      </w:r>
    </w:p>
    <w:p>
      <w:pPr>
        <w:pStyle w:val="ListParagraph"/>
        <w:numPr>
          <w:ilvl w:val="0"/>
          <w:numId w:val="1"/>
        </w:numPr>
        <w:spacing w:after="60"/>
      </w:pPr>
      <w:r>
        <w:t xml:space="preserve">Note: department and reporting-line changes are being handled separately by HR.</w:t>
      </w:r>
    </w:p>
    <w:p>
      <w:pPr>
        <w:spacing w:after="60" w:before="120"/>
        <w:jc w:val="center"/>
      </w:pPr>
      <w:r>
        <w:drawing>
          <wp:inline distT="0" distB="0" distL="0" distR="0">
            <wp:extent cx="4572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67025"/>
                    </a:xfrm>
                    <a:prstGeom prst="rect">
                      <a:avLst/>
                    </a:prstGeom>
                  </pic:spPr>
                </pic:pic>
              </a:graphicData>
            </a:graphic>
          </wp:inline>
        </w:drawing>
      </w:r>
    </w:p>
    <w:p>
      <w:pPr>
        <w:spacing w:after="200"/>
        <w:jc w:val="center"/>
      </w:pPr>
      <w:r>
        <w:rPr>
          <w:i/>
          <w:iCs/>
          <w:color w:val="666666"/>
          <w:sz w:val="18"/>
          <w:szCs w:val="18"/>
        </w:rPr>
        <w:t xml:space="preserve">Figure 1 — Original ticket INC0012860</w:t>
      </w:r>
    </w:p>
    <w:p>
      <w:pPr>
        <w:pStyle w:val="Heading2"/>
        <w:spacing w:after="120" w:before="300"/>
      </w:pPr>
      <w:r>
        <w:t xml:space="preserve">Actions Taken</w:t>
      </w:r>
    </w:p>
    <w:p>
      <w:pPr>
        <w:pStyle w:val="ListParagraph"/>
        <w:numPr>
          <w:ilvl w:val="0"/>
          <w:numId w:val="1"/>
        </w:numPr>
        <w:spacing w:after="60"/>
      </w:pPr>
      <w:r>
        <w:t xml:space="preserve">Located Kavita Patel's account (username: kpatel) in the Directory, Groups tab.</w:t>
      </w:r>
    </w:p>
    <w:p>
      <w:pPr>
        <w:pStyle w:val="ListParagraph"/>
        <w:numPr>
          <w:ilvl w:val="0"/>
          <w:numId w:val="1"/>
        </w:numPr>
        <w:spacing w:after="60"/>
      </w:pPr>
      <w:r>
        <w:t xml:space="preserve">Confirmed her existing group memberships: Domain Users, Engineering.</w:t>
      </w:r>
    </w:p>
    <w:p>
      <w:pPr>
        <w:pStyle w:val="ListParagraph"/>
        <w:numPr>
          <w:ilvl w:val="0"/>
          <w:numId w:val="1"/>
        </w:numPr>
        <w:spacing w:after="60"/>
      </w:pPr>
      <w:r>
        <w:t xml:space="preserve">Added her to the IT Infrastructure group to grant access to her new team's tools.</w:t>
      </w:r>
    </w:p>
    <w:p>
      <w:pPr>
        <w:spacing w:after="60" w:before="12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i/>
          <w:iCs/>
          <w:color w:val="666666"/>
          <w:sz w:val="18"/>
          <w:szCs w:val="18"/>
        </w:rPr>
        <w:t xml:space="preserve">Figure 2 — Adding Kavita Patel to the IT Infrastructure group</w:t>
      </w:r>
    </w:p>
    <w:p>
      <w:pPr>
        <w:pStyle w:val="ListParagraph"/>
        <w:numPr>
          <w:ilvl w:val="0"/>
          <w:numId w:val="1"/>
        </w:numPr>
        <w:spacing w:after="60"/>
      </w:pPr>
      <w:r>
        <w:t xml:space="preserve">Removed her from the Engineering group to revoke her previous department access per security policy.</w:t>
      </w:r>
    </w:p>
    <w:p>
      <w:pPr>
        <w:pStyle w:val="ListParagraph"/>
        <w:numPr>
          <w:ilvl w:val="0"/>
          <w:numId w:val="1"/>
        </w:numPr>
        <w:spacing w:after="60"/>
      </w:pPr>
      <w:r>
        <w:t xml:space="preserve">Verified the final group membership showed Domain Users and IT Infrastructure only, with Engineering removed.</w:t>
      </w:r>
    </w:p>
    <w:p>
      <w:pPr>
        <w:spacing w:after="60" w:before="120"/>
        <w:jc w:val="center"/>
      </w:pPr>
      <w:r>
        <w:drawing>
          <wp:inline distT="0" distB="0" distL="0" distR="0">
            <wp:extent cx="4762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00225"/>
                    </a:xfrm>
                    <a:prstGeom prst="rect">
                      <a:avLst/>
                    </a:prstGeom>
                  </pic:spPr>
                </pic:pic>
              </a:graphicData>
            </a:graphic>
          </wp:inline>
        </w:drawing>
      </w:r>
    </w:p>
    <w:p>
      <w:pPr>
        <w:spacing w:after="200"/>
        <w:jc w:val="center"/>
      </w:pPr>
      <w:r>
        <w:rPr>
          <w:i/>
          <w:iCs/>
          <w:color w:val="666666"/>
          <w:sz w:val="18"/>
          <w:szCs w:val="18"/>
        </w:rPr>
        <w:t xml:space="preserve">Figure 3 — Group membership after Engineering access was revoked</w:t>
      </w:r>
    </w:p>
    <w:p>
      <w:pPr>
        <w:pStyle w:val="Heading2"/>
        <w:spacing w:after="120" w:before="300"/>
      </w:pPr>
      <w:r>
        <w:t xml:space="preserve">Resolution</w:t>
      </w:r>
    </w:p>
    <w:p>
      <w:pPr>
        <w:spacing w:after="200"/>
      </w:pPr>
      <w:r>
        <w:t xml:space="preserve">Kavita Patel's group memberships were updated to reflect her transfer: IT Infrastructure access was granted and Engineering access was revoked, ahead of her new role start on Wednesday. No further action required.</w:t>
      </w:r>
    </w:p>
    <w:p>
      <w:pPr>
        <w:pStyle w:val="Heading2"/>
        <w:spacing w:after="120" w:before="300"/>
      </w:pPr>
      <w:r>
        <w:t xml:space="preserve">Before / After 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tblGrid>
      <w:tr>
        <w:tc>
          <w:tcPr>
            <w:tcW w:type="dxa" w:w="3080"/>
            <w:shd w:fill="D9D9D9" w:val="clear"/>
          </w:tcPr>
          <w:p>
            <w:r>
              <w:rPr>
                <w:b/>
                <w:bCs/>
                <w:sz w:val="20"/>
                <w:szCs w:val="20"/>
              </w:rPr>
              <w:t xml:space="preserve">Field</w:t>
            </w:r>
          </w:p>
        </w:tc>
        <w:tc>
          <w:tcPr>
            <w:tcW w:type="dxa" w:w="3080"/>
            <w:shd w:fill="D9D9D9" w:val="clear"/>
          </w:tcPr>
          <w:p>
            <w:r>
              <w:rPr>
                <w:b/>
                <w:bCs/>
                <w:sz w:val="20"/>
                <w:szCs w:val="20"/>
              </w:rPr>
              <w:t xml:space="preserve">Before</w:t>
            </w:r>
          </w:p>
        </w:tc>
        <w:tc>
          <w:tcPr>
            <w:tcW w:type="dxa" w:w="3080"/>
            <w:shd w:fill="D9D9D9" w:val="clear"/>
          </w:tcPr>
          <w:p>
            <w:r>
              <w:rPr>
                <w:b/>
                <w:bCs/>
                <w:sz w:val="20"/>
                <w:szCs w:val="20"/>
              </w:rPr>
              <w:t xml:space="preserve">After</w:t>
            </w:r>
          </w:p>
        </w:tc>
      </w:tr>
      <w:tr>
        <w:tc>
          <w:tcPr>
            <w:tcW w:type="dxa" w:w="3080"/>
          </w:tcPr>
          <w:p>
            <w:r>
              <w:t xml:space="preserve">Group Memberships</w:t>
            </w:r>
          </w:p>
        </w:tc>
        <w:tc>
          <w:tcPr>
            <w:tcW w:type="dxa" w:w="3080"/>
          </w:tcPr>
          <w:p>
            <w:r>
              <w:t xml:space="preserve">Domain Users, Engineering</w:t>
            </w:r>
          </w:p>
        </w:tc>
        <w:tc>
          <w:tcPr>
            <w:tcW w:type="dxa" w:w="3080"/>
          </w:tcPr>
          <w:p>
            <w:r>
              <w:t xml:space="preserve">Domain Users, IT Infrastructure</w:t>
            </w:r>
          </w:p>
        </w:tc>
      </w:tr>
    </w:tbl>
    <w:p>
      <w:pPr>
        <w:pStyle w:val="Heading2"/>
        <w:spacing w:after="120" w:before="300"/>
      </w:pPr>
      <w:r>
        <w:t xml:space="preserve">Notes</w:t>
      </w:r>
    </w:p>
    <w:p>
      <w:pPr>
        <w:spacing w:after="200"/>
      </w:pPr>
      <w:r>
        <w:t xml:space="preserve">Department and reporting-line changes are being handled separately by HR, per the requester's note, and were out of scope for this ticket.</w:t>
      </w:r>
    </w:p>
    <w:p>
      <w:pPr>
        <w:pStyle w:val="Heading2"/>
        <w:spacing w:after="120" w:before="200"/>
      </w:pPr>
      <w:r>
        <w:t xml:space="preserve">Ticket Closure</w:t>
      </w:r>
    </w:p>
    <w:p>
      <w:pPr>
        <w:spacing w:after="80"/>
      </w:pPr>
      <w:r>
        <w:rPr>
          <w:i/>
          <w:iCs/>
          <w:sz w:val="22"/>
          <w:szCs w:val="22"/>
        </w:rPr>
        <w:t xml:space="preserve">Resolution notes (as entered on ticket close):</w:t>
      </w:r>
    </w:p>
    <w:p>
      <w:pPr>
        <w:spacing w:after="200"/>
        <w:ind w:left="360"/>
      </w:pPr>
      <w:r>
        <w:rPr>
          <w:sz w:val="22"/>
          <w:szCs w:val="22"/>
        </w:rPr>
        <w:t xml:space="preserve">"I opened the user's account in the admin console, changed their team from the old group to the new one, applied the updated role, and confirmed their access rights and group membership were correct."</w:t>
      </w:r>
    </w:p>
    <w:p>
      <w:pPr>
        <w:spacing w:after="60" w:before="120"/>
        <w:jc w:val="center"/>
      </w:pPr>
      <w:r>
        <w:drawing>
          <wp:inline distT="0" distB="0" distL="0" distR="0">
            <wp:extent cx="3333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209800"/>
                    </a:xfrm>
                    <a:prstGeom prst="rect">
                      <a:avLst/>
                    </a:prstGeom>
                  </pic:spPr>
                </pic:pic>
              </a:graphicData>
            </a:graphic>
          </wp:inline>
        </w:drawing>
      </w:r>
    </w:p>
    <w:p>
      <w:pPr>
        <w:spacing w:after="200"/>
        <w:jc w:val="center"/>
      </w:pPr>
      <w:r>
        <w:rPr>
          <w:i/>
          <w:iCs/>
          <w:color w:val="666666"/>
          <w:sz w:val="18"/>
          <w:szCs w:val="18"/>
        </w:rPr>
        <w:t xml:space="preserve">Figure 4 — Close Ticket dialog with resolution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ca5740ef652db9279b6dd0c1f3df18d65d5d10.png"/><Relationship Id="rId8" Type="http://schemas.openxmlformats.org/officeDocument/2006/relationships/image" Target="media/6606b912433bc7886d1c6db63efa3fa576934110.png"/><Relationship Id="rId9" Type="http://schemas.openxmlformats.org/officeDocument/2006/relationships/image" Target="media/c60be40e3299e5af470a3a701ee0c98e6b440a2c.png"/><Relationship Id="rId10" Type="http://schemas.openxmlformats.org/officeDocument/2006/relationships/image" Target="media/090cb1cad66e9a040fa8d77768664ccd56a9924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2026-07-08T02:52:48.762Z</dcterms:created>
  <dcterms:modified xsi:type="dcterms:W3CDTF">2026-07-08T02:52:48.774Z</dcterms:modified>
</cp:coreProperties>
</file>

<file path=docProps/custom.xml><?xml version="1.0" encoding="utf-8"?>
<Properties xmlns="http://schemas.openxmlformats.org/officeDocument/2006/custom-properties" xmlns:vt="http://schemas.openxmlformats.org/officeDocument/2006/docPropsVTypes"/>
</file>