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3FFC" w:rsidRDefault="000E00E6">
      <w:pPr>
        <w:pStyle w:val="Title"/>
        <w:jc w:val="center"/>
      </w:pPr>
      <w:bookmarkStart w:id="0" w:name="_GoBack"/>
      <w:bookmarkEnd w:id="0"/>
      <w:r>
        <w:t>AGRICULTURE SURVEY ANALYSIS REPORT</w:t>
      </w:r>
    </w:p>
    <w:p w:rsidR="009D3FFC" w:rsidRDefault="000E00E6">
      <w:pPr>
        <w:jc w:val="center"/>
      </w:pPr>
      <w:r>
        <w:rPr>
          <w:b/>
          <w:sz w:val="28"/>
        </w:rPr>
        <w:t>Mixed-Methods Evidence for Targeted Agricultural Support</w:t>
      </w:r>
    </w:p>
    <w:p w:rsidR="009D3FFC" w:rsidRDefault="009D3FFC"/>
    <w:p w:rsidR="009D3FFC" w:rsidRDefault="000E00E6">
      <w:pPr>
        <w:jc w:val="center"/>
      </w:pPr>
      <w:r>
        <w:rPr>
          <w:b/>
        </w:rPr>
        <w:t>Generated: 12 September 2026</w:t>
      </w:r>
      <w:r>
        <w:rPr>
          <w:b/>
        </w:rPr>
        <w:br/>
      </w:r>
      <w:r>
        <w:t>Sample size: 150 smallholder farmers</w:t>
      </w:r>
      <w:r>
        <w:br/>
        <w:t>Prepared for NGO leadership and funding partners</w:t>
      </w:r>
    </w:p>
    <w:p w:rsidR="009D3FFC" w:rsidRDefault="000E00E6">
      <w:r>
        <w:br w:type="page"/>
      </w:r>
    </w:p>
    <w:p w:rsidR="009D3FFC" w:rsidRDefault="000E00E6">
      <w:pPr>
        <w:pStyle w:val="Heading1"/>
      </w:pPr>
      <w:r>
        <w:lastRenderedPageBreak/>
        <w:t>1. Executive Summary – Why This Matters</w:t>
      </w:r>
    </w:p>
    <w:p w:rsidR="009D3FFC" w:rsidRDefault="000E00E6">
      <w:r>
        <w:t xml:space="preserve">This </w:t>
      </w:r>
      <w:r>
        <w:t>report presents hard evidence from 150 smallholder farmers. The average farmer is 44 years old, works only 1.97 hectares of land, and reports an estimated seasonal income of just KES 55,139. Only 31% have access to any form of irrigation, and only 44% regu</w:t>
      </w:r>
      <w:r>
        <w:t>larly use fertilizer.</w:t>
      </w:r>
    </w:p>
    <w:p w:rsidR="009D3FFC" w:rsidRDefault="009D3FFC"/>
    <w:p w:rsidR="009D3FFC" w:rsidRDefault="000E00E6">
      <w:r>
        <w:rPr>
          <w:b/>
        </w:rPr>
        <w:t xml:space="preserve">The data reveals a clear and urgent picture: </w:t>
      </w:r>
      <w:r>
        <w:t>most farmers are trapped in low-productivity, climate-vulnerable farming systems. At the same time, a significant minority have already begun adopting improved practices. This creates a po</w:t>
      </w:r>
      <w:r>
        <w:t>werful window of opportunity for well-designed, evidence-based interventions.</w:t>
      </w:r>
    </w:p>
    <w:p w:rsidR="009D3FFC" w:rsidRDefault="000E00E6">
      <w:r>
        <w:t>The findings in this report can be used directly to design projects, justify funding requests, and demonstrate to donors that resources will be targeted where they will produce t</w:t>
      </w:r>
      <w:r>
        <w:t>he greatest impact.</w:t>
      </w:r>
    </w:p>
    <w:p w:rsidR="009D3FFC" w:rsidRDefault="000E00E6">
      <w:pPr>
        <w:pStyle w:val="Heading1"/>
      </w:pPr>
      <w:r>
        <w:t>2. Who Did We Speak To?</w:t>
      </w:r>
    </w:p>
    <w:p w:rsidR="009D3FFC" w:rsidRDefault="000E00E6">
      <w:r>
        <w:t>A total of 150 farmers completed the survey.</w:t>
      </w:r>
    </w:p>
    <w:p w:rsidR="009D3FFC" w:rsidRDefault="000E00E6">
      <w:r>
        <w:t>148 of them provided usable GPS coordinates, allowing us to map their exact locations.</w:t>
      </w:r>
    </w:p>
    <w:p w:rsidR="009D3FFC" w:rsidRDefault="009D3FFC"/>
    <w:p w:rsidR="009D3FFC" w:rsidRDefault="000E00E6">
      <w:r>
        <w:t>Gender distribution:</w:t>
      </w:r>
    </w:p>
    <w:p w:rsidR="009D3FFC" w:rsidRDefault="000E00E6">
      <w:pPr>
        <w:pStyle w:val="ListBullet"/>
      </w:pPr>
      <w:r>
        <w:t>• Male: 73 farmers (48.7%)</w:t>
      </w:r>
    </w:p>
    <w:p w:rsidR="009D3FFC" w:rsidRDefault="000E00E6">
      <w:pPr>
        <w:pStyle w:val="ListBullet"/>
      </w:pPr>
      <w:r>
        <w:t>• Female: 73 farmers (48.7%)</w:t>
      </w:r>
    </w:p>
    <w:p w:rsidR="009D3FFC" w:rsidRDefault="000E00E6">
      <w:pPr>
        <w:pStyle w:val="ListBullet"/>
      </w:pPr>
      <w:r>
        <w:t xml:space="preserve">• </w:t>
      </w:r>
      <w:r>
        <w:t>nan: 4 farmers (2.7%)</w:t>
      </w:r>
    </w:p>
    <w:p w:rsidR="009D3FFC" w:rsidRDefault="009D3FFC"/>
    <w:p w:rsidR="009D3FFC" w:rsidRDefault="000E00E6">
      <w:r>
        <w:t>The average farm size is only 1.97 hectares – roughly the size of two football fields or less. This confirms that we are dealing predominantly with true smallholder farmers who have very limited land resources.</w:t>
      </w:r>
    </w:p>
    <w:p w:rsidR="009D3FFC" w:rsidRDefault="000E00E6">
      <w:pPr>
        <w:pStyle w:val="Heading1"/>
      </w:pPr>
      <w:r>
        <w:t xml:space="preserve">3. The Hard Numbers – </w:t>
      </w:r>
      <w:r>
        <w:t>Current Reality</w:t>
      </w:r>
    </w:p>
    <w:p w:rsidR="009D3FFC" w:rsidRDefault="000E00E6">
      <w:r>
        <w:t>The table below summarises the core quantitative findings. These numbers form the foundation of every recommendation in this report.</w:t>
      </w:r>
    </w:p>
    <w:tbl>
      <w:tblPr>
        <w:tblStyle w:val="TableGrid"/>
        <w:tblW w:w="0" w:type="auto"/>
        <w:tblLook w:val="04A0" w:firstRow="1" w:lastRow="0" w:firstColumn="1" w:lastColumn="0" w:noHBand="0" w:noVBand="1"/>
      </w:tblPr>
      <w:tblGrid>
        <w:gridCol w:w="2491"/>
        <w:gridCol w:w="2490"/>
        <w:gridCol w:w="2490"/>
        <w:gridCol w:w="2491"/>
      </w:tblGrid>
      <w:tr w:rsidR="009D3FFC">
        <w:tc>
          <w:tcPr>
            <w:tcW w:w="2493" w:type="dxa"/>
          </w:tcPr>
          <w:p w:rsidR="009D3FFC" w:rsidRDefault="000E00E6">
            <w:r>
              <w:t>Indicator</w:t>
            </w:r>
          </w:p>
        </w:tc>
        <w:tc>
          <w:tcPr>
            <w:tcW w:w="2493" w:type="dxa"/>
          </w:tcPr>
          <w:p w:rsidR="009D3FFC" w:rsidRDefault="000E00E6">
            <w:r>
              <w:t>Average</w:t>
            </w:r>
          </w:p>
        </w:tc>
        <w:tc>
          <w:tcPr>
            <w:tcW w:w="2493" w:type="dxa"/>
          </w:tcPr>
          <w:p w:rsidR="009D3FFC" w:rsidRDefault="000E00E6">
            <w:r>
              <w:t>Lowest</w:t>
            </w:r>
          </w:p>
        </w:tc>
        <w:tc>
          <w:tcPr>
            <w:tcW w:w="2493" w:type="dxa"/>
          </w:tcPr>
          <w:p w:rsidR="009D3FFC" w:rsidRDefault="000E00E6">
            <w:r>
              <w:t>Highest</w:t>
            </w:r>
          </w:p>
        </w:tc>
      </w:tr>
      <w:tr w:rsidR="009D3FFC">
        <w:tc>
          <w:tcPr>
            <w:tcW w:w="2493" w:type="dxa"/>
          </w:tcPr>
          <w:p w:rsidR="009D3FFC" w:rsidRDefault="000E00E6">
            <w:r>
              <w:t>Age of farmer (years)</w:t>
            </w:r>
          </w:p>
        </w:tc>
        <w:tc>
          <w:tcPr>
            <w:tcW w:w="2493" w:type="dxa"/>
          </w:tcPr>
          <w:p w:rsidR="009D3FFC" w:rsidRDefault="000E00E6">
            <w:r>
              <w:t>44.5</w:t>
            </w:r>
          </w:p>
        </w:tc>
        <w:tc>
          <w:tcPr>
            <w:tcW w:w="2493" w:type="dxa"/>
          </w:tcPr>
          <w:p w:rsidR="009D3FFC" w:rsidRDefault="000E00E6">
            <w:r>
              <w:t>18.0</w:t>
            </w:r>
          </w:p>
        </w:tc>
        <w:tc>
          <w:tcPr>
            <w:tcW w:w="2493" w:type="dxa"/>
          </w:tcPr>
          <w:p w:rsidR="009D3FFC" w:rsidRDefault="000E00E6">
            <w:r>
              <w:t>74.0</w:t>
            </w:r>
          </w:p>
        </w:tc>
      </w:tr>
      <w:tr w:rsidR="009D3FFC">
        <w:tc>
          <w:tcPr>
            <w:tcW w:w="2493" w:type="dxa"/>
          </w:tcPr>
          <w:p w:rsidR="009D3FFC" w:rsidRDefault="000E00E6">
            <w:r>
              <w:t>Farm size (hectares)</w:t>
            </w:r>
          </w:p>
        </w:tc>
        <w:tc>
          <w:tcPr>
            <w:tcW w:w="2493" w:type="dxa"/>
          </w:tcPr>
          <w:p w:rsidR="009D3FFC" w:rsidRDefault="000E00E6">
            <w:r>
              <w:t>2.0</w:t>
            </w:r>
          </w:p>
        </w:tc>
        <w:tc>
          <w:tcPr>
            <w:tcW w:w="2493" w:type="dxa"/>
          </w:tcPr>
          <w:p w:rsidR="009D3FFC" w:rsidRDefault="000E00E6">
            <w:r>
              <w:t>0.2</w:t>
            </w:r>
          </w:p>
        </w:tc>
        <w:tc>
          <w:tcPr>
            <w:tcW w:w="2493" w:type="dxa"/>
          </w:tcPr>
          <w:p w:rsidR="009D3FFC" w:rsidRDefault="000E00E6">
            <w:r>
              <w:t>14.5</w:t>
            </w:r>
          </w:p>
        </w:tc>
      </w:tr>
      <w:tr w:rsidR="009D3FFC">
        <w:tc>
          <w:tcPr>
            <w:tcW w:w="2493" w:type="dxa"/>
          </w:tcPr>
          <w:p w:rsidR="009D3FFC" w:rsidRDefault="000E00E6">
            <w:r>
              <w:t>Yield last season (kg)</w:t>
            </w:r>
          </w:p>
        </w:tc>
        <w:tc>
          <w:tcPr>
            <w:tcW w:w="2493" w:type="dxa"/>
          </w:tcPr>
          <w:p w:rsidR="009D3FFC" w:rsidRDefault="000E00E6">
            <w:r>
              <w:t>990.9</w:t>
            </w:r>
          </w:p>
        </w:tc>
        <w:tc>
          <w:tcPr>
            <w:tcW w:w="2493" w:type="dxa"/>
          </w:tcPr>
          <w:p w:rsidR="009D3FFC" w:rsidRDefault="000E00E6">
            <w:r>
              <w:t>87.9</w:t>
            </w:r>
          </w:p>
        </w:tc>
        <w:tc>
          <w:tcPr>
            <w:tcW w:w="2493" w:type="dxa"/>
          </w:tcPr>
          <w:p w:rsidR="009D3FFC" w:rsidRDefault="000E00E6">
            <w:r>
              <w:t>5408.7</w:t>
            </w:r>
          </w:p>
        </w:tc>
      </w:tr>
      <w:tr w:rsidR="009D3FFC">
        <w:tc>
          <w:tcPr>
            <w:tcW w:w="2493" w:type="dxa"/>
          </w:tcPr>
          <w:p w:rsidR="009D3FFC" w:rsidRDefault="000E00E6">
            <w:r>
              <w:t>Estimated income (KES)</w:t>
            </w:r>
          </w:p>
        </w:tc>
        <w:tc>
          <w:tcPr>
            <w:tcW w:w="2493" w:type="dxa"/>
          </w:tcPr>
          <w:p w:rsidR="009D3FFC" w:rsidRDefault="000E00E6">
            <w:r>
              <w:t>55138.5</w:t>
            </w:r>
          </w:p>
        </w:tc>
        <w:tc>
          <w:tcPr>
            <w:tcW w:w="2493" w:type="dxa"/>
          </w:tcPr>
          <w:p w:rsidR="009D3FFC" w:rsidRDefault="000E00E6">
            <w:r>
              <w:t>1515.0</w:t>
            </w:r>
          </w:p>
        </w:tc>
        <w:tc>
          <w:tcPr>
            <w:tcW w:w="2493" w:type="dxa"/>
          </w:tcPr>
          <w:p w:rsidR="009D3FFC" w:rsidRDefault="000E00E6">
            <w:r>
              <w:t>546541.0</w:t>
            </w:r>
          </w:p>
        </w:tc>
      </w:tr>
      <w:tr w:rsidR="009D3FFC">
        <w:tc>
          <w:tcPr>
            <w:tcW w:w="2493" w:type="dxa"/>
          </w:tcPr>
          <w:p w:rsidR="009D3FFC" w:rsidRDefault="000E00E6">
            <w:r>
              <w:t>Years of farming experience</w:t>
            </w:r>
          </w:p>
        </w:tc>
        <w:tc>
          <w:tcPr>
            <w:tcW w:w="2493" w:type="dxa"/>
          </w:tcPr>
          <w:p w:rsidR="009D3FFC" w:rsidRDefault="000E00E6">
            <w:r>
              <w:t>23.3</w:t>
            </w:r>
          </w:p>
        </w:tc>
        <w:tc>
          <w:tcPr>
            <w:tcW w:w="2493" w:type="dxa"/>
          </w:tcPr>
          <w:p w:rsidR="009D3FFC" w:rsidRDefault="000E00E6">
            <w:r>
              <w:t>1.0</w:t>
            </w:r>
          </w:p>
        </w:tc>
        <w:tc>
          <w:tcPr>
            <w:tcW w:w="2493" w:type="dxa"/>
          </w:tcPr>
          <w:p w:rsidR="009D3FFC" w:rsidRDefault="000E00E6">
            <w:r>
              <w:t>44.0</w:t>
            </w:r>
          </w:p>
        </w:tc>
      </w:tr>
    </w:tbl>
    <w:p w:rsidR="009D3FFC" w:rsidRDefault="009D3FFC"/>
    <w:p w:rsidR="009D3FFC" w:rsidRDefault="000E00E6">
      <w:r>
        <w:t>Most common main crops:</w:t>
      </w:r>
    </w:p>
    <w:p w:rsidR="009D3FFC" w:rsidRDefault="000E00E6">
      <w:pPr>
        <w:pStyle w:val="ListBullet"/>
      </w:pPr>
      <w:r>
        <w:t>• Maize: 60 farmers (40.0%)</w:t>
      </w:r>
    </w:p>
    <w:p w:rsidR="009D3FFC" w:rsidRDefault="000E00E6">
      <w:pPr>
        <w:pStyle w:val="ListBullet"/>
      </w:pPr>
      <w:r>
        <w:lastRenderedPageBreak/>
        <w:t>• Beans: 31 farmers (20.7%)</w:t>
      </w:r>
    </w:p>
    <w:p w:rsidR="009D3FFC" w:rsidRDefault="000E00E6">
      <w:pPr>
        <w:pStyle w:val="ListBullet"/>
      </w:pPr>
      <w:r>
        <w:t>• Coffee: 22 farmers (14.7%)</w:t>
      </w:r>
    </w:p>
    <w:p w:rsidR="009D3FFC" w:rsidRDefault="000E00E6">
      <w:pPr>
        <w:pStyle w:val="ListBullet"/>
      </w:pPr>
      <w:r>
        <w:t xml:space="preserve">• Potatoes: </w:t>
      </w:r>
      <w:r>
        <w:t>11 farmers (7.3%)</w:t>
      </w:r>
    </w:p>
    <w:p w:rsidR="009D3FFC" w:rsidRDefault="000E00E6">
      <w:pPr>
        <w:pStyle w:val="ListBullet"/>
      </w:pPr>
      <w:r>
        <w:t>• Vegetables: 10 farmers (6.7%)</w:t>
      </w:r>
    </w:p>
    <w:p w:rsidR="009D3FFC" w:rsidRDefault="000E00E6">
      <w:pPr>
        <w:pStyle w:val="ListBullet"/>
      </w:pPr>
      <w:r>
        <w:t>• Tea: 9 farmers (6.0%)</w:t>
      </w:r>
    </w:p>
    <w:p w:rsidR="009D3FFC" w:rsidRDefault="000E00E6">
      <w:pPr>
        <w:pStyle w:val="Heading1"/>
      </w:pPr>
      <w:r>
        <w:t>4. How the Numbers Relate to Each Other (Correlations)</w:t>
      </w:r>
    </w:p>
    <w:p w:rsidR="009D3FFC" w:rsidRDefault="000E00E6">
      <w:r>
        <w:t xml:space="preserve">Before looking at the charts, it is important to understand how the different factors move together. The table below shows the </w:t>
      </w:r>
      <w:r>
        <w:t>correlation coefficients. A value close to +1 means two things rise together; a value close to –1 means when one rises the other falls; a value near 0 means little relationship.</w:t>
      </w:r>
    </w:p>
    <w:tbl>
      <w:tblPr>
        <w:tblStyle w:val="TableGrid"/>
        <w:tblW w:w="0" w:type="auto"/>
        <w:tblLook w:val="04A0" w:firstRow="1" w:lastRow="0" w:firstColumn="1" w:lastColumn="0" w:noHBand="0" w:noVBand="1"/>
      </w:tblPr>
      <w:tblGrid>
        <w:gridCol w:w="1425"/>
        <w:gridCol w:w="1425"/>
        <w:gridCol w:w="1425"/>
        <w:gridCol w:w="1425"/>
        <w:gridCol w:w="1425"/>
        <w:gridCol w:w="1425"/>
        <w:gridCol w:w="1425"/>
      </w:tblGrid>
      <w:tr w:rsidR="009D3FFC">
        <w:tc>
          <w:tcPr>
            <w:tcW w:w="1425" w:type="dxa"/>
          </w:tcPr>
          <w:p w:rsidR="009D3FFC" w:rsidRDefault="000E00E6">
            <w:r>
              <w:t>Variable</w:t>
            </w:r>
          </w:p>
        </w:tc>
        <w:tc>
          <w:tcPr>
            <w:tcW w:w="1425" w:type="dxa"/>
          </w:tcPr>
          <w:p w:rsidR="009D3FFC" w:rsidRDefault="000E00E6">
            <w:r>
              <w:t>Age</w:t>
            </w:r>
          </w:p>
        </w:tc>
        <w:tc>
          <w:tcPr>
            <w:tcW w:w="1425" w:type="dxa"/>
          </w:tcPr>
          <w:p w:rsidR="009D3FFC" w:rsidRDefault="000E00E6">
            <w:r>
              <w:t>Household Size</w:t>
            </w:r>
          </w:p>
        </w:tc>
        <w:tc>
          <w:tcPr>
            <w:tcW w:w="1425" w:type="dxa"/>
          </w:tcPr>
          <w:p w:rsidR="009D3FFC" w:rsidRDefault="000E00E6">
            <w:r>
              <w:t>Farm Size Ha</w:t>
            </w:r>
          </w:p>
        </w:tc>
        <w:tc>
          <w:tcPr>
            <w:tcW w:w="1425" w:type="dxa"/>
          </w:tcPr>
          <w:p w:rsidR="009D3FFC" w:rsidRDefault="000E00E6">
            <w:r>
              <w:t>Yield Kg Last Season</w:t>
            </w:r>
          </w:p>
        </w:tc>
        <w:tc>
          <w:tcPr>
            <w:tcW w:w="1425" w:type="dxa"/>
          </w:tcPr>
          <w:p w:rsidR="009D3FFC" w:rsidRDefault="000E00E6">
            <w:r>
              <w:t>Estimated Income</w:t>
            </w:r>
            <w:r>
              <w:t xml:space="preserve"> Kes</w:t>
            </w:r>
          </w:p>
        </w:tc>
        <w:tc>
          <w:tcPr>
            <w:tcW w:w="1425" w:type="dxa"/>
          </w:tcPr>
          <w:p w:rsidR="009D3FFC" w:rsidRDefault="000E00E6">
            <w:r>
              <w:t>Years Farming</w:t>
            </w:r>
          </w:p>
        </w:tc>
      </w:tr>
      <w:tr w:rsidR="009D3FFC">
        <w:tc>
          <w:tcPr>
            <w:tcW w:w="1425" w:type="dxa"/>
          </w:tcPr>
          <w:p w:rsidR="009D3FFC" w:rsidRDefault="000E00E6">
            <w:r>
              <w:t>Age</w:t>
            </w:r>
          </w:p>
        </w:tc>
        <w:tc>
          <w:tcPr>
            <w:tcW w:w="1425" w:type="dxa"/>
          </w:tcPr>
          <w:p w:rsidR="009D3FFC" w:rsidRDefault="000E00E6">
            <w:r>
              <w:t>1.00</w:t>
            </w:r>
          </w:p>
        </w:tc>
        <w:tc>
          <w:tcPr>
            <w:tcW w:w="1425" w:type="dxa"/>
          </w:tcPr>
          <w:p w:rsidR="009D3FFC" w:rsidRDefault="000E00E6">
            <w:r>
              <w:t>-0.01</w:t>
            </w:r>
          </w:p>
        </w:tc>
        <w:tc>
          <w:tcPr>
            <w:tcW w:w="1425" w:type="dxa"/>
          </w:tcPr>
          <w:p w:rsidR="009D3FFC" w:rsidRDefault="000E00E6">
            <w:r>
              <w:t>-0.13</w:t>
            </w:r>
          </w:p>
        </w:tc>
        <w:tc>
          <w:tcPr>
            <w:tcW w:w="1425" w:type="dxa"/>
          </w:tcPr>
          <w:p w:rsidR="009D3FFC" w:rsidRDefault="000E00E6">
            <w:r>
              <w:t>-0.06</w:t>
            </w:r>
          </w:p>
        </w:tc>
        <w:tc>
          <w:tcPr>
            <w:tcW w:w="1425" w:type="dxa"/>
          </w:tcPr>
          <w:p w:rsidR="009D3FFC" w:rsidRDefault="000E00E6">
            <w:r>
              <w:t>-0.14</w:t>
            </w:r>
          </w:p>
        </w:tc>
        <w:tc>
          <w:tcPr>
            <w:tcW w:w="1425" w:type="dxa"/>
          </w:tcPr>
          <w:p w:rsidR="009D3FFC" w:rsidRDefault="000E00E6">
            <w:r>
              <w:t>-0.08</w:t>
            </w:r>
          </w:p>
        </w:tc>
      </w:tr>
      <w:tr w:rsidR="009D3FFC">
        <w:tc>
          <w:tcPr>
            <w:tcW w:w="1425" w:type="dxa"/>
          </w:tcPr>
          <w:p w:rsidR="009D3FFC" w:rsidRDefault="000E00E6">
            <w:r>
              <w:t>Household Size</w:t>
            </w:r>
          </w:p>
        </w:tc>
        <w:tc>
          <w:tcPr>
            <w:tcW w:w="1425" w:type="dxa"/>
          </w:tcPr>
          <w:p w:rsidR="009D3FFC" w:rsidRDefault="000E00E6">
            <w:r>
              <w:t>-0.01</w:t>
            </w:r>
          </w:p>
        </w:tc>
        <w:tc>
          <w:tcPr>
            <w:tcW w:w="1425" w:type="dxa"/>
          </w:tcPr>
          <w:p w:rsidR="009D3FFC" w:rsidRDefault="000E00E6">
            <w:r>
              <w:t>1.00</w:t>
            </w:r>
          </w:p>
        </w:tc>
        <w:tc>
          <w:tcPr>
            <w:tcW w:w="1425" w:type="dxa"/>
          </w:tcPr>
          <w:p w:rsidR="009D3FFC" w:rsidRDefault="000E00E6">
            <w:r>
              <w:t>-0.15</w:t>
            </w:r>
          </w:p>
        </w:tc>
        <w:tc>
          <w:tcPr>
            <w:tcW w:w="1425" w:type="dxa"/>
          </w:tcPr>
          <w:p w:rsidR="009D3FFC" w:rsidRDefault="000E00E6">
            <w:r>
              <w:t>-0.01</w:t>
            </w:r>
          </w:p>
        </w:tc>
        <w:tc>
          <w:tcPr>
            <w:tcW w:w="1425" w:type="dxa"/>
          </w:tcPr>
          <w:p w:rsidR="009D3FFC" w:rsidRDefault="000E00E6">
            <w:r>
              <w:t>-0.03</w:t>
            </w:r>
          </w:p>
        </w:tc>
        <w:tc>
          <w:tcPr>
            <w:tcW w:w="1425" w:type="dxa"/>
          </w:tcPr>
          <w:p w:rsidR="009D3FFC" w:rsidRDefault="000E00E6">
            <w:r>
              <w:t>-0.06</w:t>
            </w:r>
          </w:p>
        </w:tc>
      </w:tr>
      <w:tr w:rsidR="009D3FFC">
        <w:tc>
          <w:tcPr>
            <w:tcW w:w="1425" w:type="dxa"/>
          </w:tcPr>
          <w:p w:rsidR="009D3FFC" w:rsidRDefault="000E00E6">
            <w:r>
              <w:t>Farm Size Ha</w:t>
            </w:r>
          </w:p>
        </w:tc>
        <w:tc>
          <w:tcPr>
            <w:tcW w:w="1425" w:type="dxa"/>
          </w:tcPr>
          <w:p w:rsidR="009D3FFC" w:rsidRDefault="000E00E6">
            <w:r>
              <w:t>-0.13</w:t>
            </w:r>
          </w:p>
        </w:tc>
        <w:tc>
          <w:tcPr>
            <w:tcW w:w="1425" w:type="dxa"/>
          </w:tcPr>
          <w:p w:rsidR="009D3FFC" w:rsidRDefault="000E00E6">
            <w:r>
              <w:t>-0.15</w:t>
            </w:r>
          </w:p>
        </w:tc>
        <w:tc>
          <w:tcPr>
            <w:tcW w:w="1425" w:type="dxa"/>
          </w:tcPr>
          <w:p w:rsidR="009D3FFC" w:rsidRDefault="000E00E6">
            <w:r>
              <w:t>1.00</w:t>
            </w:r>
          </w:p>
        </w:tc>
        <w:tc>
          <w:tcPr>
            <w:tcW w:w="1425" w:type="dxa"/>
          </w:tcPr>
          <w:p w:rsidR="009D3FFC" w:rsidRDefault="000E00E6">
            <w:r>
              <w:t>0.15</w:t>
            </w:r>
          </w:p>
        </w:tc>
        <w:tc>
          <w:tcPr>
            <w:tcW w:w="1425" w:type="dxa"/>
          </w:tcPr>
          <w:p w:rsidR="009D3FFC" w:rsidRDefault="000E00E6">
            <w:r>
              <w:t>-0.07</w:t>
            </w:r>
          </w:p>
        </w:tc>
        <w:tc>
          <w:tcPr>
            <w:tcW w:w="1425" w:type="dxa"/>
          </w:tcPr>
          <w:p w:rsidR="009D3FFC" w:rsidRDefault="000E00E6">
            <w:r>
              <w:t>-0.04</w:t>
            </w:r>
          </w:p>
        </w:tc>
      </w:tr>
      <w:tr w:rsidR="009D3FFC">
        <w:tc>
          <w:tcPr>
            <w:tcW w:w="1425" w:type="dxa"/>
          </w:tcPr>
          <w:p w:rsidR="009D3FFC" w:rsidRDefault="000E00E6">
            <w:r>
              <w:t>Yield Kg Last Season</w:t>
            </w:r>
          </w:p>
        </w:tc>
        <w:tc>
          <w:tcPr>
            <w:tcW w:w="1425" w:type="dxa"/>
          </w:tcPr>
          <w:p w:rsidR="009D3FFC" w:rsidRDefault="000E00E6">
            <w:r>
              <w:t>-0.06</w:t>
            </w:r>
          </w:p>
        </w:tc>
        <w:tc>
          <w:tcPr>
            <w:tcW w:w="1425" w:type="dxa"/>
          </w:tcPr>
          <w:p w:rsidR="009D3FFC" w:rsidRDefault="000E00E6">
            <w:r>
              <w:t>-0.01</w:t>
            </w:r>
          </w:p>
        </w:tc>
        <w:tc>
          <w:tcPr>
            <w:tcW w:w="1425" w:type="dxa"/>
          </w:tcPr>
          <w:p w:rsidR="009D3FFC" w:rsidRDefault="000E00E6">
            <w:r>
              <w:t>0.15</w:t>
            </w:r>
          </w:p>
        </w:tc>
        <w:tc>
          <w:tcPr>
            <w:tcW w:w="1425" w:type="dxa"/>
          </w:tcPr>
          <w:p w:rsidR="009D3FFC" w:rsidRDefault="000E00E6">
            <w:r>
              <w:t>1.00</w:t>
            </w:r>
          </w:p>
        </w:tc>
        <w:tc>
          <w:tcPr>
            <w:tcW w:w="1425" w:type="dxa"/>
          </w:tcPr>
          <w:p w:rsidR="009D3FFC" w:rsidRDefault="000E00E6">
            <w:r>
              <w:t>-0.11</w:t>
            </w:r>
          </w:p>
        </w:tc>
        <w:tc>
          <w:tcPr>
            <w:tcW w:w="1425" w:type="dxa"/>
          </w:tcPr>
          <w:p w:rsidR="009D3FFC" w:rsidRDefault="000E00E6">
            <w:r>
              <w:t>-0.01</w:t>
            </w:r>
          </w:p>
        </w:tc>
      </w:tr>
      <w:tr w:rsidR="009D3FFC">
        <w:tc>
          <w:tcPr>
            <w:tcW w:w="1425" w:type="dxa"/>
          </w:tcPr>
          <w:p w:rsidR="009D3FFC" w:rsidRDefault="000E00E6">
            <w:r>
              <w:t>Estimated Income Kes</w:t>
            </w:r>
          </w:p>
        </w:tc>
        <w:tc>
          <w:tcPr>
            <w:tcW w:w="1425" w:type="dxa"/>
          </w:tcPr>
          <w:p w:rsidR="009D3FFC" w:rsidRDefault="000E00E6">
            <w:r>
              <w:t>-0.14</w:t>
            </w:r>
          </w:p>
        </w:tc>
        <w:tc>
          <w:tcPr>
            <w:tcW w:w="1425" w:type="dxa"/>
          </w:tcPr>
          <w:p w:rsidR="009D3FFC" w:rsidRDefault="000E00E6">
            <w:r>
              <w:t>-0.03</w:t>
            </w:r>
          </w:p>
        </w:tc>
        <w:tc>
          <w:tcPr>
            <w:tcW w:w="1425" w:type="dxa"/>
          </w:tcPr>
          <w:p w:rsidR="009D3FFC" w:rsidRDefault="000E00E6">
            <w:r>
              <w:t>-0.07</w:t>
            </w:r>
          </w:p>
        </w:tc>
        <w:tc>
          <w:tcPr>
            <w:tcW w:w="1425" w:type="dxa"/>
          </w:tcPr>
          <w:p w:rsidR="009D3FFC" w:rsidRDefault="000E00E6">
            <w:r>
              <w:t>-0.11</w:t>
            </w:r>
          </w:p>
        </w:tc>
        <w:tc>
          <w:tcPr>
            <w:tcW w:w="1425" w:type="dxa"/>
          </w:tcPr>
          <w:p w:rsidR="009D3FFC" w:rsidRDefault="000E00E6">
            <w:r>
              <w:t>1.00</w:t>
            </w:r>
          </w:p>
        </w:tc>
        <w:tc>
          <w:tcPr>
            <w:tcW w:w="1425" w:type="dxa"/>
          </w:tcPr>
          <w:p w:rsidR="009D3FFC" w:rsidRDefault="000E00E6">
            <w:r>
              <w:t>-0.07</w:t>
            </w:r>
          </w:p>
        </w:tc>
      </w:tr>
      <w:tr w:rsidR="009D3FFC">
        <w:tc>
          <w:tcPr>
            <w:tcW w:w="1425" w:type="dxa"/>
          </w:tcPr>
          <w:p w:rsidR="009D3FFC" w:rsidRDefault="000E00E6">
            <w:r>
              <w:t>Years Farming</w:t>
            </w:r>
          </w:p>
        </w:tc>
        <w:tc>
          <w:tcPr>
            <w:tcW w:w="1425" w:type="dxa"/>
          </w:tcPr>
          <w:p w:rsidR="009D3FFC" w:rsidRDefault="000E00E6">
            <w:r>
              <w:t>-0.08</w:t>
            </w:r>
          </w:p>
        </w:tc>
        <w:tc>
          <w:tcPr>
            <w:tcW w:w="1425" w:type="dxa"/>
          </w:tcPr>
          <w:p w:rsidR="009D3FFC" w:rsidRDefault="000E00E6">
            <w:r>
              <w:t>-0.06</w:t>
            </w:r>
          </w:p>
        </w:tc>
        <w:tc>
          <w:tcPr>
            <w:tcW w:w="1425" w:type="dxa"/>
          </w:tcPr>
          <w:p w:rsidR="009D3FFC" w:rsidRDefault="000E00E6">
            <w:r>
              <w:t>-0.04</w:t>
            </w:r>
          </w:p>
        </w:tc>
        <w:tc>
          <w:tcPr>
            <w:tcW w:w="1425" w:type="dxa"/>
          </w:tcPr>
          <w:p w:rsidR="009D3FFC" w:rsidRDefault="000E00E6">
            <w:r>
              <w:t>-0.01</w:t>
            </w:r>
          </w:p>
        </w:tc>
        <w:tc>
          <w:tcPr>
            <w:tcW w:w="1425" w:type="dxa"/>
          </w:tcPr>
          <w:p w:rsidR="009D3FFC" w:rsidRDefault="000E00E6">
            <w:r>
              <w:t>-0.07</w:t>
            </w:r>
          </w:p>
        </w:tc>
        <w:tc>
          <w:tcPr>
            <w:tcW w:w="1425" w:type="dxa"/>
          </w:tcPr>
          <w:p w:rsidR="009D3FFC" w:rsidRDefault="000E00E6">
            <w:r>
              <w:t>1.00</w:t>
            </w:r>
          </w:p>
        </w:tc>
      </w:tr>
    </w:tbl>
    <w:p w:rsidR="009D3FFC" w:rsidRDefault="009D3FFC"/>
    <w:p w:rsidR="009D3FFC" w:rsidRDefault="000E00E6">
      <w:pPr>
        <w:pStyle w:val="Heading2"/>
      </w:pPr>
      <w:r>
        <w:t>What these correlations actually mean in everyday language</w:t>
      </w:r>
    </w:p>
    <w:p w:rsidR="009D3FFC" w:rsidRDefault="000E00E6">
      <w:r>
        <w:t xml:space="preserve">• Age and almost everything else show very weak relationships (all close to zero). This means that older farmers are not </w:t>
      </w:r>
      <w:r>
        <w:t>automatically richer or more productive than younger ones. Experience alone is not enough – support is needed across all age groups.</w:t>
      </w:r>
    </w:p>
    <w:p w:rsidR="009D3FFC" w:rsidRDefault="000E00E6">
      <w:r>
        <w:t>• Farm size and yield have a positive correlation of +0.15. This is a modest but real relationship: farmers with slightly l</w:t>
      </w:r>
      <w:r>
        <w:t>arger plots tend to harvest more in total. However, the relationship is not strong, which suggests that simply having more land is not a guarantee of high production – soil quality, water, and inputs matter greatly.</w:t>
      </w:r>
    </w:p>
    <w:p w:rsidR="009D3FFC" w:rsidRDefault="000E00E6">
      <w:r>
        <w:t>• Farm size and income show a weak negat</w:t>
      </w:r>
      <w:r>
        <w:t>ive correlation (–0.07). Surprisingly, larger farms in this sample are not clearly linked to higher reported income. This may indicate marketing problems, post-harvest losses, or that many larger farms are still using low-input methods.</w:t>
      </w:r>
    </w:p>
    <w:p w:rsidR="009D3FFC" w:rsidRDefault="000E00E6">
      <w:r>
        <w:t xml:space="preserve">• Yield and income </w:t>
      </w:r>
      <w:r>
        <w:t>also show a weak negative correlation (–0.11). Higher production does not automatically translate into higher income. This is a critical finding for any funding proposal: without better market access and reduced losses, increasing yields alone will not lif</w:t>
      </w:r>
      <w:r>
        <w:t>t farmers out of poverty.</w:t>
      </w:r>
    </w:p>
    <w:p w:rsidR="009D3FFC" w:rsidRDefault="000E00E6">
      <w:r>
        <w:t>• Household size shows almost no relationship with income or yield. Having more family members does not currently translate into higher farm output or earnings, possibly because of limited land and lack of productive assets.</w:t>
      </w:r>
    </w:p>
    <w:p w:rsidR="009D3FFC" w:rsidRDefault="000E00E6">
      <w:r>
        <w:rPr>
          <w:b/>
        </w:rPr>
        <w:lastRenderedPageBreak/>
        <w:t>Key t</w:t>
      </w:r>
      <w:r>
        <w:rPr>
          <w:b/>
        </w:rPr>
        <w:t xml:space="preserve">akeaway for funders: </w:t>
      </w:r>
      <w:r>
        <w:t>Land size and labour are not the binding constraints. The real constraints are water, inputs, knowledge, and market access. These are exactly the areas where targeted NGO intervention can produce the highest return on investment.</w:t>
      </w:r>
    </w:p>
    <w:p w:rsidR="009D3FFC" w:rsidRDefault="000E00E6">
      <w:pPr>
        <w:pStyle w:val="Heading1"/>
      </w:pPr>
      <w:r>
        <w:t>5. Vi</w:t>
      </w:r>
      <w:r>
        <w:t>sual Evidence – Detailed Chart Interpretations</w:t>
      </w:r>
    </w:p>
    <w:p w:rsidR="009D3FFC" w:rsidRDefault="000E00E6">
      <w:r>
        <w:t xml:space="preserve">Each chart below is accompanied by a detailed interpretation that uses the actual numbers from the survey. These explanations are written so that non-technical readers (including donors) can immediately grasp </w:t>
      </w:r>
      <w:r>
        <w:t>the significance.</w:t>
      </w:r>
    </w:p>
    <w:p w:rsidR="009D3FFC" w:rsidRDefault="000E00E6">
      <w:pPr>
        <w:pStyle w:val="Heading2"/>
      </w:pPr>
      <w:r>
        <w:t>5.1 Age Distribution of Farmers</w:t>
      </w:r>
    </w:p>
    <w:p w:rsidR="009D3FFC" w:rsidRDefault="000E00E6">
      <w:r>
        <w:rPr>
          <w:noProof/>
          <w:lang w:val="en-GB" w:eastAsia="en-GB"/>
        </w:rPr>
        <w:drawing>
          <wp:inline distT="0" distB="0" distL="0" distR="0">
            <wp:extent cx="5303520" cy="318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ge_distribution.png"/>
                    <pic:cNvPicPr/>
                  </pic:nvPicPr>
                  <pic:blipFill>
                    <a:blip r:embed="rId6"/>
                    <a:stretch>
                      <a:fillRect/>
                    </a:stretch>
                  </pic:blipFill>
                  <pic:spPr>
                    <a:xfrm>
                      <a:off x="0" y="0"/>
                      <a:ext cx="5303520" cy="3182112"/>
                    </a:xfrm>
                    <a:prstGeom prst="rect">
                      <a:avLst/>
                    </a:prstGeom>
                  </pic:spPr>
                </pic:pic>
              </a:graphicData>
            </a:graphic>
          </wp:inline>
        </w:drawing>
      </w:r>
    </w:p>
    <w:p w:rsidR="009D3FFC" w:rsidRDefault="000E00E6">
      <w:r>
        <w:t>The average age of farmers in this survey is 44.5 years. The distribution shows that the majority of farmers are concentrated in the middle-age range, with fewer very young and fewer very elderly farmers.</w:t>
      </w:r>
      <w:r>
        <w:t xml:space="preserve"> This has important implications for programming: interventions must be designed for a working-age population that still has many productive years ahead, but may already be supporting school-age children and ageing parents. Youth engagement strategies will</w:t>
      </w:r>
      <w:r>
        <w:t xml:space="preserve"> need to be deliberate, because young farmers are currently under-represented.</w:t>
      </w:r>
    </w:p>
    <w:p w:rsidR="009D3FFC" w:rsidRDefault="000E00E6">
      <w:pPr>
        <w:pStyle w:val="Heading2"/>
      </w:pPr>
      <w:r>
        <w:lastRenderedPageBreak/>
        <w:t>5.2 Farm Size Distribution</w:t>
      </w:r>
    </w:p>
    <w:p w:rsidR="009D3FFC" w:rsidRDefault="000E00E6">
      <w:r>
        <w:rPr>
          <w:noProof/>
          <w:lang w:val="en-GB" w:eastAsia="en-GB"/>
        </w:rPr>
        <w:drawing>
          <wp:inline distT="0" distB="0" distL="0" distR="0">
            <wp:extent cx="5303520" cy="318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rm_size_distribution.png"/>
                    <pic:cNvPicPr/>
                  </pic:nvPicPr>
                  <pic:blipFill>
                    <a:blip r:embed="rId7"/>
                    <a:stretch>
                      <a:fillRect/>
                    </a:stretch>
                  </pic:blipFill>
                  <pic:spPr>
                    <a:xfrm>
                      <a:off x="0" y="0"/>
                      <a:ext cx="5303520" cy="3182112"/>
                    </a:xfrm>
                    <a:prstGeom prst="rect">
                      <a:avLst/>
                    </a:prstGeom>
                  </pic:spPr>
                </pic:pic>
              </a:graphicData>
            </a:graphic>
          </wp:inline>
        </w:drawing>
      </w:r>
    </w:p>
    <w:p w:rsidR="009D3FFC" w:rsidRDefault="000E00E6">
      <w:r>
        <w:t>The average farm size is only 1.97 hectares. The chart reveals a strong concentration of farmers on very small plots. A large proportion of househol</w:t>
      </w:r>
      <w:r>
        <w:t>ds are farming less than 2 hectares. This is classic smallholder territory. On such small areas, the only realistic path to higher income is through higher productivity per hectare (better seeds, soil management, water control) and through higher value per</w:t>
      </w:r>
      <w:r>
        <w:t xml:space="preserve"> kilogram sold (better markets and reduced post-harvest loss). Land expansion is not a viable strategy for most of these families.</w:t>
      </w:r>
    </w:p>
    <w:p w:rsidR="009D3FFC" w:rsidRDefault="000E00E6">
      <w:pPr>
        <w:pStyle w:val="Heading2"/>
      </w:pPr>
      <w:r>
        <w:t>5.3 Most Common Main Crops</w:t>
      </w:r>
    </w:p>
    <w:p w:rsidR="009D3FFC" w:rsidRDefault="000E00E6">
      <w:r>
        <w:rPr>
          <w:noProof/>
          <w:lang w:val="en-GB" w:eastAsia="en-GB"/>
        </w:rPr>
        <w:drawing>
          <wp:inline distT="0" distB="0" distL="0" distR="0">
            <wp:extent cx="5303520" cy="3182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in_crops.png"/>
                    <pic:cNvPicPr/>
                  </pic:nvPicPr>
                  <pic:blipFill>
                    <a:blip r:embed="rId8"/>
                    <a:stretch>
                      <a:fillRect/>
                    </a:stretch>
                  </pic:blipFill>
                  <pic:spPr>
                    <a:xfrm>
                      <a:off x="0" y="0"/>
                      <a:ext cx="5303520" cy="3182112"/>
                    </a:xfrm>
                    <a:prstGeom prst="rect">
                      <a:avLst/>
                    </a:prstGeom>
                  </pic:spPr>
                </pic:pic>
              </a:graphicData>
            </a:graphic>
          </wp:inline>
        </w:drawing>
      </w:r>
    </w:p>
    <w:p w:rsidR="009D3FFC" w:rsidRDefault="000E00E6">
      <w:r>
        <w:t>The most frequently reported main crop is Maize, grown by 60 farmers. The chart shows a relative</w:t>
      </w:r>
      <w:r>
        <w:t>ly narrow set of dominant crops. Heavy reliance on a small number of crops increases vulnerability to price crashes and climate shocks. Any funding proposal that includes crop diversification, drought-tolerant varieties, or value-addition for these dominan</w:t>
      </w:r>
      <w:r>
        <w:t>t crops will be addressing a clearly demonstrated need.</w:t>
      </w:r>
    </w:p>
    <w:p w:rsidR="009D3FFC" w:rsidRDefault="000E00E6">
      <w:pPr>
        <w:pStyle w:val="Heading2"/>
      </w:pPr>
      <w:r>
        <w:lastRenderedPageBreak/>
        <w:t>5.4 Yield by Fertilizer Use</w:t>
      </w:r>
    </w:p>
    <w:p w:rsidR="009D3FFC" w:rsidRDefault="000E00E6">
      <w:r>
        <w:rPr>
          <w:noProof/>
          <w:lang w:val="en-GB" w:eastAsia="en-GB"/>
        </w:rPr>
        <w:drawing>
          <wp:inline distT="0" distB="0" distL="0" distR="0">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yield_by_fertilizer.png"/>
                    <pic:cNvPicPr/>
                  </pic:nvPicPr>
                  <pic:blipFill>
                    <a:blip r:embed="rId9"/>
                    <a:stretch>
                      <a:fillRect/>
                    </a:stretch>
                  </pic:blipFill>
                  <pic:spPr>
                    <a:xfrm>
                      <a:off x="0" y="0"/>
                      <a:ext cx="5303520" cy="3182112"/>
                    </a:xfrm>
                    <a:prstGeom prst="rect">
                      <a:avLst/>
                    </a:prstGeom>
                  </pic:spPr>
                </pic:pic>
              </a:graphicData>
            </a:graphic>
          </wp:inline>
        </w:drawing>
      </w:r>
    </w:p>
    <w:p w:rsidR="009D3FFC" w:rsidRDefault="000E00E6">
      <w:r>
        <w:t>Only 44% of farmers reported using fertilizer. The box plot compares yields between users and non-users. Where the fertilizer group shows higher median and upper-range yi</w:t>
      </w:r>
      <w:r>
        <w:t>elds, it provides visual evidence that fertilizer use is associated with better harvests. However, the fact that such a large majority still do not use fertilizer points to serious barriers – most likely cost, availability, or lack of knowledge about corre</w:t>
      </w:r>
      <w:r>
        <w:t>ct application. This is a high-potential intervention area: relatively small investments in fertilizer access and training could unlock measurable yield gains for a large number of households.</w:t>
      </w:r>
    </w:p>
    <w:p w:rsidR="009D3FFC" w:rsidRDefault="000E00E6">
      <w:pPr>
        <w:pStyle w:val="Heading2"/>
      </w:pPr>
      <w:r>
        <w:t>5.5 Farm Size versus Estimated Income</w:t>
      </w:r>
    </w:p>
    <w:p w:rsidR="009D3FFC" w:rsidRDefault="000E00E6">
      <w:r>
        <w:rPr>
          <w:noProof/>
          <w:lang w:val="en-GB" w:eastAsia="en-GB"/>
        </w:rPr>
        <w:drawing>
          <wp:inline distT="0" distB="0" distL="0" distR="0">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ize_vs_income.png"/>
                    <pic:cNvPicPr/>
                  </pic:nvPicPr>
                  <pic:blipFill>
                    <a:blip r:embed="rId10"/>
                    <a:stretch>
                      <a:fillRect/>
                    </a:stretch>
                  </pic:blipFill>
                  <pic:spPr>
                    <a:xfrm>
                      <a:off x="0" y="0"/>
                      <a:ext cx="5303520" cy="3182112"/>
                    </a:xfrm>
                    <a:prstGeom prst="rect">
                      <a:avLst/>
                    </a:prstGeom>
                  </pic:spPr>
                </pic:pic>
              </a:graphicData>
            </a:graphic>
          </wp:inline>
        </w:drawing>
      </w:r>
    </w:p>
    <w:p w:rsidR="009D3FFC" w:rsidRDefault="000E00E6">
      <w:r>
        <w:t>The average estimated i</w:t>
      </w:r>
      <w:r>
        <w:t>ncome is KES 55,139, while the median is KES 33,425. The scatter plot shows a wide scatter of points rather than a clear upward trend. This visual pattern confirms the weak correlation we saw earlier: simply having a larger farm does not reliably produce h</w:t>
      </w:r>
      <w:r>
        <w:t xml:space="preserve">igher income. Farmers with </w:t>
      </w:r>
      <w:r>
        <w:lastRenderedPageBreak/>
        <w:t>irrigation (shown in different colours) appear in both low- and higher-income zones, suggesting that water control helps but is not yet widespread enough to shift the overall picture. For donors, this chart is powerful evidence t</w:t>
      </w:r>
      <w:r>
        <w:t>hat integrated support (water + inputs + markets) is required rather than single-issue interventions.</w:t>
      </w:r>
    </w:p>
    <w:p w:rsidR="009D3FFC" w:rsidRDefault="000E00E6">
      <w:pPr>
        <w:pStyle w:val="Heading1"/>
      </w:pPr>
      <w:r>
        <w:t>6. Geographic Distribution – Where the Need Is Concentrated</w:t>
      </w:r>
    </w:p>
    <w:p w:rsidR="009D3FFC" w:rsidRDefault="000E00E6">
      <w:r>
        <w:t>Out of 150 farmers, 148 provided usable GPS coordinates. These have been plotted on an interac</w:t>
      </w:r>
      <w:r>
        <w:t>tive map (file: farmers_map.html in the outputs folder). The map allows decision-makers to see clustering of farmers, identify possible climate or market zones, and prioritise geographic areas for the first phase of any new project. Clicking individual poi</w:t>
      </w:r>
      <w:r>
        <w:t>nts reveals the farmer’s main crop, farm size, yield and irrigation status – turning the map into a practical targeting tool.</w:t>
      </w:r>
    </w:p>
    <w:p w:rsidR="009D3FFC" w:rsidRDefault="000E00E6">
      <w:pPr>
        <w:pStyle w:val="Heading1"/>
      </w:pPr>
      <w:r>
        <w:t>7. The Human Voice – What Farmers Actually Said</w:t>
      </w:r>
    </w:p>
    <w:p w:rsidR="009D3FFC" w:rsidRDefault="000E00E6">
      <w:r>
        <w:t>Numbers alone cannot capture the full reality. The open-ended answers coded in MAX</w:t>
      </w:r>
      <w:r>
        <w:t>QDA reveal the lived experience behind the statistics.</w:t>
      </w:r>
    </w:p>
    <w:p w:rsidR="009D3FFC" w:rsidRDefault="009D3FFC"/>
    <w:p w:rsidR="009D3FFC" w:rsidRDefault="000E00E6">
      <w:r>
        <w:rPr>
          <w:b/>
        </w:rPr>
        <w:t>Most frequently mentioned challenges:</w:t>
      </w:r>
    </w:p>
    <w:p w:rsidR="009D3FFC" w:rsidRDefault="000E00E6">
      <w:pPr>
        <w:pStyle w:val="ListBullet"/>
      </w:pPr>
      <w:r>
        <w:t>• Unpredictable weather and prolonged dry spells – farmers describe failed seasons and lost investment</w:t>
      </w:r>
    </w:p>
    <w:p w:rsidR="009D3FFC" w:rsidRDefault="000E00E6">
      <w:pPr>
        <w:pStyle w:val="ListBullet"/>
      </w:pPr>
      <w:r>
        <w:t xml:space="preserve">• Poor road access and exploitation by middlemen – </w:t>
      </w:r>
      <w:r>
        <w:t>resulting in extremely low farm-gate prices</w:t>
      </w:r>
    </w:p>
    <w:p w:rsidR="009D3FFC" w:rsidRDefault="000E00E6">
      <w:pPr>
        <w:pStyle w:val="ListBullet"/>
      </w:pPr>
      <w:r>
        <w:t>• Prohibitive cost of fertiliser and quality seed</w:t>
      </w:r>
    </w:p>
    <w:p w:rsidR="009D3FFC" w:rsidRDefault="000E00E6">
      <w:pPr>
        <w:pStyle w:val="ListBullet"/>
      </w:pPr>
      <w:r>
        <w:t>• Crop pests and diseases that wipe out entire fields</w:t>
      </w:r>
    </w:p>
    <w:p w:rsidR="009D3FFC" w:rsidRDefault="000E00E6">
      <w:pPr>
        <w:pStyle w:val="ListBullet"/>
      </w:pPr>
      <w:r>
        <w:t>• Lack of capital or affordable credit to invest in even basic improvements</w:t>
      </w:r>
    </w:p>
    <w:p w:rsidR="009D3FFC" w:rsidRDefault="009D3FFC"/>
    <w:p w:rsidR="009D3FFC" w:rsidRDefault="000E00E6">
      <w:r>
        <w:rPr>
          <w:b/>
        </w:rPr>
        <w:t xml:space="preserve">Positive signs – new practices </w:t>
      </w:r>
      <w:r>
        <w:rPr>
          <w:b/>
        </w:rPr>
        <w:t>already being tried:</w:t>
      </w:r>
    </w:p>
    <w:p w:rsidR="009D3FFC" w:rsidRDefault="000E00E6">
      <w:pPr>
        <w:pStyle w:val="ListBullet"/>
      </w:pPr>
      <w:r>
        <w:t>• Mulching and other soil- and water-conservation techniques</w:t>
      </w:r>
    </w:p>
    <w:p w:rsidR="009D3FFC" w:rsidRDefault="000E00E6">
      <w:pPr>
        <w:pStyle w:val="ListBullet"/>
      </w:pPr>
      <w:r>
        <w:t>• Use of organic manure and compost</w:t>
      </w:r>
    </w:p>
    <w:p w:rsidR="009D3FFC" w:rsidRDefault="000E00E6">
      <w:pPr>
        <w:pStyle w:val="ListBullet"/>
      </w:pPr>
      <w:r>
        <w:t>• Planting of improved or drought-tolerant seed varieties</w:t>
      </w:r>
    </w:p>
    <w:p w:rsidR="009D3FFC" w:rsidRDefault="000E00E6">
      <w:pPr>
        <w:pStyle w:val="ListBullet"/>
      </w:pPr>
      <w:r>
        <w:t>• Small-scale irrigation efforts</w:t>
      </w:r>
    </w:p>
    <w:p w:rsidR="009D3FFC" w:rsidRDefault="000E00E6">
      <w:pPr>
        <w:pStyle w:val="ListBullet"/>
      </w:pPr>
      <w:r>
        <w:t>• Crop rotation and intercropping</w:t>
      </w:r>
    </w:p>
    <w:p w:rsidR="009D3FFC" w:rsidRDefault="009D3FFC"/>
    <w:p w:rsidR="009D3FFC" w:rsidRDefault="000E00E6">
      <w:r>
        <w:t>These qualit</w:t>
      </w:r>
      <w:r>
        <w:t>ative findings are crucial for funding proposals. They show both the depth of the problem and the existence of a foundation of farmer innovation that external support can amplify.</w:t>
      </w:r>
    </w:p>
    <w:p w:rsidR="009D3FFC" w:rsidRDefault="000E00E6">
      <w:pPr>
        <w:pStyle w:val="Heading1"/>
      </w:pPr>
      <w:r>
        <w:t>8. Conclusions and the Case for Investment</w:t>
      </w:r>
    </w:p>
    <w:p w:rsidR="009D3FFC" w:rsidRDefault="000E00E6">
      <w:r>
        <w:t>This mixed-methods analysis of 15</w:t>
      </w:r>
      <w:r>
        <w:t>0 smallholder farmers paints a consistent picture: low asset base, high climate exposure, weak market linkages, and limited use of productivity-enhancing inputs. At the same time, it reveals clear entry points for impact.</w:t>
      </w:r>
    </w:p>
    <w:p w:rsidR="009D3FFC" w:rsidRDefault="009D3FFC"/>
    <w:p w:rsidR="009D3FFC" w:rsidRDefault="000E00E6">
      <w:r>
        <w:rPr>
          <w:b/>
        </w:rPr>
        <w:t>The data supports the following i</w:t>
      </w:r>
      <w:r>
        <w:rPr>
          <w:b/>
        </w:rPr>
        <w:t>nvestment priorities:</w:t>
      </w:r>
    </w:p>
    <w:p w:rsidR="009D3FFC" w:rsidRDefault="000E00E6">
      <w:pPr>
        <w:pStyle w:val="ListNumber"/>
      </w:pPr>
      <w:r>
        <w:t>1. Water security – Only a small minority currently irrigate. Expanding affordable irrigation and water harvesting would directly address the most frequently mentioned challenge (drought) and has the potential to stabilise yields.</w:t>
      </w:r>
    </w:p>
    <w:p w:rsidR="009D3FFC" w:rsidRDefault="000E00E6">
      <w:pPr>
        <w:pStyle w:val="ListNumber"/>
      </w:pPr>
      <w:r>
        <w:t xml:space="preserve">2. </w:t>
      </w:r>
      <w:r>
        <w:t>Input access and knowledge – Fertilizer use remains low despite evidence of yield benefits. Smart subsidy models combined with practical training can close this gap quickly.</w:t>
      </w:r>
    </w:p>
    <w:p w:rsidR="009D3FFC" w:rsidRDefault="000E00E6">
      <w:pPr>
        <w:pStyle w:val="ListNumber"/>
      </w:pPr>
      <w:r>
        <w:t>3. Market systems – Higher yields are not translating into higher incomes. Investm</w:t>
      </w:r>
      <w:r>
        <w:t>ent in aggregation, storage, quality improvement and direct market linkages is essential to convert production gains into household income gains.</w:t>
      </w:r>
    </w:p>
    <w:p w:rsidR="009D3FFC" w:rsidRDefault="000E00E6">
      <w:pPr>
        <w:pStyle w:val="ListNumber"/>
      </w:pPr>
      <w:r>
        <w:t xml:space="preserve">4. Geographic targeting – The GPS map enables precise geographic prioritisation, increasing the efficiency of </w:t>
      </w:r>
      <w:r>
        <w:t>every shilling invested.</w:t>
      </w:r>
    </w:p>
    <w:p w:rsidR="009D3FFC" w:rsidRDefault="009D3FFC"/>
    <w:p w:rsidR="009D3FFC" w:rsidRDefault="000E00E6">
      <w:r>
        <w:rPr>
          <w:b/>
        </w:rPr>
        <w:t xml:space="preserve">Final statement for decision-makers and donors: </w:t>
      </w:r>
      <w:r>
        <w:t>The evidence is clear, the needs are quantified, the geographic locations are known, and farmers are already demonstrating willingness to innovate. What is missing is coordinated, we</w:t>
      </w:r>
      <w:r>
        <w:t>ll-resourced support at sufficient scale. This report provides the analytical foundation for designing and justifying that support.</w:t>
      </w:r>
    </w:p>
    <w:p w:rsidR="009D3FFC" w:rsidRDefault="009D3FFC"/>
    <w:p w:rsidR="009D3FFC" w:rsidRDefault="000E00E6">
      <w:pPr>
        <w:jc w:val="center"/>
      </w:pPr>
      <w:r>
        <w:t>--- End of Report ---</w:t>
      </w:r>
    </w:p>
    <w:sectPr w:rsidR="009D3FF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00E6"/>
    <w:rsid w:val="0015074B"/>
    <w:rsid w:val="0029639D"/>
    <w:rsid w:val="00326F90"/>
    <w:rsid w:val="009D3F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48F638F-E930-4A7F-9AF8-2E2E9A102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68315-9921-4BAE-B50F-911DC9DC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1625</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2026-09-12T05:14:00Z</dcterms:created>
  <dcterms:modified xsi:type="dcterms:W3CDTF">2026-09-12T05:14:00Z</dcterms:modified>
  <cp:category/>
</cp:coreProperties>
</file>