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4C476" w14:textId="77777777" w:rsidR="00A248C8" w:rsidRDefault="00000000">
      <w:pPr>
        <w:spacing w:before="3000"/>
        <w:jc w:val="center"/>
      </w:pPr>
      <w:r>
        <w:rPr>
          <w:b/>
          <w:bCs/>
          <w:color w:val="1F3864"/>
          <w:sz w:val="52"/>
          <w:szCs w:val="52"/>
        </w:rPr>
        <w:t>Passive Colorimetric H₂S Dosimeter</w:t>
      </w:r>
    </w:p>
    <w:p w14:paraId="63C1AA59" w14:textId="77777777" w:rsidR="00A248C8" w:rsidRDefault="00000000">
      <w:pPr>
        <w:spacing w:before="200" w:after="200"/>
        <w:jc w:val="center"/>
      </w:pPr>
      <w:r>
        <w:rPr>
          <w:color w:val="2F5496"/>
          <w:sz w:val="32"/>
          <w:szCs w:val="32"/>
        </w:rPr>
        <w:t>A Battery-Free Wearable with Computer-Vision Dose Readout</w:t>
      </w:r>
    </w:p>
    <w:p w14:paraId="17B0FD1D" w14:textId="77777777" w:rsidR="00A248C8" w:rsidRDefault="00000000">
      <w:pPr>
        <w:spacing w:before="600"/>
        <w:jc w:val="center"/>
      </w:pPr>
      <w:r>
        <w:rPr>
          <w:sz w:val="28"/>
          <w:szCs w:val="28"/>
        </w:rPr>
        <w:t>Technical White Paper — SIH26118</w:t>
      </w:r>
    </w:p>
    <w:p w14:paraId="7BEB00C5" w14:textId="77777777" w:rsidR="00A248C8" w:rsidRDefault="00000000">
      <w:pPr>
        <w:spacing w:before="200"/>
        <w:jc w:val="center"/>
      </w:pPr>
      <w:r>
        <w:rPr>
          <w:i/>
          <w:iCs/>
        </w:rPr>
        <w:t>Chapters 1–6</w:t>
      </w:r>
    </w:p>
    <w:p w14:paraId="01899176" w14:textId="77777777" w:rsidR="00A248C8" w:rsidRDefault="00000000">
      <w:pPr>
        <w:spacing w:before="1800"/>
        <w:jc w:val="center"/>
      </w:pPr>
      <w:r>
        <w:rPr>
          <w:b/>
          <w:bCs/>
          <w:sz w:val="26"/>
          <w:szCs w:val="26"/>
        </w:rPr>
        <w:t>Contents</w:t>
      </w:r>
    </w:p>
    <w:p w14:paraId="159E1424" w14:textId="77777777" w:rsidR="00A248C8" w:rsidRDefault="00000000">
      <w:pPr>
        <w:spacing w:after="60"/>
        <w:jc w:val="center"/>
      </w:pPr>
      <w:r>
        <w:t>1. Hardware Architecture and Physical Design</w:t>
      </w:r>
    </w:p>
    <w:p w14:paraId="6C776C5D" w14:textId="77777777" w:rsidR="00A248C8" w:rsidRDefault="00000000">
      <w:pPr>
        <w:spacing w:after="60"/>
        <w:jc w:val="center"/>
      </w:pPr>
      <w:r>
        <w:t>2. Chemical Substrate Engineering</w:t>
      </w:r>
    </w:p>
    <w:p w14:paraId="3C851579" w14:textId="77777777" w:rsidR="00A248C8" w:rsidRDefault="00000000">
      <w:pPr>
        <w:spacing w:after="60"/>
        <w:jc w:val="center"/>
      </w:pPr>
      <w:r>
        <w:t>3. Digital and Computer Vision Pipeline</w:t>
      </w:r>
    </w:p>
    <w:p w14:paraId="5895918E" w14:textId="77777777" w:rsidR="00A248C8" w:rsidRDefault="00000000">
      <w:pPr>
        <w:spacing w:after="60"/>
        <w:jc w:val="center"/>
      </w:pPr>
      <w:r>
        <w:t>4. Spectrophotometric Ground-Truth Calibration</w:t>
      </w:r>
    </w:p>
    <w:p w14:paraId="7CFDE32D" w14:textId="77777777" w:rsidR="00A248C8" w:rsidRDefault="00000000">
      <w:pPr>
        <w:spacing w:after="60"/>
        <w:jc w:val="center"/>
      </w:pPr>
      <w:r>
        <w:t>5. The Circular Economy Loop</w:t>
      </w:r>
    </w:p>
    <w:p w14:paraId="33013973" w14:textId="77777777" w:rsidR="00A248C8" w:rsidRDefault="00000000">
      <w:pPr>
        <w:spacing w:after="60"/>
        <w:jc w:val="center"/>
      </w:pPr>
      <w:r>
        <w:t>6. Target Users, Scalability, and Future Scope</w:t>
      </w:r>
    </w:p>
    <w:p w14:paraId="5105AD3E" w14:textId="77777777" w:rsidR="00A248C8" w:rsidRDefault="00000000">
      <w:pPr>
        <w:pStyle w:val="Heading1"/>
        <w:pageBreakBefore/>
      </w:pPr>
      <w:r>
        <w:lastRenderedPageBreak/>
        <w:t>Chapter 1: Hardware Architecture and Physical Design</w:t>
      </w:r>
    </w:p>
    <w:p w14:paraId="61D413C4" w14:textId="77777777" w:rsidR="00A248C8" w:rsidRDefault="00000000">
      <w:pPr>
        <w:pStyle w:val="Heading2"/>
      </w:pPr>
      <w:r>
        <w:t>1.1 Intrinsic Safety in Zone 0 Environments</w:t>
      </w:r>
    </w:p>
    <w:p w14:paraId="200723CA" w14:textId="77777777" w:rsidR="00A248C8" w:rsidRDefault="00000000">
      <w:pPr>
        <w:spacing w:after="140" w:line="300" w:lineRule="auto"/>
        <w:jc w:val="both"/>
      </w:pPr>
      <w:r>
        <w:t xml:space="preserve">Hydrogen </w:t>
      </w:r>
      <w:proofErr w:type="spellStart"/>
      <w:r>
        <w:t>sulfide</w:t>
      </w:r>
      <w:proofErr w:type="spellEnd"/>
      <w:r>
        <w:t xml:space="preserve"> is acutely toxic, causes olfactory fatigue at elevated concentrations, and often coexists with flammable hydrocarbon vapours. In ATEX Zone 0 and equivalent PESO-classified areas, an explosive atmosphere is present continuously or for </w:t>
      </w:r>
      <w:proofErr w:type="gramStart"/>
      <w:r>
        <w:t>long periods</w:t>
      </w:r>
      <w:proofErr w:type="gramEnd"/>
      <w:r>
        <w:t xml:space="preserve">. Any ignition source, whether spark, hot surface or electrostatic discharge, is therefore unacceptable. Electronic dosimeters must carry Ex </w:t>
      </w:r>
      <w:proofErr w:type="spellStart"/>
      <w:r>
        <w:t>ia</w:t>
      </w:r>
      <w:proofErr w:type="spellEnd"/>
      <w:r>
        <w:t xml:space="preserve"> intrinsic-safety certification, which limits stored energy, raises unit cost, and still demands batteries and periodic calibration. The present design pursues inherent safety through elimination rather than mitigation. With no battery, circuitry or radio, the badge holds no electrical energy capable of igniting a mixture. All computation </w:t>
      </w:r>
      <w:proofErr w:type="gramStart"/>
      <w:r>
        <w:t>is displaced</w:t>
      </w:r>
      <w:proofErr w:type="gramEnd"/>
      <w:r>
        <w:t xml:space="preserve"> to a smartphone used in a safe area, such as an entry or exit kiosk. The compliance argument thus shifts from certifying energy-limited circuits to demonstrating the absence of ignition mechanisms, namely non-metallic construction and controlled electrostatic behaviour.</w:t>
      </w:r>
    </w:p>
    <w:p w14:paraId="4CF4D134" w14:textId="77777777" w:rsidR="00A248C8" w:rsidRDefault="00000000">
      <w:pPr>
        <w:pStyle w:val="Heading2"/>
      </w:pPr>
      <w:r>
        <w:t>1.2 Material Science of the Chassis</w:t>
      </w:r>
    </w:p>
    <w:p w14:paraId="670A830B" w14:textId="77777777" w:rsidR="00A248C8" w:rsidRDefault="00000000">
      <w:pPr>
        <w:spacing w:after="140" w:line="300" w:lineRule="auto"/>
        <w:jc w:val="both"/>
      </w:pPr>
      <w:r>
        <w:t xml:space="preserve">The chassis </w:t>
      </w:r>
      <w:proofErr w:type="gramStart"/>
      <w:r>
        <w:t>is specified</w:t>
      </w:r>
      <w:proofErr w:type="gramEnd"/>
      <w:r>
        <w:t xml:space="preserve"> in medical-grade silicone elastomer (USP Class VI / ISO 10993-compatible), a polydimethylsiloxane network. Its Si–O backbone (bond energy ≈ 450 kJ/mol) resists ozone, ultraviolet </w:t>
      </w:r>
      <w:proofErr w:type="gramStart"/>
      <w:r>
        <w:t>radiation</w:t>
      </w:r>
      <w:proofErr w:type="gramEnd"/>
      <w:r>
        <w:t xml:space="preserve"> and thermal cycling from roughly −50 °C to 200 °C. Platinum-cure formulations avoid peroxide residues and are hypoallergenic under prolonged skin contact, which matters for a device worn through a full shift. A Shore A hardness of 50–70 balances wearer comfort against the dimensional stability needed by the hinge and strap-rod features. Because additive manufacturing of silicone is still maturing, the 3D-printed element may serve as master geometry or mould, from which parts </w:t>
      </w:r>
      <w:proofErr w:type="gramStart"/>
      <w:r>
        <w:t>are cast</w:t>
      </w:r>
      <w:proofErr w:type="gramEnd"/>
      <w:r>
        <w:t xml:space="preserve">, preserving rapid design iteration. Two limitations require verification. Silicone swells moderately in aromatic hydrocarbons, so exposure should </w:t>
      </w:r>
      <w:proofErr w:type="gramStart"/>
      <w:r>
        <w:t>be limited</w:t>
      </w:r>
      <w:proofErr w:type="gramEnd"/>
      <w:r>
        <w:t xml:space="preserve"> and the consumables treated as disposable. Unfilled silicone is also a strong insulator that can accumulate charge. Conductive filler loading should achieve surface resistance below the </w:t>
      </w:r>
      <w:proofErr w:type="gramStart"/>
      <w:r>
        <w:t>10</w:t>
      </w:r>
      <w:proofErr w:type="gramEnd"/>
      <w:r>
        <w:t>⁹ Ω threshold commonly cited in IEC 60079-0 guidance, confirmed by testing before Zone 0 deployment.</w:t>
      </w:r>
    </w:p>
    <w:p w14:paraId="19521DF5" w14:textId="77777777" w:rsidR="00A248C8" w:rsidRDefault="00000000">
      <w:pPr>
        <w:pStyle w:val="Heading2"/>
      </w:pPr>
      <w:r>
        <w:t>1.3 The 30 × 40 mm V2 Badge</w:t>
      </w:r>
    </w:p>
    <w:p w14:paraId="7E53F520" w14:textId="77777777" w:rsidR="00A248C8" w:rsidRDefault="00000000">
      <w:pPr>
        <w:spacing w:after="140" w:line="300" w:lineRule="auto"/>
        <w:jc w:val="both"/>
      </w:pPr>
      <w:r>
        <w:t xml:space="preserve">The V2 badge is a portrait-oriented 30 × 40 mm planar substrate. At its centre, a 10 × 20 mm sensing window exposes </w:t>
      </w:r>
      <w:proofErr w:type="spellStart"/>
      <w:r>
        <w:t>CuSO</w:t>
      </w:r>
      <w:proofErr w:type="spellEnd"/>
      <w:r>
        <w:t xml:space="preserve">₄·5H₂O-impregnated Whatman Grade 1 paper beneath the membrane stack. Four 8 × 8 mm </w:t>
      </w:r>
      <w:proofErr w:type="spellStart"/>
      <w:r>
        <w:t>ArUco</w:t>
      </w:r>
      <w:proofErr w:type="spellEnd"/>
      <w:r>
        <w:t xml:space="preserve"> markers (DICT_4X4_50, IDs 0–3) occupy the extreme corners. Maximising their separation lengthens the </w:t>
      </w:r>
      <w:proofErr w:type="spellStart"/>
      <w:r>
        <w:t>homography</w:t>
      </w:r>
      <w:proofErr w:type="spellEnd"/>
      <w:r>
        <w:t xml:space="preserve"> baseline and reduces the sensitivity of perspective rectification to sub-pixel corner error. Twelve 4 × 4 mm reference patches (four neutrals, six chromatic anchors, two substrate-matched) form a cross around the </w:t>
      </w:r>
      <w:r>
        <w:lastRenderedPageBreak/>
        <w:t xml:space="preserve">window. Illumination gradients </w:t>
      </w:r>
      <w:proofErr w:type="gramStart"/>
      <w:r>
        <w:t>are therefore sampled</w:t>
      </w:r>
      <w:proofErr w:type="gramEnd"/>
      <w:r>
        <w:t xml:space="preserve"> adjacent to the pad rather than extrapolated from a distant target. The stack, outside to inside, comprises a hollow upper lid, </w:t>
      </w:r>
      <w:proofErr w:type="spellStart"/>
      <w:r>
        <w:t>ePTFE</w:t>
      </w:r>
      <w:proofErr w:type="spellEnd"/>
      <w:r>
        <w:t xml:space="preserve"> membrane, diamond-mesh lower lid, treated paper and a hollow base case with strap rods. The hollow lid preserves an unobstructed optical path to the paper, while the mesh supports the membrane mechanically without occluding the diffusion area.</w:t>
      </w:r>
    </w:p>
    <w:p w14:paraId="75EFC482" w14:textId="77777777" w:rsidR="00A248C8" w:rsidRDefault="00000000">
      <w:pPr>
        <w:pStyle w:val="Heading2"/>
      </w:pPr>
      <w:r>
        <w:t xml:space="preserve">1.4 Fluid Dynamics and </w:t>
      </w:r>
      <w:proofErr w:type="spellStart"/>
      <w:r>
        <w:t>Fickian</w:t>
      </w:r>
      <w:proofErr w:type="spellEnd"/>
      <w:r>
        <w:t xml:space="preserve"> Mass Transfer through the </w:t>
      </w:r>
      <w:proofErr w:type="spellStart"/>
      <w:r>
        <w:t>ePTFE</w:t>
      </w:r>
      <w:proofErr w:type="spellEnd"/>
      <w:r>
        <w:t xml:space="preserve"> Membrane</w:t>
      </w:r>
    </w:p>
    <w:p w14:paraId="0A52A10C" w14:textId="77777777" w:rsidR="00A248C8" w:rsidRDefault="00000000">
      <w:pPr>
        <w:spacing w:after="140" w:line="300" w:lineRule="auto"/>
        <w:jc w:val="both"/>
      </w:pPr>
      <w:r>
        <w:t xml:space="preserve">Analyte transport is purely diffusive, with no pump or forced convection. The membrane </w:t>
      </w:r>
      <w:proofErr w:type="gramStart"/>
      <w:r>
        <w:t>is expanded</w:t>
      </w:r>
      <w:proofErr w:type="gramEnd"/>
      <w:r>
        <w:t xml:space="preserve"> PTFE with a nominal 0.2 µm pore size and a node-and-fibril microstructure. Typical porosity is 70–85 % and thickness is </w:t>
      </w:r>
      <w:proofErr w:type="gramStart"/>
      <w:r>
        <w:t>on the order of</w:t>
      </w:r>
      <w:proofErr w:type="gramEnd"/>
      <w:r>
        <w:t xml:space="preserve"> 50–</w:t>
      </w:r>
      <w:proofErr w:type="gramStart"/>
      <w:r>
        <w:t>100</w:t>
      </w:r>
      <w:proofErr w:type="gramEnd"/>
      <w:r>
        <w:t xml:space="preserve"> µm. At 1 </w:t>
      </w:r>
      <w:proofErr w:type="spellStart"/>
      <w:r>
        <w:t>atm</w:t>
      </w:r>
      <w:proofErr w:type="spellEnd"/>
      <w:r>
        <w:t xml:space="preserve"> and </w:t>
      </w:r>
      <w:proofErr w:type="gramStart"/>
      <w:r>
        <w:t>25</w:t>
      </w:r>
      <w:proofErr w:type="gramEnd"/>
      <w:r>
        <w:t xml:space="preserve"> °C the mean free path of air is approximately 68 nm, giving a Knudsen number near 0.3 for a 0.2 µm pore. Transport therefore lies in the transition regime between molecular and continuum diffusion. Steady-state flux follows Fick's first law:</w:t>
      </w:r>
    </w:p>
    <w:p w14:paraId="1EF8F98A" w14:textId="77777777" w:rsidR="00A248C8" w:rsidRDefault="00000000">
      <w:pPr>
        <w:spacing w:before="60" w:after="120"/>
        <w:jc w:val="center"/>
      </w:pPr>
      <w:r>
        <w:rPr>
          <w:rFonts w:ascii="Cambria Math" w:eastAsia="Cambria Math" w:hAnsi="Cambria Math" w:cs="Cambria Math"/>
        </w:rPr>
        <w:t>J = −</w:t>
      </w:r>
      <w:proofErr w:type="spellStart"/>
      <w:r>
        <w:rPr>
          <w:rFonts w:ascii="Cambria Math" w:eastAsia="Cambria Math" w:hAnsi="Cambria Math" w:cs="Cambria Math"/>
        </w:rPr>
        <w:t>D_</w:t>
      </w:r>
      <w:proofErr w:type="gramStart"/>
      <w:r>
        <w:rPr>
          <w:rFonts w:ascii="Cambria Math" w:eastAsia="Cambria Math" w:hAnsi="Cambria Math" w:cs="Cambria Math"/>
        </w:rPr>
        <w:t>eff</w:t>
      </w:r>
      <w:proofErr w:type="spellEnd"/>
      <w:proofErr w:type="gramEnd"/>
      <w:r>
        <w:rPr>
          <w:rFonts w:ascii="Cambria Math" w:eastAsia="Cambria Math" w:hAnsi="Cambria Math" w:cs="Cambria Math"/>
        </w:rPr>
        <w:t xml:space="preserve"> (ΔC / L), with </w:t>
      </w:r>
      <w:proofErr w:type="spellStart"/>
      <w:r>
        <w:rPr>
          <w:rFonts w:ascii="Cambria Math" w:eastAsia="Cambria Math" w:hAnsi="Cambria Math" w:cs="Cambria Math"/>
        </w:rPr>
        <w:t>D_</w:t>
      </w:r>
      <w:proofErr w:type="gramStart"/>
      <w:r>
        <w:rPr>
          <w:rFonts w:ascii="Cambria Math" w:eastAsia="Cambria Math" w:hAnsi="Cambria Math" w:cs="Cambria Math"/>
        </w:rPr>
        <w:t>eff</w:t>
      </w:r>
      <w:proofErr w:type="spellEnd"/>
      <w:proofErr w:type="gramEnd"/>
      <w:r>
        <w:rPr>
          <w:rFonts w:ascii="Cambria Math" w:eastAsia="Cambria Math" w:hAnsi="Cambria Math" w:cs="Cambria Math"/>
        </w:rPr>
        <w:t xml:space="preserve"> = </w:t>
      </w:r>
      <w:proofErr w:type="spellStart"/>
      <w:r>
        <w:rPr>
          <w:rFonts w:ascii="Cambria Math" w:eastAsia="Cambria Math" w:hAnsi="Cambria Math" w:cs="Cambria Math"/>
        </w:rPr>
        <w:t>D_air</w:t>
      </w:r>
      <w:proofErr w:type="spellEnd"/>
      <w:r>
        <w:rPr>
          <w:rFonts w:ascii="Cambria Math" w:eastAsia="Cambria Math" w:hAnsi="Cambria Math" w:cs="Cambria Math"/>
        </w:rPr>
        <w:t xml:space="preserve"> · ε / τ</w:t>
      </w:r>
    </w:p>
    <w:p w14:paraId="5089F51B" w14:textId="77777777" w:rsidR="00A248C8" w:rsidRDefault="00000000">
      <w:pPr>
        <w:spacing w:after="140" w:line="300" w:lineRule="auto"/>
        <w:jc w:val="both"/>
      </w:pPr>
      <w:r>
        <w:t xml:space="preserve">where ε is porosity and τ is tortuosity. The badge's sampling rate, Q = </w:t>
      </w:r>
      <w:proofErr w:type="spellStart"/>
      <w:r>
        <w:t>D_eff·A</w:t>
      </w:r>
      <w:proofErr w:type="spellEnd"/>
      <w:r>
        <w:t xml:space="preserve"> / L, is thus a geometric constant of the stack. Uptake rate scales with ambient concentration, and the integrated captured mass scales with ∫C dt, which is the cumulative dose in </w:t>
      </w:r>
      <w:proofErr w:type="spellStart"/>
      <w:r>
        <w:t>ppm·hr</w:t>
      </w:r>
      <w:proofErr w:type="spellEnd"/>
      <w:r>
        <w:t xml:space="preserve">. The </w:t>
      </w:r>
      <w:proofErr w:type="spellStart"/>
      <w:r>
        <w:t>CuSO</w:t>
      </w:r>
      <w:proofErr w:type="spellEnd"/>
      <w:r>
        <w:t>₄ reaction is rapid and irreversible, so the paper behaves as a near-perfect sink. This holds the sorbent-surface concentration near zero and preserves linear, diffusion-limited kinetics. The membrane also damps convective gusts, so the diffusion barrier, rather than variable wind speed, governs uptake.</w:t>
      </w:r>
    </w:p>
    <w:p w14:paraId="578CDBB5" w14:textId="77777777" w:rsidR="00A248C8" w:rsidRDefault="00000000">
      <w:pPr>
        <w:spacing w:after="140" w:line="300" w:lineRule="auto"/>
        <w:jc w:val="both"/>
      </w:pPr>
      <w:r>
        <w:t xml:space="preserve">Hydrophobicity governs liquid rejection. PTFE has a low surface energy (≈ 18 </w:t>
      </w:r>
      <w:proofErr w:type="spellStart"/>
      <w:r>
        <w:t>mN</w:t>
      </w:r>
      <w:proofErr w:type="spellEnd"/>
      <w:r>
        <w:t xml:space="preserve">/m), and water contact angles on </w:t>
      </w:r>
      <w:proofErr w:type="spellStart"/>
      <w:r>
        <w:t>ePTFE</w:t>
      </w:r>
      <w:proofErr w:type="spellEnd"/>
      <w:r>
        <w:t xml:space="preserve"> exceed 110°. The Young–Laplace relation gives the liquid entry pressure:</w:t>
      </w:r>
    </w:p>
    <w:p w14:paraId="51D592DB" w14:textId="77777777" w:rsidR="00A248C8" w:rsidRDefault="00000000">
      <w:pPr>
        <w:spacing w:before="60" w:after="120"/>
        <w:jc w:val="center"/>
      </w:pPr>
      <w:r>
        <w:rPr>
          <w:rFonts w:ascii="Cambria Math" w:eastAsia="Cambria Math" w:hAnsi="Cambria Math" w:cs="Cambria Math"/>
        </w:rPr>
        <w:t xml:space="preserve">ΔP = −4γ </w:t>
      </w:r>
      <w:proofErr w:type="spellStart"/>
      <w:r>
        <w:rPr>
          <w:rFonts w:ascii="Cambria Math" w:eastAsia="Cambria Math" w:hAnsi="Cambria Math" w:cs="Cambria Math"/>
        </w:rPr>
        <w:t>cosθ</w:t>
      </w:r>
      <w:proofErr w:type="spellEnd"/>
      <w:r>
        <w:rPr>
          <w:rFonts w:ascii="Cambria Math" w:eastAsia="Cambria Math" w:hAnsi="Cambria Math" w:cs="Cambria Math"/>
        </w:rPr>
        <w:t xml:space="preserve"> / d</w:t>
      </w:r>
    </w:p>
    <w:p w14:paraId="096FCF2D" w14:textId="77777777" w:rsidR="00A248C8" w:rsidRDefault="00000000">
      <w:pPr>
        <w:spacing w:after="140" w:line="300" w:lineRule="auto"/>
        <w:jc w:val="both"/>
      </w:pPr>
      <w:r>
        <w:t xml:space="preserve">For water (γ ≈ 72 </w:t>
      </w:r>
      <w:proofErr w:type="spellStart"/>
      <w:r>
        <w:t>mN</w:t>
      </w:r>
      <w:proofErr w:type="spellEnd"/>
      <w:r>
        <w:t xml:space="preserve">/m), θ ≈ 120° and d = 0.2 µm, ΔP is approximately 7 </w:t>
      </w:r>
      <w:proofErr w:type="gramStart"/>
      <w:r>
        <w:t>bar</w:t>
      </w:r>
      <w:proofErr w:type="gramEnd"/>
      <w:r>
        <w:t xml:space="preserve">. This is far above any pressure exerted by sweat, splash or hose-down. Sweat surfactants lower γ and oils can wet PTFE, so the true margin is smaller, though still substantial. This is one reason the membrane is a replaceable consumable. Particulates larger than 0.2 µm </w:t>
      </w:r>
      <w:proofErr w:type="gramStart"/>
      <w:r>
        <w:t>are excluded</w:t>
      </w:r>
      <w:proofErr w:type="gramEnd"/>
      <w:r>
        <w:t xml:space="preserve"> by sieving at the outer surface, while the tortuous fibril network captures finer aerosols by diffusional and interceptive deposition. H₂S molecules (kinetic diameter ≈ 0.36 nm) are </w:t>
      </w:r>
      <w:proofErr w:type="gramStart"/>
      <w:r>
        <w:t>roughly three</w:t>
      </w:r>
      <w:proofErr w:type="gramEnd"/>
      <w:r>
        <w:t xml:space="preserve"> orders of magnitude smaller than the pores and pass unimpeded. Dust, hydrocarbon mists and liquid water therefore never reach the paper. This prevents optical fouling that would bias the lightness (L*) measurement and prevents leaching of the glycerol and copper salt.</w:t>
      </w:r>
    </w:p>
    <w:p w14:paraId="216BAF3E" w14:textId="77777777" w:rsidR="00A248C8" w:rsidRDefault="00000000">
      <w:pPr>
        <w:pStyle w:val="Heading2"/>
      </w:pPr>
      <w:r>
        <w:t>1.5 The Tool-Free Hinge-Pin Refill Mechanism</w:t>
      </w:r>
    </w:p>
    <w:p w14:paraId="3B2E9259" w14:textId="77777777" w:rsidR="00A248C8" w:rsidRDefault="00000000">
      <w:pPr>
        <w:spacing w:after="140" w:line="300" w:lineRule="auto"/>
        <w:jc w:val="both"/>
      </w:pPr>
      <w:r>
        <w:t xml:space="preserve">Both lids articulate about a single hinge pin passing through interleaved knuckles on the lids and base, giving a book-style opening. A polymer pin seated by interference or snap-fit eliminates </w:t>
      </w:r>
      <w:r>
        <w:lastRenderedPageBreak/>
        <w:t xml:space="preserve">loose fasteners and tools. A compliant lip on the free edge closes the upper lid onto the base with a compressive seal, clamping the membrane peripherally against the mesh. The only gas path is then through the pore network, with no bypass leakage. To refill, the operator opens the lids, discards the spent membrane and paper, seats a fresh strip and membrane in recessed locating pockets, and closes the assembly in seconds. Knuckle clearance </w:t>
      </w:r>
      <w:proofErr w:type="gramStart"/>
      <w:r>
        <w:t>is sized</w:t>
      </w:r>
      <w:proofErr w:type="gramEnd"/>
      <w:r>
        <w:t xml:space="preserve"> to avoid binding while resisting ingress of dust. The elastomer tolerates repeated opening cycles, avoiding the fatigue fracture that afflicts rigid-polymer living hinges. Every component remains non-metallic, preserving Zone 0 compatibility. The invariant sensing-window geometry keeps the optical pipeline's reference frame unchanged between refills.</w:t>
      </w:r>
    </w:p>
    <w:p w14:paraId="04B13C59" w14:textId="77777777" w:rsidR="00A248C8" w:rsidRDefault="00000000">
      <w:pPr>
        <w:pStyle w:val="Heading1"/>
        <w:pageBreakBefore/>
      </w:pPr>
      <w:r>
        <w:lastRenderedPageBreak/>
        <w:t>Chapter 2: Chemical Substrate Engineering</w:t>
      </w:r>
    </w:p>
    <w:p w14:paraId="1E64D7E8" w14:textId="77777777" w:rsidR="00A248C8" w:rsidRDefault="00000000">
      <w:pPr>
        <w:pStyle w:val="Heading2"/>
      </w:pPr>
      <w:r>
        <w:t xml:space="preserve">2.1 Transition from Lead Acetate to </w:t>
      </w:r>
      <w:proofErr w:type="gramStart"/>
      <w:r>
        <w:t>Copper(</w:t>
      </w:r>
      <w:proofErr w:type="gramEnd"/>
      <w:r>
        <w:t xml:space="preserve">II) </w:t>
      </w:r>
      <w:proofErr w:type="spellStart"/>
      <w:r>
        <w:t>Sulfate</w:t>
      </w:r>
      <w:proofErr w:type="spellEnd"/>
    </w:p>
    <w:p w14:paraId="1DBBB441" w14:textId="77777777" w:rsidR="00A248C8" w:rsidRDefault="00000000">
      <w:pPr>
        <w:spacing w:after="140" w:line="300" w:lineRule="auto"/>
        <w:jc w:val="both"/>
      </w:pPr>
      <w:proofErr w:type="gramStart"/>
      <w:r>
        <w:t>Lead(</w:t>
      </w:r>
      <w:proofErr w:type="gramEnd"/>
      <w:r>
        <w:t xml:space="preserve">II) acetate paper has long served as the classical qualitative test for hydrogen </w:t>
      </w:r>
      <w:proofErr w:type="spellStart"/>
      <w:r>
        <w:t>sulfide</w:t>
      </w:r>
      <w:proofErr w:type="spellEnd"/>
      <w:r>
        <w:t xml:space="preserve">, forming brown-black lead </w:t>
      </w:r>
      <w:proofErr w:type="spellStart"/>
      <w:r>
        <w:t>sulfide</w:t>
      </w:r>
      <w:proofErr w:type="spellEnd"/>
      <w:r>
        <w:t>:</w:t>
      </w:r>
    </w:p>
    <w:p w14:paraId="44FED457" w14:textId="77777777" w:rsidR="00A248C8" w:rsidRDefault="00000000">
      <w:pPr>
        <w:spacing w:before="60" w:after="120"/>
        <w:jc w:val="center"/>
      </w:pPr>
      <w:proofErr w:type="gramStart"/>
      <w:r>
        <w:rPr>
          <w:rFonts w:ascii="Cambria Math" w:eastAsia="Cambria Math" w:hAnsi="Cambria Math" w:cs="Cambria Math"/>
        </w:rPr>
        <w:t>Pb(</w:t>
      </w:r>
      <w:proofErr w:type="gramEnd"/>
      <w:r>
        <w:rPr>
          <w:rFonts w:ascii="Cambria Math" w:eastAsia="Cambria Math" w:hAnsi="Cambria Math" w:cs="Cambria Math"/>
        </w:rPr>
        <w:t>CH₃</w:t>
      </w:r>
      <w:proofErr w:type="gramStart"/>
      <w:r>
        <w:rPr>
          <w:rFonts w:ascii="Cambria Math" w:eastAsia="Cambria Math" w:hAnsi="Cambria Math" w:cs="Cambria Math"/>
        </w:rPr>
        <w:t>COO)₂</w:t>
      </w:r>
      <w:proofErr w:type="gramEnd"/>
      <w:r>
        <w:rPr>
          <w:rFonts w:ascii="Cambria Math" w:eastAsia="Cambria Math" w:hAnsi="Cambria Math" w:cs="Cambria Math"/>
        </w:rPr>
        <w:t xml:space="preserve"> + H₂S → </w:t>
      </w:r>
      <w:proofErr w:type="spellStart"/>
      <w:r>
        <w:rPr>
          <w:rFonts w:ascii="Cambria Math" w:eastAsia="Cambria Math" w:hAnsi="Cambria Math" w:cs="Cambria Math"/>
        </w:rPr>
        <w:t>PbS</w:t>
      </w:r>
      <w:proofErr w:type="spellEnd"/>
      <w:r>
        <w:rPr>
          <w:rFonts w:ascii="Cambria Math" w:eastAsia="Cambria Math" w:hAnsi="Cambria Math" w:cs="Cambria Math"/>
        </w:rPr>
        <w:t>↓ + 2CH₃COOH</w:t>
      </w:r>
    </w:p>
    <w:p w14:paraId="7F24E651" w14:textId="77777777" w:rsidR="00A248C8" w:rsidRDefault="00000000">
      <w:pPr>
        <w:spacing w:after="140" w:line="300" w:lineRule="auto"/>
        <w:jc w:val="both"/>
      </w:pPr>
      <w:r>
        <w:t xml:space="preserve">Its analytical performance is adequate, but the reagent is a reproductive toxicant and a cumulative neurotoxin. A badge worn on the wrist by thousands of temporary workers would generate lead-contaminated consumables, bringing handling restrictions, skin-contact risk and regulated hazardous-waste disposal. </w:t>
      </w:r>
      <w:proofErr w:type="gramStart"/>
      <w:r>
        <w:t>Copper(</w:t>
      </w:r>
      <w:proofErr w:type="gramEnd"/>
      <w:r>
        <w:t xml:space="preserve">II) </w:t>
      </w:r>
      <w:proofErr w:type="spellStart"/>
      <w:r>
        <w:t>sulfate</w:t>
      </w:r>
      <w:proofErr w:type="spellEnd"/>
      <w:r>
        <w:t xml:space="preserve"> pentahydrate is a markedly safer alternative. It is inexpensive, water-soluble, and widely available in laboratory grade. Its toxicity is moderate and primarily aquatic, and the copper in spent pads can </w:t>
      </w:r>
      <w:proofErr w:type="gramStart"/>
      <w:r>
        <w:t>be recovered</w:t>
      </w:r>
      <w:proofErr w:type="gramEnd"/>
      <w:r>
        <w:t xml:space="preserve">, as Chapter 5 describes. The chemistry is comparable. Both metal </w:t>
      </w:r>
      <w:proofErr w:type="spellStart"/>
      <w:r>
        <w:t>sulfides</w:t>
      </w:r>
      <w:proofErr w:type="spellEnd"/>
      <w:r>
        <w:t xml:space="preserve"> are extremely insoluble and dark, but the copper system offers a pale-blue unexposed state that gives high initial contrast against the black product, which suits a lightness-based optical readout.</w:t>
      </w:r>
    </w:p>
    <w:p w14:paraId="45A4B407" w14:textId="77777777" w:rsidR="00A248C8" w:rsidRDefault="00000000">
      <w:pPr>
        <w:pStyle w:val="Heading2"/>
      </w:pPr>
      <w:r>
        <w:t>2.2 Reaction Thermodynamics</w:t>
      </w:r>
    </w:p>
    <w:p w14:paraId="5A9B3B18" w14:textId="77777777" w:rsidR="00A248C8" w:rsidRDefault="00000000">
      <w:pPr>
        <w:spacing w:after="140" w:line="300" w:lineRule="auto"/>
        <w:jc w:val="both"/>
      </w:pPr>
      <w:r>
        <w:t xml:space="preserve">In aqueous medium the copper salt </w:t>
      </w:r>
      <w:proofErr w:type="gramStart"/>
      <w:r>
        <w:t>is fully dissociated</w:t>
      </w:r>
      <w:proofErr w:type="gramEnd"/>
      <w:r>
        <w:t xml:space="preserve">, and the cupric ion is present as the </w:t>
      </w:r>
      <w:proofErr w:type="spellStart"/>
      <w:r>
        <w:t>hexaaqua</w:t>
      </w:r>
      <w:proofErr w:type="spellEnd"/>
      <w:r>
        <w:t xml:space="preserve"> complex responsible for the pale-blue colour:</w:t>
      </w:r>
    </w:p>
    <w:p w14:paraId="1036FDA9" w14:textId="77777777" w:rsidR="00A248C8" w:rsidRDefault="00000000">
      <w:pPr>
        <w:spacing w:before="60" w:after="120"/>
        <w:jc w:val="center"/>
      </w:pPr>
      <w:proofErr w:type="spellStart"/>
      <w:r>
        <w:rPr>
          <w:rFonts w:ascii="Cambria Math" w:eastAsia="Cambria Math" w:hAnsi="Cambria Math" w:cs="Cambria Math"/>
        </w:rPr>
        <w:t>CuSO</w:t>
      </w:r>
      <w:proofErr w:type="spellEnd"/>
      <w:r>
        <w:rPr>
          <w:rFonts w:ascii="Cambria Math" w:eastAsia="Cambria Math" w:hAnsi="Cambria Math" w:cs="Cambria Math"/>
        </w:rPr>
        <w:t>₄·5H₂O → Cu²⁺(</w:t>
      </w:r>
      <w:proofErr w:type="spellStart"/>
      <w:r>
        <w:rPr>
          <w:rFonts w:ascii="Cambria Math" w:eastAsia="Cambria Math" w:hAnsi="Cambria Math" w:cs="Cambria Math"/>
        </w:rPr>
        <w:t>aq</w:t>
      </w:r>
      <w:proofErr w:type="spellEnd"/>
      <w:r>
        <w:rPr>
          <w:rFonts w:ascii="Cambria Math" w:eastAsia="Cambria Math" w:hAnsi="Cambria Math" w:cs="Cambria Math"/>
        </w:rPr>
        <w:t>) + SO₄²⁻(</w:t>
      </w:r>
      <w:proofErr w:type="spellStart"/>
      <w:r>
        <w:rPr>
          <w:rFonts w:ascii="Cambria Math" w:eastAsia="Cambria Math" w:hAnsi="Cambria Math" w:cs="Cambria Math"/>
        </w:rPr>
        <w:t>aq</w:t>
      </w:r>
      <w:proofErr w:type="spellEnd"/>
      <w:r>
        <w:rPr>
          <w:rFonts w:ascii="Cambria Math" w:eastAsia="Cambria Math" w:hAnsi="Cambria Math" w:cs="Cambria Math"/>
        </w:rPr>
        <w:t>) + 5H₂O</w:t>
      </w:r>
    </w:p>
    <w:p w14:paraId="28ADEC20" w14:textId="77777777" w:rsidR="00A248C8" w:rsidRDefault="00000000">
      <w:pPr>
        <w:spacing w:after="140" w:line="300" w:lineRule="auto"/>
        <w:jc w:val="both"/>
      </w:pPr>
      <w:r>
        <w:t xml:space="preserve">Gaseous hydrogen </w:t>
      </w:r>
      <w:proofErr w:type="spellStart"/>
      <w:r>
        <w:t>sulfide</w:t>
      </w:r>
      <w:proofErr w:type="spellEnd"/>
      <w:r>
        <w:t xml:space="preserve"> first dissolves into the moist film on the cellulose and ionises as a weak diprotic acid:</w:t>
      </w:r>
    </w:p>
    <w:p w14:paraId="33485627" w14:textId="77777777" w:rsidR="00A248C8" w:rsidRDefault="00000000">
      <w:pPr>
        <w:spacing w:before="60" w:after="120"/>
        <w:jc w:val="center"/>
      </w:pPr>
      <w:r>
        <w:rPr>
          <w:rFonts w:ascii="Cambria Math" w:eastAsia="Cambria Math" w:hAnsi="Cambria Math" w:cs="Cambria Math"/>
        </w:rPr>
        <w:t>H₂S(g) ⇌ H₂S(</w:t>
      </w:r>
      <w:proofErr w:type="spellStart"/>
      <w:r>
        <w:rPr>
          <w:rFonts w:ascii="Cambria Math" w:eastAsia="Cambria Math" w:hAnsi="Cambria Math" w:cs="Cambria Math"/>
        </w:rPr>
        <w:t>aq</w:t>
      </w:r>
      <w:proofErr w:type="spellEnd"/>
      <w:r>
        <w:rPr>
          <w:rFonts w:ascii="Cambria Math" w:eastAsia="Cambria Math" w:hAnsi="Cambria Math" w:cs="Cambria Math"/>
        </w:rPr>
        <w:t>)</w:t>
      </w:r>
    </w:p>
    <w:p w14:paraId="791DD76D" w14:textId="77777777" w:rsidR="00A248C8" w:rsidRDefault="00000000">
      <w:pPr>
        <w:spacing w:before="60" w:after="120"/>
        <w:jc w:val="center"/>
      </w:pPr>
      <w:r>
        <w:rPr>
          <w:rFonts w:ascii="Cambria Math" w:eastAsia="Cambria Math" w:hAnsi="Cambria Math" w:cs="Cambria Math"/>
        </w:rPr>
        <w:t>H₂S(</w:t>
      </w:r>
      <w:proofErr w:type="spellStart"/>
      <w:r>
        <w:rPr>
          <w:rFonts w:ascii="Cambria Math" w:eastAsia="Cambria Math" w:hAnsi="Cambria Math" w:cs="Cambria Math"/>
        </w:rPr>
        <w:t>aq</w:t>
      </w:r>
      <w:proofErr w:type="spellEnd"/>
      <w:r>
        <w:rPr>
          <w:rFonts w:ascii="Cambria Math" w:eastAsia="Cambria Math" w:hAnsi="Cambria Math" w:cs="Cambria Math"/>
        </w:rPr>
        <w:t>) ⇌ H⁺ + HS⁻ (</w:t>
      </w:r>
      <w:proofErr w:type="spellStart"/>
      <w:r>
        <w:rPr>
          <w:rFonts w:ascii="Cambria Math" w:eastAsia="Cambria Math" w:hAnsi="Cambria Math" w:cs="Cambria Math"/>
        </w:rPr>
        <w:t>pKa</w:t>
      </w:r>
      <w:proofErr w:type="spellEnd"/>
      <w:r>
        <w:rPr>
          <w:rFonts w:ascii="Cambria Math" w:eastAsia="Cambria Math" w:hAnsi="Cambria Math" w:cs="Cambria Math"/>
        </w:rPr>
        <w:t>₁ ≈ 7.0)</w:t>
      </w:r>
    </w:p>
    <w:p w14:paraId="08DE78D2" w14:textId="77777777" w:rsidR="00A248C8" w:rsidRDefault="00000000">
      <w:pPr>
        <w:spacing w:before="60" w:after="120"/>
        <w:jc w:val="center"/>
      </w:pPr>
      <w:r>
        <w:rPr>
          <w:rFonts w:ascii="Cambria Math" w:eastAsia="Cambria Math" w:hAnsi="Cambria Math" w:cs="Cambria Math"/>
        </w:rPr>
        <w:t>HS⁻ ⇌ H⁺ + S²⁻ (</w:t>
      </w:r>
      <w:proofErr w:type="spellStart"/>
      <w:r>
        <w:rPr>
          <w:rFonts w:ascii="Cambria Math" w:eastAsia="Cambria Math" w:hAnsi="Cambria Math" w:cs="Cambria Math"/>
        </w:rPr>
        <w:t>pKa</w:t>
      </w:r>
      <w:proofErr w:type="spellEnd"/>
      <w:r>
        <w:rPr>
          <w:rFonts w:ascii="Cambria Math" w:eastAsia="Cambria Math" w:hAnsi="Cambria Math" w:cs="Cambria Math"/>
        </w:rPr>
        <w:t>₂ ≈ 13–19, depending on the source)</w:t>
      </w:r>
    </w:p>
    <w:p w14:paraId="59CDCC75" w14:textId="77777777" w:rsidR="00A248C8" w:rsidRDefault="00000000">
      <w:pPr>
        <w:spacing w:after="140" w:line="300" w:lineRule="auto"/>
        <w:jc w:val="both"/>
      </w:pPr>
      <w:r>
        <w:t>Precipitation then proceeds through the net ionic reaction:</w:t>
      </w:r>
    </w:p>
    <w:p w14:paraId="472978E0" w14:textId="77777777" w:rsidR="00A248C8" w:rsidRDefault="00000000">
      <w:pPr>
        <w:spacing w:before="60" w:after="120"/>
        <w:jc w:val="center"/>
      </w:pPr>
      <w:r>
        <w:rPr>
          <w:rFonts w:ascii="Cambria Math" w:eastAsia="Cambria Math" w:hAnsi="Cambria Math" w:cs="Cambria Math"/>
        </w:rPr>
        <w:t>Cu²⁺(</w:t>
      </w:r>
      <w:proofErr w:type="spellStart"/>
      <w:r>
        <w:rPr>
          <w:rFonts w:ascii="Cambria Math" w:eastAsia="Cambria Math" w:hAnsi="Cambria Math" w:cs="Cambria Math"/>
        </w:rPr>
        <w:t>aq</w:t>
      </w:r>
      <w:proofErr w:type="spellEnd"/>
      <w:r>
        <w:rPr>
          <w:rFonts w:ascii="Cambria Math" w:eastAsia="Cambria Math" w:hAnsi="Cambria Math" w:cs="Cambria Math"/>
        </w:rPr>
        <w:t>) + H₂S(</w:t>
      </w:r>
      <w:proofErr w:type="spellStart"/>
      <w:r>
        <w:rPr>
          <w:rFonts w:ascii="Cambria Math" w:eastAsia="Cambria Math" w:hAnsi="Cambria Math" w:cs="Cambria Math"/>
        </w:rPr>
        <w:t>aq</w:t>
      </w:r>
      <w:proofErr w:type="spellEnd"/>
      <w:r>
        <w:rPr>
          <w:rFonts w:ascii="Cambria Math" w:eastAsia="Cambria Math" w:hAnsi="Cambria Math" w:cs="Cambria Math"/>
        </w:rPr>
        <w:t xml:space="preserve">) → </w:t>
      </w:r>
      <w:proofErr w:type="spellStart"/>
      <w:r>
        <w:rPr>
          <w:rFonts w:ascii="Cambria Math" w:eastAsia="Cambria Math" w:hAnsi="Cambria Math" w:cs="Cambria Math"/>
        </w:rPr>
        <w:t>CuS</w:t>
      </w:r>
      <w:proofErr w:type="spellEnd"/>
      <w:r>
        <w:rPr>
          <w:rFonts w:ascii="Cambria Math" w:eastAsia="Cambria Math" w:hAnsi="Cambria Math" w:cs="Cambria Math"/>
        </w:rPr>
        <w:t>(s)↓ + 2H⁺(</w:t>
      </w:r>
      <w:proofErr w:type="spellStart"/>
      <w:r>
        <w:rPr>
          <w:rFonts w:ascii="Cambria Math" w:eastAsia="Cambria Math" w:hAnsi="Cambria Math" w:cs="Cambria Math"/>
        </w:rPr>
        <w:t>aq</w:t>
      </w:r>
      <w:proofErr w:type="spellEnd"/>
      <w:r>
        <w:rPr>
          <w:rFonts w:ascii="Cambria Math" w:eastAsia="Cambria Math" w:hAnsi="Cambria Math" w:cs="Cambria Math"/>
        </w:rPr>
        <w:t>)</w:t>
      </w:r>
    </w:p>
    <w:p w14:paraId="1D0EF115" w14:textId="77777777" w:rsidR="00A248C8" w:rsidRDefault="00000000">
      <w:pPr>
        <w:spacing w:after="140" w:line="300" w:lineRule="auto"/>
        <w:jc w:val="both"/>
      </w:pPr>
      <w:r>
        <w:t>The overall molecular equation is:</w:t>
      </w:r>
    </w:p>
    <w:p w14:paraId="614385F3" w14:textId="77777777" w:rsidR="00A248C8" w:rsidRDefault="00000000">
      <w:pPr>
        <w:spacing w:before="60" w:after="120"/>
        <w:jc w:val="center"/>
      </w:pPr>
      <w:proofErr w:type="spellStart"/>
      <w:r>
        <w:rPr>
          <w:rFonts w:ascii="Cambria Math" w:eastAsia="Cambria Math" w:hAnsi="Cambria Math" w:cs="Cambria Math"/>
        </w:rPr>
        <w:t>CuSO</w:t>
      </w:r>
      <w:proofErr w:type="spellEnd"/>
      <w:r>
        <w:rPr>
          <w:rFonts w:ascii="Cambria Math" w:eastAsia="Cambria Math" w:hAnsi="Cambria Math" w:cs="Cambria Math"/>
        </w:rPr>
        <w:t xml:space="preserve">₄ + H₂S → </w:t>
      </w:r>
      <w:proofErr w:type="spellStart"/>
      <w:r>
        <w:rPr>
          <w:rFonts w:ascii="Cambria Math" w:eastAsia="Cambria Math" w:hAnsi="Cambria Math" w:cs="Cambria Math"/>
        </w:rPr>
        <w:t>CuS</w:t>
      </w:r>
      <w:proofErr w:type="spellEnd"/>
      <w:r>
        <w:rPr>
          <w:rFonts w:ascii="Cambria Math" w:eastAsia="Cambria Math" w:hAnsi="Cambria Math" w:cs="Cambria Math"/>
        </w:rPr>
        <w:t>↓ + H₂SO₄</w:t>
      </w:r>
    </w:p>
    <w:p w14:paraId="76769484" w14:textId="77777777" w:rsidR="00A248C8" w:rsidRDefault="00000000">
      <w:pPr>
        <w:spacing w:after="140" w:line="300" w:lineRule="auto"/>
        <w:jc w:val="both"/>
      </w:pPr>
      <w:r>
        <w:t xml:space="preserve">The thermodynamic driving force is the extraordinary insolubility of covellite, </w:t>
      </w:r>
      <w:proofErr w:type="spellStart"/>
      <w:r>
        <w:t>CuS</w:t>
      </w:r>
      <w:proofErr w:type="spellEnd"/>
      <w:r>
        <w:t xml:space="preserve">. Its solubility product is </w:t>
      </w:r>
      <w:proofErr w:type="gramStart"/>
      <w:r>
        <w:t>on the order of</w:t>
      </w:r>
      <w:proofErr w:type="gramEnd"/>
      <w:r>
        <w:t xml:space="preserve"> </w:t>
      </w:r>
      <w:proofErr w:type="spellStart"/>
      <w:r>
        <w:t>Ksp</w:t>
      </w:r>
      <w:proofErr w:type="spellEnd"/>
      <w:r>
        <w:t xml:space="preserve"> ≈ 10⁻³⁶ at 25 °C, with literature values varying by </w:t>
      </w:r>
      <w:proofErr w:type="gramStart"/>
      <w:r>
        <w:t>several</w:t>
      </w:r>
      <w:proofErr w:type="gramEnd"/>
      <w:r>
        <w:t xml:space="preserve"> orders of magnitude. For the net reaction, the equilibrium constant is K = Ksp⁻¹ · </w:t>
      </w:r>
      <w:proofErr w:type="spellStart"/>
      <w:r>
        <w:t>Ka₁Ka</w:t>
      </w:r>
      <w:proofErr w:type="spellEnd"/>
      <w:r>
        <w:t xml:space="preserve">₂, which, using the values above, exceeds 10⁷ even at a pH of 4. In practical terms, the reaction proceeds </w:t>
      </w:r>
      <w:proofErr w:type="gramStart"/>
      <w:r>
        <w:t>essentially to</w:t>
      </w:r>
      <w:proofErr w:type="gramEnd"/>
      <w:r>
        <w:t xml:space="preserve"> completion for any detectable </w:t>
      </w:r>
      <w:proofErr w:type="spellStart"/>
      <w:r>
        <w:t>sulfide</w:t>
      </w:r>
      <w:proofErr w:type="spellEnd"/>
      <w:r>
        <w:t xml:space="preserve"> flux. The negative Gibbs free energy of precipitation, ΔG </w:t>
      </w:r>
      <w:r>
        <w:lastRenderedPageBreak/>
        <w:t>= −RT ln K, is large and the reverse dissolution is negligible under ambient conditions. Acid generation is stoichiometric, so each mole of H₂S captured releases two moles of protons. This is why buffering matters (Section 2.5), because accumulated acidity could eventually shift equilibrium or attack the cellulose.</w:t>
      </w:r>
    </w:p>
    <w:p w14:paraId="3E2C729B" w14:textId="77777777" w:rsidR="00A248C8" w:rsidRDefault="00000000">
      <w:pPr>
        <w:pStyle w:val="Heading2"/>
      </w:pPr>
      <w:r>
        <w:t>2.3 Irreversible Kinetics</w:t>
      </w:r>
    </w:p>
    <w:p w14:paraId="4A357874" w14:textId="77777777" w:rsidR="00A248C8" w:rsidRDefault="00000000">
      <w:pPr>
        <w:spacing w:after="140" w:line="300" w:lineRule="auto"/>
        <w:jc w:val="both"/>
      </w:pPr>
      <w:r>
        <w:t xml:space="preserve">The kinetics reflect a rapid, </w:t>
      </w:r>
      <w:proofErr w:type="gramStart"/>
      <w:r>
        <w:t>essentially irreversible</w:t>
      </w:r>
      <w:proofErr w:type="gramEnd"/>
      <w:r>
        <w:t xml:space="preserve"> ion-association step. The rate-limiting stage is not the chemistry but the transport of H₂S to the reactive surface, as established in Chapter 1. Cu²⁺ is present in large stoichiometric excess relative to the </w:t>
      </w:r>
      <w:proofErr w:type="spellStart"/>
      <w:r>
        <w:t>sulfide</w:t>
      </w:r>
      <w:proofErr w:type="spellEnd"/>
      <w:r>
        <w:t xml:space="preserve"> captured during a shift, so the effective rate law is pseudo-</w:t>
      </w:r>
      <w:proofErr w:type="gramStart"/>
      <w:r>
        <w:t>first-order</w:t>
      </w:r>
      <w:proofErr w:type="gramEnd"/>
      <w:r>
        <w:t xml:space="preserve"> in </w:t>
      </w:r>
      <w:proofErr w:type="spellStart"/>
      <w:r>
        <w:t>sulfide</w:t>
      </w:r>
      <w:proofErr w:type="spellEnd"/>
      <w:r>
        <w:t xml:space="preserve">, and the surface concentration of dissolved H₂S </w:t>
      </w:r>
      <w:proofErr w:type="gramStart"/>
      <w:r>
        <w:t>is held</w:t>
      </w:r>
      <w:proofErr w:type="gramEnd"/>
      <w:r>
        <w:t xml:space="preserve"> near zero. The paper therefore acts as a perfect sink, and mass uptake is proportional to the time integral of ambient concentration:</w:t>
      </w:r>
    </w:p>
    <w:p w14:paraId="005AD34F" w14:textId="77777777" w:rsidR="00A248C8" w:rsidRDefault="00000000">
      <w:pPr>
        <w:spacing w:before="60" w:after="120"/>
        <w:jc w:val="center"/>
      </w:pPr>
      <w:r>
        <w:rPr>
          <w:rFonts w:ascii="Cambria Math" w:eastAsia="Cambria Math" w:hAnsi="Cambria Math" w:cs="Cambria Math"/>
        </w:rPr>
        <w:t xml:space="preserve">m(t) = Q ∫₀ᵗ C(τ) </w:t>
      </w:r>
      <w:proofErr w:type="spellStart"/>
      <w:r>
        <w:rPr>
          <w:rFonts w:ascii="Cambria Math" w:eastAsia="Cambria Math" w:hAnsi="Cambria Math" w:cs="Cambria Math"/>
        </w:rPr>
        <w:t>dτ</w:t>
      </w:r>
      <w:proofErr w:type="spellEnd"/>
    </w:p>
    <w:p w14:paraId="37693705" w14:textId="77777777" w:rsidR="00A248C8" w:rsidRDefault="00000000">
      <w:pPr>
        <w:spacing w:after="140" w:line="300" w:lineRule="auto"/>
        <w:jc w:val="both"/>
      </w:pPr>
      <w:r>
        <w:t xml:space="preserve">Because </w:t>
      </w:r>
      <w:proofErr w:type="spellStart"/>
      <w:r>
        <w:t>CuS</w:t>
      </w:r>
      <w:proofErr w:type="spellEnd"/>
      <w:r>
        <w:t xml:space="preserve"> does not redissolve, does not revert thermally and is stable toward the water vapour present, the optical state encodes history, not the instantaneous level. This permanence is what separates a dosimeter from a transient detector. Residual considerations include the following. First, the </w:t>
      </w:r>
      <w:proofErr w:type="gramStart"/>
      <w:r>
        <w:t>copper(</w:t>
      </w:r>
      <w:proofErr w:type="gramEnd"/>
      <w:r>
        <w:t xml:space="preserve">II) </w:t>
      </w:r>
      <w:proofErr w:type="spellStart"/>
      <w:r>
        <w:t>sulfide</w:t>
      </w:r>
      <w:proofErr w:type="spellEnd"/>
      <w:r>
        <w:t xml:space="preserve"> </w:t>
      </w:r>
      <w:proofErr w:type="gramStart"/>
      <w:r>
        <w:t>actually formed</w:t>
      </w:r>
      <w:proofErr w:type="gramEnd"/>
      <w:r>
        <w:t xml:space="preserve"> is a non-stoichiometric covellite phase containing </w:t>
      </w:r>
      <w:proofErr w:type="gramStart"/>
      <w:r>
        <w:t>some</w:t>
      </w:r>
      <w:proofErr w:type="gramEnd"/>
      <w:r>
        <w:t xml:space="preserve"> Cu(I) and polysulfide character, which explains the deep blue-black to brown-black colouration and its strong broadband absorbance. Second, </w:t>
      </w:r>
      <w:proofErr w:type="gramStart"/>
      <w:r>
        <w:t>very high</w:t>
      </w:r>
      <w:proofErr w:type="gramEnd"/>
      <w:r>
        <w:t xml:space="preserve"> exposures could in principle produce coating of reactive sites, but the loading of copper salt </w:t>
      </w:r>
      <w:proofErr w:type="gramStart"/>
      <w:r>
        <w:t>is chosen</w:t>
      </w:r>
      <w:proofErr w:type="gramEnd"/>
      <w:r>
        <w:t xml:space="preserve"> to retain substantial capacity, so the response remains monotonic over the working range. Third, the reaction competes with other reductants such as mercaptans, which form copper thiolates. Such cross-sensitivity should be characterised during chamber calibration (Chapter 4).</w:t>
      </w:r>
    </w:p>
    <w:p w14:paraId="5A7092EF" w14:textId="77777777" w:rsidR="00A248C8" w:rsidRDefault="00000000">
      <w:pPr>
        <w:pStyle w:val="Heading2"/>
      </w:pPr>
      <w:r>
        <w:t>2.4 Role of Whatman Grade 1 Paper and Capillary Saturation</w:t>
      </w:r>
    </w:p>
    <w:p w14:paraId="2BC1B411" w14:textId="77777777" w:rsidR="00A248C8" w:rsidRDefault="00000000">
      <w:pPr>
        <w:spacing w:after="140" w:line="300" w:lineRule="auto"/>
        <w:jc w:val="both"/>
      </w:pPr>
      <w:r>
        <w:t xml:space="preserve">Whatman Grade 1 is a medium-flow cellulose paper of </w:t>
      </w:r>
      <w:proofErr w:type="gramStart"/>
      <w:r>
        <w:t>roughly 180</w:t>
      </w:r>
      <w:proofErr w:type="gramEnd"/>
      <w:r>
        <w:t xml:space="preserve"> µm thickness, with a nominal particle retention of about </w:t>
      </w:r>
      <w:proofErr w:type="gramStart"/>
      <w:r>
        <w:t>11</w:t>
      </w:r>
      <w:proofErr w:type="gramEnd"/>
      <w:r>
        <w:t xml:space="preserve"> µm. It </w:t>
      </w:r>
      <w:proofErr w:type="gramStart"/>
      <w:r>
        <w:t>is made</w:t>
      </w:r>
      <w:proofErr w:type="gramEnd"/>
      <w:r>
        <w:t xml:space="preserve"> from high-purity cotton linters, free of binders and optical brighteners at the specified grade. The last point matters because fluorescent whitening agents would distort reflectance. Its fibre network offers a narrow, reproducible pore-size distribution and a uniform basis weight (about 87 g/m²), which are the properties that determine wicking behaviour.</w:t>
      </w:r>
    </w:p>
    <w:p w14:paraId="4125B077" w14:textId="77777777" w:rsidR="00A248C8" w:rsidRDefault="00000000">
      <w:pPr>
        <w:spacing w:after="140" w:line="300" w:lineRule="auto"/>
        <w:jc w:val="both"/>
      </w:pPr>
      <w:r>
        <w:t>Impregnation relies on capillary action. The Washburn relation describes penetration depth:</w:t>
      </w:r>
    </w:p>
    <w:p w14:paraId="5DEF9939" w14:textId="77777777" w:rsidR="00A248C8" w:rsidRDefault="00000000">
      <w:pPr>
        <w:spacing w:before="60" w:after="120"/>
        <w:jc w:val="center"/>
      </w:pPr>
      <w:r>
        <w:rPr>
          <w:rFonts w:ascii="Cambria Math" w:eastAsia="Cambria Math" w:hAnsi="Cambria Math" w:cs="Cambria Math"/>
        </w:rPr>
        <w:t xml:space="preserve">L² = (γ </w:t>
      </w:r>
      <w:proofErr w:type="spellStart"/>
      <w:r>
        <w:rPr>
          <w:rFonts w:ascii="Cambria Math" w:eastAsia="Cambria Math" w:hAnsi="Cambria Math" w:cs="Cambria Math"/>
        </w:rPr>
        <w:t>r</w:t>
      </w:r>
      <w:proofErr w:type="spellEnd"/>
      <w:r>
        <w:rPr>
          <w:rFonts w:ascii="Cambria Math" w:eastAsia="Cambria Math" w:hAnsi="Cambria Math" w:cs="Cambria Math"/>
        </w:rPr>
        <w:t xml:space="preserve"> </w:t>
      </w:r>
      <w:proofErr w:type="spellStart"/>
      <w:r>
        <w:rPr>
          <w:rFonts w:ascii="Cambria Math" w:eastAsia="Cambria Math" w:hAnsi="Cambria Math" w:cs="Cambria Math"/>
        </w:rPr>
        <w:t>cosθ</w:t>
      </w:r>
      <w:proofErr w:type="spellEnd"/>
      <w:r>
        <w:rPr>
          <w:rFonts w:ascii="Cambria Math" w:eastAsia="Cambria Math" w:hAnsi="Cambria Math" w:cs="Cambria Math"/>
        </w:rPr>
        <w:t xml:space="preserve"> / 2η) · t</w:t>
      </w:r>
    </w:p>
    <w:p w14:paraId="4BD6114C" w14:textId="77777777" w:rsidR="00A248C8" w:rsidRDefault="00000000">
      <w:pPr>
        <w:spacing w:after="140" w:line="300" w:lineRule="auto"/>
        <w:jc w:val="both"/>
      </w:pPr>
      <w:r>
        <w:t xml:space="preserve">Hydrophilic cellulose (small contact angle) draws the aqueous solution into the pores rapidly and uniformly, so a short immersion produces homogeneous saturation. Uniform loading gives each unit area of pad an equal reagent inventory and equal effective diffusion path. Variable loading </w:t>
      </w:r>
      <w:r>
        <w:lastRenderedPageBreak/>
        <w:t xml:space="preserve">would produce patchy colour development and bias the trimmed-mean sampling of the region of interest. Cellulose is also chemically tolerant of the dilute acid employed, and its hydroxyl groups weakly coordinate Cu²⁺, assisting immobilisation and limiting migration after drying. After immersion, the strips </w:t>
      </w:r>
      <w:proofErr w:type="gramStart"/>
      <w:r>
        <w:t>are blotted</w:t>
      </w:r>
      <w:proofErr w:type="gramEnd"/>
      <w:r>
        <w:t xml:space="preserve"> to remove surface excess, then drained and conditioned under controlled humidity, not oven-dried to completion, </w:t>
      </w:r>
      <w:proofErr w:type="gramStart"/>
      <w:r>
        <w:t>in order to</w:t>
      </w:r>
      <w:proofErr w:type="gramEnd"/>
      <w:r>
        <w:t xml:space="preserve"> retain the humectant film described next.</w:t>
      </w:r>
    </w:p>
    <w:p w14:paraId="6E627888" w14:textId="77777777" w:rsidR="00A248C8" w:rsidRDefault="00000000">
      <w:pPr>
        <w:pStyle w:val="Heading2"/>
      </w:pPr>
      <w:r>
        <w:t>2.5 Glycerol as a "Moist Trap"</w:t>
      </w:r>
    </w:p>
    <w:p w14:paraId="52B6F723" w14:textId="77777777" w:rsidR="00A248C8" w:rsidRDefault="00000000">
      <w:pPr>
        <w:spacing w:after="140" w:line="300" w:lineRule="auto"/>
        <w:jc w:val="both"/>
      </w:pPr>
      <w:r>
        <w:t>H₂S must dissolve before it can react, so the sensing film requires water. In a dry refinery environment, a bare salt-impregnated paper would effloresce and lose its aqueous layer, and the reaction would slow. In saturated sewer air, conversely, excess condensation could dilute reagent and wash copper from the fibres. The paper's response would then drift with weather rather than dose.</w:t>
      </w:r>
    </w:p>
    <w:p w14:paraId="5033CBC3" w14:textId="77777777" w:rsidR="00A248C8" w:rsidRDefault="00000000">
      <w:pPr>
        <w:spacing w:after="140" w:line="300" w:lineRule="auto"/>
        <w:jc w:val="both"/>
      </w:pPr>
      <w:r>
        <w:t xml:space="preserve">Glycerol (propane-1,2,3-triol) at 5 % </w:t>
      </w:r>
      <w:proofErr w:type="gramStart"/>
      <w:r>
        <w:t>is added</w:t>
      </w:r>
      <w:proofErr w:type="gramEnd"/>
      <w:r>
        <w:t xml:space="preserve"> as a non-volatile humectant. Its three hydroxyl groups hydrogen-bond water, giving it </w:t>
      </w:r>
      <w:proofErr w:type="gramStart"/>
      <w:r>
        <w:t>a very low</w:t>
      </w:r>
      <w:proofErr w:type="gramEnd"/>
      <w:r>
        <w:t xml:space="preserve"> vapour pressure and hygroscopic equilibrium with ambient humidity. The paper retains a thin, persistent hydration layer across a wide relative-humidity range, which acts as the "moist trap" in which gas </w:t>
      </w:r>
      <w:proofErr w:type="gramStart"/>
      <w:r>
        <w:t>is absorbed</w:t>
      </w:r>
      <w:proofErr w:type="gramEnd"/>
      <w:r>
        <w:t xml:space="preserve"> and where Cu²⁺ remains mobile. Because the layer's thickness changes only modestly over a wide range of humidity, the effective solubility and reaction conditions stay </w:t>
      </w:r>
      <w:proofErr w:type="gramStart"/>
      <w:r>
        <w:t>roughly constant</w:t>
      </w:r>
      <w:proofErr w:type="gramEnd"/>
      <w:r>
        <w:t xml:space="preserve">, and the diffusion-limited uptake stays stable. At 5 % the loading </w:t>
      </w:r>
      <w:proofErr w:type="gramStart"/>
      <w:r>
        <w:t>is restrained</w:t>
      </w:r>
      <w:proofErr w:type="gramEnd"/>
      <w:r>
        <w:t xml:space="preserve">. Greater concentrations would leave the pad tacky, attract dust and slow optical drying, whereas lesser amounts would not buffer humidity adequately. Glycerol is also inert toward Cu²⁺ at the mildly acidic pH specified, although long-term compatibility, since glycerol is a mild reductant, should </w:t>
      </w:r>
      <w:proofErr w:type="gramStart"/>
      <w:r>
        <w:t>be confirmed</w:t>
      </w:r>
      <w:proofErr w:type="gramEnd"/>
      <w:r>
        <w:t xml:space="preserve"> in shelf-life studies.</w:t>
      </w:r>
    </w:p>
    <w:p w14:paraId="6E1CCDB5" w14:textId="77777777" w:rsidR="00A248C8" w:rsidRDefault="00000000">
      <w:pPr>
        <w:pStyle w:val="Heading2"/>
      </w:pPr>
      <w:r>
        <w:t>2.6 pH Buffering and Suppression of Baseline Oxidation</w:t>
      </w:r>
    </w:p>
    <w:p w14:paraId="620C78BC" w14:textId="77777777" w:rsidR="00A248C8" w:rsidRDefault="00000000">
      <w:pPr>
        <w:spacing w:after="140" w:line="300" w:lineRule="auto"/>
        <w:jc w:val="both"/>
      </w:pPr>
      <w:r>
        <w:t>Neutral or alkaline copper solutions are prone to hydrolysis:</w:t>
      </w:r>
    </w:p>
    <w:p w14:paraId="1380B85D" w14:textId="77777777" w:rsidR="00A248C8" w:rsidRDefault="00000000">
      <w:pPr>
        <w:spacing w:before="60" w:after="120"/>
        <w:jc w:val="center"/>
      </w:pPr>
      <w:r>
        <w:rPr>
          <w:rFonts w:ascii="Cambria Math" w:eastAsia="Cambria Math" w:hAnsi="Cambria Math" w:cs="Cambria Math"/>
        </w:rPr>
        <w:t xml:space="preserve">Cu²⁺ + 2OH⁻ → </w:t>
      </w:r>
      <w:proofErr w:type="gramStart"/>
      <w:r>
        <w:rPr>
          <w:rFonts w:ascii="Cambria Math" w:eastAsia="Cambria Math" w:hAnsi="Cambria Math" w:cs="Cambria Math"/>
        </w:rPr>
        <w:t>Cu(</w:t>
      </w:r>
      <w:proofErr w:type="gramEnd"/>
      <w:r>
        <w:rPr>
          <w:rFonts w:ascii="Cambria Math" w:eastAsia="Cambria Math" w:hAnsi="Cambria Math" w:cs="Cambria Math"/>
        </w:rPr>
        <w:t>OH)₂↓</w:t>
      </w:r>
    </w:p>
    <w:p w14:paraId="4C2D891F" w14:textId="77777777" w:rsidR="00A248C8" w:rsidRDefault="00000000">
      <w:pPr>
        <w:spacing w:after="140" w:line="300" w:lineRule="auto"/>
        <w:jc w:val="both"/>
      </w:pPr>
      <w:r>
        <w:t xml:space="preserve">Basic copper salts and hydroxides would produce a greenish or turbid baseline and consume reagent. Dilute acid </w:t>
      </w:r>
      <w:proofErr w:type="gramStart"/>
      <w:r>
        <w:t>is therefore used</w:t>
      </w:r>
      <w:proofErr w:type="gramEnd"/>
      <w:r>
        <w:t xml:space="preserve"> to hold the impregnating solution near pH 4.0, where Cu²⁺ remains fully soluble and the pad remains a pristine pale blue. Acidity also limits two side reactions that would darken the blank pad: slow oxidation of cellulose and glycerol under catalysis by copper, and adventitious reduction to </w:t>
      </w:r>
      <w:proofErr w:type="spellStart"/>
      <w:r>
        <w:t>Cu₂O</w:t>
      </w:r>
      <w:proofErr w:type="spellEnd"/>
      <w:r>
        <w:t>, a red-brown solid, per:</w:t>
      </w:r>
    </w:p>
    <w:p w14:paraId="09F25317" w14:textId="77777777" w:rsidR="00A248C8" w:rsidRDefault="00000000">
      <w:pPr>
        <w:spacing w:before="60" w:after="120"/>
        <w:jc w:val="center"/>
      </w:pPr>
      <w:r>
        <w:rPr>
          <w:rFonts w:ascii="Cambria Math" w:eastAsia="Cambria Math" w:hAnsi="Cambria Math" w:cs="Cambria Math"/>
        </w:rPr>
        <w:t xml:space="preserve">2Cu²⁺ + 2OH⁻ + RCHO → </w:t>
      </w:r>
      <w:proofErr w:type="spellStart"/>
      <w:r>
        <w:rPr>
          <w:rFonts w:ascii="Cambria Math" w:eastAsia="Cambria Math" w:hAnsi="Cambria Math" w:cs="Cambria Math"/>
        </w:rPr>
        <w:t>Cu₂O</w:t>
      </w:r>
      <w:proofErr w:type="spellEnd"/>
      <w:r>
        <w:rPr>
          <w:rFonts w:ascii="Cambria Math" w:eastAsia="Cambria Math" w:hAnsi="Cambria Math" w:cs="Cambria Math"/>
        </w:rPr>
        <w:t>↓ + RCOOH + H₂O</w:t>
      </w:r>
    </w:p>
    <w:p w14:paraId="306A5141" w14:textId="77777777" w:rsidR="00A248C8" w:rsidRDefault="00000000">
      <w:pPr>
        <w:spacing w:after="140" w:line="300" w:lineRule="auto"/>
        <w:jc w:val="both"/>
      </w:pPr>
      <w:r>
        <w:t xml:space="preserve">Such drift would register as spurious lightness loss and corrupt the L* baseline. A pH near </w:t>
      </w:r>
      <w:proofErr w:type="gramStart"/>
      <w:r>
        <w:t>4</w:t>
      </w:r>
      <w:proofErr w:type="gramEnd"/>
      <w:r>
        <w:t xml:space="preserve"> is a deliberate compromise. It remains safely below the hydrolysis threshold, but it is not so acidic as to hydrolyse the cellulose glycosidic linkages during storage, and the equilibrium, Cu²⁺ + H₂S ⇌ </w:t>
      </w:r>
      <w:proofErr w:type="spellStart"/>
      <w:r>
        <w:lastRenderedPageBreak/>
        <w:t>CuS</w:t>
      </w:r>
      <w:proofErr w:type="spellEnd"/>
      <w:r>
        <w:t xml:space="preserve"> + 2H⁺, still lies strongly to the right, as Section 2.2 showed. A weak acid–conjugate base buffer, such as acetic acid and acetate, can absorb the protons released during exposure and prevent progressive acidification of the film.</w:t>
      </w:r>
    </w:p>
    <w:p w14:paraId="79BBF16B" w14:textId="77777777" w:rsidR="00A248C8" w:rsidRDefault="00000000">
      <w:pPr>
        <w:pStyle w:val="Heading2"/>
      </w:pPr>
      <w:r>
        <w:t>2.7 Summary</w:t>
      </w:r>
    </w:p>
    <w:p w14:paraId="3A2988A9" w14:textId="77777777" w:rsidR="00A248C8" w:rsidRDefault="00000000">
      <w:pPr>
        <w:spacing w:after="140" w:line="300" w:lineRule="auto"/>
        <w:jc w:val="both"/>
      </w:pPr>
      <w:r>
        <w:t xml:space="preserve">The formulation joins a thermodynamically irreversible sink reaction with three supporting layers of control: uniform capillary loading, humidity-independent </w:t>
      </w:r>
      <w:proofErr w:type="gramStart"/>
      <w:r>
        <w:t>hydration</w:t>
      </w:r>
      <w:proofErr w:type="gramEnd"/>
      <w:r>
        <w:t xml:space="preserve"> and a stabilised </w:t>
      </w:r>
      <w:proofErr w:type="spellStart"/>
      <w:r>
        <w:t>pH.</w:t>
      </w:r>
      <w:proofErr w:type="spellEnd"/>
      <w:r>
        <w:t xml:space="preserve"> Together they ensure that darkening is a faithful, monotonic function of integrated exposure.</w:t>
      </w:r>
    </w:p>
    <w:p w14:paraId="4CEE11F5" w14:textId="77777777" w:rsidR="006E5EDE" w:rsidRDefault="006E5EDE" w:rsidP="006E5EDE">
      <w:pPr>
        <w:pStyle w:val="Heading1"/>
        <w:pageBreakBefore/>
      </w:pPr>
      <w:r>
        <w:lastRenderedPageBreak/>
        <w:t>Chapter 3: Digital and Computer Vision Pipeline</w:t>
      </w:r>
    </w:p>
    <w:p w14:paraId="6433AFE8" w14:textId="27139FEF" w:rsidR="006E5EDE" w:rsidRDefault="006E5EDE" w:rsidP="006E5EDE">
      <w:pPr>
        <w:pStyle w:val="Heading2"/>
      </w:pPr>
      <w:r>
        <w:t>3.1 Architectural Principles</w:t>
      </w:r>
    </w:p>
    <w:p w14:paraId="18B65CD2" w14:textId="535B33DB" w:rsidR="004967A0" w:rsidRDefault="004967A0" w:rsidP="006E5EDE">
      <w:pPr>
        <w:spacing w:after="140" w:line="300" w:lineRule="auto"/>
        <w:jc w:val="both"/>
      </w:pPr>
      <w:r>
        <w:t xml:space="preserve">The intelligence layer is a native Android application written in Kotlin on the standard Android SDK. It captures camera frames and processes them through the standard OpenCV 4.x Java wrapper, rather than relying on </w:t>
      </w:r>
      <w:r w:rsidR="007C30A9">
        <w:t>C++ JNI</w:t>
      </w:r>
      <w:r>
        <w:t>.</w:t>
      </w:r>
    </w:p>
    <w:p w14:paraId="2DF03132" w14:textId="36BD56C4" w:rsidR="006E5EDE" w:rsidRDefault="006E5EDE" w:rsidP="006E5EDE">
      <w:pPr>
        <w:spacing w:after="140" w:line="300" w:lineRule="auto"/>
        <w:jc w:val="both"/>
      </w:pPr>
      <w:r>
        <w:t xml:space="preserve">The pipeline </w:t>
      </w:r>
      <w:proofErr w:type="gramStart"/>
      <w:r>
        <w:t>is decoupled</w:t>
      </w:r>
      <w:proofErr w:type="gramEnd"/>
      <w:r>
        <w:t xml:space="preserve"> into sequential stages (rectification, sampling, normalization, and dosimetry), with each exchanging typed intermediate results. Empirical calibration data </w:t>
      </w:r>
      <w:proofErr w:type="gramStart"/>
      <w:r>
        <w:t>is isolated</w:t>
      </w:r>
      <w:proofErr w:type="gramEnd"/>
      <w:r>
        <w:t xml:space="preserve"> in the Kotlin configuration module, ensuring that refining it after chamber testing requires no heavy pipeline changes.</w:t>
      </w:r>
    </w:p>
    <w:p w14:paraId="729C23CD" w14:textId="77777777" w:rsidR="006E5EDE" w:rsidRDefault="006E5EDE" w:rsidP="006E5EDE">
      <w:pPr>
        <w:spacing w:after="140" w:line="300" w:lineRule="auto"/>
        <w:jc w:val="both"/>
      </w:pPr>
      <w:r>
        <w:t xml:space="preserve">The governing rule of the pipeline is to fail loudly. Each stage can return a rejection with an operator instruction, and no dose </w:t>
      </w:r>
      <w:proofErr w:type="gramStart"/>
      <w:r>
        <w:t>is reported</w:t>
      </w:r>
      <w:proofErr w:type="gramEnd"/>
      <w:r>
        <w:t xml:space="preserve"> unless every upstream gate has passed. All image processing runs strictly locally on the phone edge; no photographs </w:t>
      </w:r>
      <w:proofErr w:type="gramStart"/>
      <w:r>
        <w:t>are transmitted</w:t>
      </w:r>
      <w:proofErr w:type="gramEnd"/>
      <w:r>
        <w:t xml:space="preserve"> to the backend server.</w:t>
      </w:r>
    </w:p>
    <w:p w14:paraId="6B166B1A" w14:textId="6D183CB7" w:rsidR="006E5EDE" w:rsidRDefault="006E5EDE" w:rsidP="006E5EDE">
      <w:pPr>
        <w:pStyle w:val="Heading2"/>
      </w:pPr>
      <w:r>
        <w:t>3.2 Stage 1: Rectification</w:t>
      </w:r>
    </w:p>
    <w:p w14:paraId="5AE3C569" w14:textId="77777777" w:rsidR="004967A0" w:rsidRDefault="004967A0" w:rsidP="006E5EDE">
      <w:pPr>
        <w:spacing w:after="140" w:line="300" w:lineRule="auto"/>
        <w:jc w:val="both"/>
      </w:pPr>
      <w:r>
        <w:t xml:space="preserve">The initial high-resolution frame </w:t>
      </w:r>
      <w:proofErr w:type="gramStart"/>
      <w:r>
        <w:t>is scaled</w:t>
      </w:r>
      <w:proofErr w:type="gramEnd"/>
      <w:r>
        <w:t xml:space="preserve"> into the pipeline. If the scale factor requires it, the pipeline leverages OpenCV's INTER_AREA interpolation, an area-based resampling method that reduces aliasing while preserving the boundaries of the printed patches more reliably than simple nearest-neighbour decimation.</w:t>
      </w:r>
    </w:p>
    <w:p w14:paraId="5617B98F" w14:textId="1DAB979B" w:rsidR="006E5EDE" w:rsidRDefault="006E5EDE" w:rsidP="006E5EDE">
      <w:pPr>
        <w:spacing w:after="140" w:line="300" w:lineRule="auto"/>
        <w:jc w:val="both"/>
      </w:pPr>
      <w:r>
        <w:t xml:space="preserve">The OpenCV </w:t>
      </w:r>
      <w:proofErr w:type="spellStart"/>
      <w:r>
        <w:t>ArucoDetector</w:t>
      </w:r>
      <w:proofErr w:type="spellEnd"/>
      <w:r>
        <w:t>, configured for the DICT_</w:t>
      </w:r>
      <w:proofErr w:type="gramStart"/>
      <w:r>
        <w:t>4X4</w:t>
      </w:r>
      <w:proofErr w:type="gramEnd"/>
      <w:r>
        <w:t>_</w:t>
      </w:r>
      <w:proofErr w:type="gramStart"/>
      <w:r>
        <w:t>50</w:t>
      </w:r>
      <w:proofErr w:type="gramEnd"/>
      <w:r>
        <w:t xml:space="preserve"> dictionary, searches for square contours, rectifies each candidate, and decodes its payload against the dictionary. The pipeline requires all four fiducial markers (IDs 0–3) to proceed, rejecting the frame otherwise. Corner positions </w:t>
      </w:r>
      <w:proofErr w:type="gramStart"/>
      <w:r>
        <w:t>are then refined</w:t>
      </w:r>
      <w:proofErr w:type="gramEnd"/>
      <w:r>
        <w:t xml:space="preserve"> to sub-pixel accuracy, which is critical because the markers are only 8 mm wide; small corner errors can propagate into the perspective transform.</w:t>
      </w:r>
    </w:p>
    <w:p w14:paraId="67367931" w14:textId="5C009BEF" w:rsidR="006E5EDE" w:rsidRDefault="004967A0" w:rsidP="006E5EDE">
      <w:pPr>
        <w:spacing w:after="140" w:line="300" w:lineRule="auto"/>
        <w:jc w:val="both"/>
      </w:pPr>
      <w:proofErr w:type="spellStart"/>
      <w:r>
        <w:rPr>
          <w:b/>
          <w:bCs/>
        </w:rPr>
        <w:t>Homography</w:t>
      </w:r>
      <w:proofErr w:type="spellEnd"/>
      <w:r w:rsidR="006E5EDE">
        <w:t>. The sensor badge is planar, so the mapping from physical coordinates (X, Y) in millimetres to image pixels (u, v) is a projective transform. In homogeneous coordinates:</w:t>
      </w:r>
    </w:p>
    <w:p w14:paraId="71D67FE3" w14:textId="77777777" w:rsidR="004967A0" w:rsidRDefault="004967A0" w:rsidP="004967A0">
      <w:pPr>
        <w:spacing w:before="60" w:after="120"/>
        <w:jc w:val="center"/>
        <w:rPr>
          <w:rFonts w:ascii="Cambria Math" w:eastAsia="Cambria Math" w:hAnsi="Cambria Math" w:cs="Cambria Math"/>
        </w:rPr>
      </w:pPr>
      <w:r>
        <w:rPr>
          <w:rFonts w:ascii="Cambria Math" w:eastAsia="Cambria Math" w:hAnsi="Cambria Math" w:cs="Cambria Math"/>
        </w:rPr>
        <w:t>s</w:t>
      </w:r>
      <w:proofErr w:type="gramStart"/>
      <w:r>
        <w:rPr>
          <w:rFonts w:ascii="Cambria Math" w:eastAsia="Cambria Math" w:hAnsi="Cambria Math" w:cs="Cambria Math"/>
        </w:rPr>
        <w:t>·[</w:t>
      </w:r>
      <w:proofErr w:type="gramEnd"/>
      <w:r>
        <w:rPr>
          <w:rFonts w:ascii="Cambria Math" w:eastAsia="Cambria Math" w:hAnsi="Cambria Math" w:cs="Cambria Math"/>
        </w:rPr>
        <w:t xml:space="preserve">u, v, </w:t>
      </w:r>
      <w:proofErr w:type="gramStart"/>
      <w:r>
        <w:rPr>
          <w:rFonts w:ascii="Cambria Math" w:eastAsia="Cambria Math" w:hAnsi="Cambria Math" w:cs="Cambria Math"/>
        </w:rPr>
        <w:t>1]ᵀ</w:t>
      </w:r>
      <w:proofErr w:type="gramEnd"/>
      <w:r>
        <w:rPr>
          <w:rFonts w:ascii="Cambria Math" w:eastAsia="Cambria Math" w:hAnsi="Cambria Math" w:cs="Cambria Math"/>
        </w:rPr>
        <w:t xml:space="preserve"> = H</w:t>
      </w:r>
      <w:proofErr w:type="gramStart"/>
      <w:r>
        <w:rPr>
          <w:rFonts w:ascii="Cambria Math" w:eastAsia="Cambria Math" w:hAnsi="Cambria Math" w:cs="Cambria Math"/>
        </w:rPr>
        <w:t>·[</w:t>
      </w:r>
      <w:proofErr w:type="gramEnd"/>
      <w:r>
        <w:rPr>
          <w:rFonts w:ascii="Cambria Math" w:eastAsia="Cambria Math" w:hAnsi="Cambria Math" w:cs="Cambria Math"/>
        </w:rPr>
        <w:t xml:space="preserve">X, Y, </w:t>
      </w:r>
      <w:proofErr w:type="gramStart"/>
      <w:r>
        <w:rPr>
          <w:rFonts w:ascii="Cambria Math" w:eastAsia="Cambria Math" w:hAnsi="Cambria Math" w:cs="Cambria Math"/>
        </w:rPr>
        <w:t>1]ᵀ</w:t>
      </w:r>
      <w:proofErr w:type="gramEnd"/>
    </w:p>
    <w:p w14:paraId="1FD8CB4C" w14:textId="75F92392" w:rsidR="004967A0" w:rsidRDefault="004967A0" w:rsidP="004967A0">
      <w:pPr>
        <w:spacing w:before="60" w:after="120"/>
        <w:jc w:val="center"/>
      </w:pPr>
      <w:r>
        <w:rPr>
          <w:rFonts w:ascii="Cambria Math" w:eastAsia="Cambria Math" w:hAnsi="Cambria Math" w:cs="Cambria Math"/>
        </w:rPr>
        <w:t>H = [[h₁₁, h₁₂, h₁₃], [h₂₁, h₂₂, h₂₃], [h₃₁, h₃₂, 1]]</w:t>
      </w:r>
    </w:p>
    <w:p w14:paraId="5AFBEC1D" w14:textId="77777777" w:rsidR="004967A0" w:rsidRDefault="004967A0" w:rsidP="004967A0">
      <w:pPr>
        <w:spacing w:after="140" w:line="300" w:lineRule="auto"/>
        <w:jc w:val="both"/>
      </w:pPr>
      <w:r>
        <w:t>H has eight degrees of freedom, with the scale fixed by h₃₃ = 1. Eliminating s gives two linear equations per correspondence:</w:t>
      </w:r>
    </w:p>
    <w:p w14:paraId="0D9DF5A5" w14:textId="77777777" w:rsidR="004967A0" w:rsidRDefault="004967A0" w:rsidP="004967A0">
      <w:pPr>
        <w:spacing w:before="60" w:after="120"/>
        <w:jc w:val="center"/>
      </w:pPr>
      <w:r>
        <w:rPr>
          <w:rFonts w:ascii="Cambria Math" w:eastAsia="Cambria Math" w:hAnsi="Cambria Math" w:cs="Cambria Math"/>
        </w:rPr>
        <w:t>u = (h₁₁X + h₁₂Y + h₁₃) / (h₃₁X + h₃₂Y + 1)</w:t>
      </w:r>
    </w:p>
    <w:p w14:paraId="7FE57E00" w14:textId="77777777" w:rsidR="004967A0" w:rsidRDefault="004967A0" w:rsidP="004967A0">
      <w:pPr>
        <w:spacing w:before="60" w:after="120"/>
        <w:jc w:val="center"/>
      </w:pPr>
      <w:r>
        <w:rPr>
          <w:rFonts w:ascii="Cambria Math" w:eastAsia="Cambria Math" w:hAnsi="Cambria Math" w:cs="Cambria Math"/>
        </w:rPr>
        <w:t>v = (h₂₁X + h₂₂Y + h₂₃) / (h₃₁X + h₃₂Y + 1)</w:t>
      </w:r>
    </w:p>
    <w:p w14:paraId="001D13E8" w14:textId="77777777" w:rsidR="006E5EDE" w:rsidRDefault="006E5EDE" w:rsidP="004967A0">
      <w:pPr>
        <w:spacing w:before="60" w:after="120"/>
        <w:jc w:val="both"/>
      </w:pPr>
      <w:r>
        <w:lastRenderedPageBreak/>
        <w:t xml:space="preserve">Rearranged, each point contributes two rows of a homogeneous system. Because each </w:t>
      </w:r>
      <w:proofErr w:type="spellStart"/>
      <w:r>
        <w:t>ArUco</w:t>
      </w:r>
      <w:proofErr w:type="spellEnd"/>
      <w:r>
        <w:t xml:space="preserve"> marker provides </w:t>
      </w:r>
      <w:proofErr w:type="gramStart"/>
      <w:r>
        <w:t>4</w:t>
      </w:r>
      <w:proofErr w:type="gramEnd"/>
      <w:r>
        <w:t xml:space="preserve"> corners, two markers already provide </w:t>
      </w:r>
      <w:proofErr w:type="gramStart"/>
      <w:r>
        <w:t>8 point</w:t>
      </w:r>
      <w:proofErr w:type="gramEnd"/>
      <w:r>
        <w:t xml:space="preserve"> correspondences, which is sufficient to solve the eight degrees of freedom of a planar </w:t>
      </w:r>
      <w:proofErr w:type="spellStart"/>
      <w:r>
        <w:t>homography</w:t>
      </w:r>
      <w:proofErr w:type="spellEnd"/>
      <w:r>
        <w:t xml:space="preserve">. The application nevertheless requires all four fiducials for robust badge detection and geometric validation. The application solves it directly with OpenCV's Calib3d.findHomography using standard least-squares (method 0), rather than relying on RANSAC or explicit coordinate pre-normalization. Because no outlier rejection </w:t>
      </w:r>
      <w:proofErr w:type="gramStart"/>
      <w:r>
        <w:t>is applied</w:t>
      </w:r>
      <w:proofErr w:type="gramEnd"/>
      <w:r>
        <w:t xml:space="preserve"> at this stage, a mis-localised corner degrades the fit directly, emphasizing the requirement for robust marker detection. The reprojection RMSE (Root Mean Square Error) provides the first quality gate; a large value indicates the badge is not planar (e.g., a bent strap) or a marker </w:t>
      </w:r>
      <w:proofErr w:type="gramStart"/>
      <w:r>
        <w:t>is occluded</w:t>
      </w:r>
      <w:proofErr w:type="gramEnd"/>
      <w:r>
        <w:t>.</w:t>
      </w:r>
    </w:p>
    <w:p w14:paraId="76914880" w14:textId="77777777" w:rsidR="006E5EDE" w:rsidRDefault="006E5EDE" w:rsidP="004967A0">
      <w:pPr>
        <w:spacing w:before="60" w:after="120"/>
        <w:jc w:val="both"/>
      </w:pPr>
      <w:proofErr w:type="spellStart"/>
      <w:r>
        <w:t>Imgproc.warpPerspective</w:t>
      </w:r>
      <w:proofErr w:type="spellEnd"/>
      <w:r>
        <w:t xml:space="preserve"> resamples the frame into </w:t>
      </w:r>
      <w:proofErr w:type="gramStart"/>
      <w:r>
        <w:t>a canonical</w:t>
      </w:r>
      <w:proofErr w:type="gramEnd"/>
      <w:r>
        <w:t xml:space="preserve">, </w:t>
      </w:r>
      <w:proofErr w:type="spellStart"/>
      <w:r>
        <w:t>fronto</w:t>
      </w:r>
      <w:proofErr w:type="spellEnd"/>
      <w:r>
        <w:t xml:space="preserve">-parallel image at a fixed pixels-per-millimetre scale. After warping, every Region of Interest (ROI) sits at a known pixel address, </w:t>
      </w:r>
      <w:proofErr w:type="gramStart"/>
      <w:r>
        <w:t>substantially reducing</w:t>
      </w:r>
      <w:proofErr w:type="gramEnd"/>
      <w:r>
        <w:t xml:space="preserve"> camera-angle variation as a source of geometric error.</w:t>
      </w:r>
    </w:p>
    <w:p w14:paraId="7843D997" w14:textId="77777777" w:rsidR="004967A0" w:rsidRDefault="004967A0" w:rsidP="004967A0">
      <w:pPr>
        <w:pStyle w:val="Heading2"/>
      </w:pPr>
      <w:r>
        <w:t>3.3 Stage 2: Sampling</w:t>
      </w:r>
    </w:p>
    <w:p w14:paraId="2623D950" w14:textId="77777777" w:rsidR="004967A0" w:rsidRDefault="006E5EDE" w:rsidP="004967A0">
      <w:pPr>
        <w:spacing w:after="240"/>
      </w:pPr>
      <w:r>
        <w:t xml:space="preserve">ROIs for the twelve reference patches and the 10 × 20 mm sensor pad </w:t>
      </w:r>
      <w:proofErr w:type="gramStart"/>
      <w:r>
        <w:t>are computed</w:t>
      </w:r>
      <w:proofErr w:type="gramEnd"/>
      <w:r>
        <w:t xml:space="preserve"> directly from the badge specification, inset from their boundaries to avoid edge bleed and misregistration.</w:t>
      </w:r>
    </w:p>
    <w:p w14:paraId="4DFA6221" w14:textId="78491126" w:rsidR="006E5EDE" w:rsidRDefault="006E5EDE" w:rsidP="004967A0">
      <w:pPr>
        <w:jc w:val="both"/>
      </w:pPr>
      <w:r>
        <w:t xml:space="preserve">Within each ROI, the pipeline computes a 20% trimmed mean per channel, meaning the lowest and highest tails </w:t>
      </w:r>
      <w:proofErr w:type="gramStart"/>
      <w:r>
        <w:t>are discarded</w:t>
      </w:r>
      <w:proofErr w:type="gramEnd"/>
      <w:r>
        <w:t xml:space="preserve"> and only the central pixels </w:t>
      </w:r>
      <w:proofErr w:type="gramStart"/>
      <w:r>
        <w:t>are averaged</w:t>
      </w:r>
      <w:proofErr w:type="gramEnd"/>
      <w:r>
        <w:t xml:space="preserve">. Specular highlights from the glossy membrane and hot pixels constitute extreme values in the upper tail, while shadows or dead pixels sit in the lower tail. The trimmed mean has a breakdown point of 20%, ensuring that contamination of up to a fifth of the pixels cannot shift the estimate arbitrarily. It also retains </w:t>
      </w:r>
      <w:proofErr w:type="gramStart"/>
      <w:r>
        <w:t>most of</w:t>
      </w:r>
      <w:proofErr w:type="gramEnd"/>
      <w:r>
        <w:t xml:space="preserve"> the statistical efficiency of the ordinary mean for Gaussian sensor noise, which a strict median would not.</w:t>
      </w:r>
    </w:p>
    <w:p w14:paraId="19936036" w14:textId="77777777" w:rsidR="006E5EDE" w:rsidRDefault="006E5EDE" w:rsidP="006E5EDE">
      <w:pPr>
        <w:spacing w:after="140" w:line="300" w:lineRule="auto"/>
        <w:jc w:val="both"/>
      </w:pPr>
      <w:r>
        <w:t>Crucially, sampling occurs on linearised values after inverse sRGB gamma removal, because averaging gamma-encoded values is not photometrically meaningful.</w:t>
      </w:r>
    </w:p>
    <w:p w14:paraId="64A3A563" w14:textId="4FC7E767" w:rsidR="004967A0" w:rsidRDefault="006E5EDE" w:rsidP="006E5EDE">
      <w:pPr>
        <w:pStyle w:val="Heading2"/>
      </w:pPr>
      <w:r>
        <w:t>3.4 Stage 3: Normalization</w:t>
      </w:r>
    </w:p>
    <w:p w14:paraId="45DEB163" w14:textId="0102D4A0" w:rsidR="006E5EDE" w:rsidRDefault="006E5EDE" w:rsidP="004967A0">
      <w:r>
        <w:t>This stage is classical regression, not machine learning, making it highly deterministic and auditable.</w:t>
      </w:r>
    </w:p>
    <w:p w14:paraId="0B47FE88" w14:textId="77777777" w:rsidR="006E5EDE" w:rsidRDefault="006E5EDE" w:rsidP="006E5EDE">
      <w:pPr>
        <w:spacing w:after="140" w:line="300" w:lineRule="auto"/>
        <w:jc w:val="both"/>
      </w:pPr>
      <w:r>
        <w:t xml:space="preserve">Flat-field correction. Illumination across even a 30 × 40 mm badge can vary due to lamp geometry, wrist shadows, and lens vignetting. A quadratic surface </w:t>
      </w:r>
      <w:proofErr w:type="gramStart"/>
      <w:r>
        <w:t>is fitted</w:t>
      </w:r>
      <w:proofErr w:type="gramEnd"/>
      <w:r>
        <w:t xml:space="preserve"> to the luminance of the white-field probe points and substrate-matched patches:</w:t>
      </w:r>
    </w:p>
    <w:p w14:paraId="2D53B1AD" w14:textId="77777777" w:rsidR="004967A0" w:rsidRDefault="004967A0" w:rsidP="004967A0">
      <w:pPr>
        <w:spacing w:before="60" w:after="120"/>
        <w:jc w:val="center"/>
      </w:pPr>
      <w:proofErr w:type="gramStart"/>
      <w:r>
        <w:rPr>
          <w:rFonts w:ascii="Cambria Math" w:eastAsia="Cambria Math" w:hAnsi="Cambria Math" w:cs="Cambria Math"/>
        </w:rPr>
        <w:t>I(</w:t>
      </w:r>
      <w:proofErr w:type="gramEnd"/>
      <w:r>
        <w:rPr>
          <w:rFonts w:ascii="Cambria Math" w:eastAsia="Cambria Math" w:hAnsi="Cambria Math" w:cs="Cambria Math"/>
        </w:rPr>
        <w:t xml:space="preserve">x, y) = a₀ + </w:t>
      </w:r>
      <w:proofErr w:type="spellStart"/>
      <w:r>
        <w:rPr>
          <w:rFonts w:ascii="Cambria Math" w:eastAsia="Cambria Math" w:hAnsi="Cambria Math" w:cs="Cambria Math"/>
        </w:rPr>
        <w:t>a₁x</w:t>
      </w:r>
      <w:proofErr w:type="spellEnd"/>
      <w:r>
        <w:rPr>
          <w:rFonts w:ascii="Cambria Math" w:eastAsia="Cambria Math" w:hAnsi="Cambria Math" w:cs="Cambria Math"/>
        </w:rPr>
        <w:t xml:space="preserve"> + </w:t>
      </w:r>
      <w:proofErr w:type="spellStart"/>
      <w:r>
        <w:rPr>
          <w:rFonts w:ascii="Cambria Math" w:eastAsia="Cambria Math" w:hAnsi="Cambria Math" w:cs="Cambria Math"/>
        </w:rPr>
        <w:t>a₂y</w:t>
      </w:r>
      <w:proofErr w:type="spellEnd"/>
      <w:r>
        <w:rPr>
          <w:rFonts w:ascii="Cambria Math" w:eastAsia="Cambria Math" w:hAnsi="Cambria Math" w:cs="Cambria Math"/>
        </w:rPr>
        <w:t xml:space="preserve"> + a₃x² + </w:t>
      </w:r>
      <w:proofErr w:type="spellStart"/>
      <w:r>
        <w:rPr>
          <w:rFonts w:ascii="Cambria Math" w:eastAsia="Cambria Math" w:hAnsi="Cambria Math" w:cs="Cambria Math"/>
        </w:rPr>
        <w:t>a₄xy</w:t>
      </w:r>
      <w:proofErr w:type="spellEnd"/>
      <w:r>
        <w:rPr>
          <w:rFonts w:ascii="Cambria Math" w:eastAsia="Cambria Math" w:hAnsi="Cambria Math" w:cs="Cambria Math"/>
        </w:rPr>
        <w:t xml:space="preserve"> + a₅y²</w:t>
      </w:r>
    </w:p>
    <w:p w14:paraId="6303A419" w14:textId="77777777" w:rsidR="006E5EDE" w:rsidRDefault="006E5EDE" w:rsidP="006E5EDE">
      <w:pPr>
        <w:spacing w:after="140" w:line="300" w:lineRule="auto"/>
        <w:jc w:val="both"/>
      </w:pPr>
      <w:r>
        <w:t xml:space="preserve">Six coefficients </w:t>
      </w:r>
      <w:proofErr w:type="gramStart"/>
      <w:r>
        <w:t>are estimated</w:t>
      </w:r>
      <w:proofErr w:type="gramEnd"/>
      <w:r>
        <w:t xml:space="preserve"> by least squares, and each ROI </w:t>
      </w:r>
      <w:proofErr w:type="gramStart"/>
      <w:r>
        <w:t>is divided</w:t>
      </w:r>
      <w:proofErr w:type="gramEnd"/>
      <w:r>
        <w:t xml:space="preserve"> by the normalised surface value at its centre. A quadratic polynomial captures smooth gradients and vignetting without overfitting the sparse probes. The fitted surface </w:t>
      </w:r>
      <w:proofErr w:type="gramStart"/>
      <w:r>
        <w:t>is evaluated</w:t>
      </w:r>
      <w:proofErr w:type="gramEnd"/>
      <w:r>
        <w:t xml:space="preserve"> at the pad, which lies inside the ring of reference patches, ensuring the correction remains a stable interpolation rather than an extrapolation.</w:t>
      </w:r>
    </w:p>
    <w:p w14:paraId="1DBB504A" w14:textId="77777777" w:rsidR="006E5EDE" w:rsidRDefault="006E5EDE" w:rsidP="004967A0">
      <w:pPr>
        <w:jc w:val="both"/>
      </w:pPr>
      <w:r w:rsidRPr="004967A0">
        <w:rPr>
          <w:b/>
          <w:bCs/>
        </w:rPr>
        <w:lastRenderedPageBreak/>
        <w:t>Colour Correction Matrix (CCM).</w:t>
      </w:r>
      <w:r>
        <w:t xml:space="preserve"> Camera RGB </w:t>
      </w:r>
      <w:proofErr w:type="gramStart"/>
      <w:r>
        <w:t>is mapped</w:t>
      </w:r>
      <w:proofErr w:type="gramEnd"/>
      <w:r>
        <w:t xml:space="preserve"> to standard sRGB using the twelve reference patches, whose true values are known, as calibration targets. The model </w:t>
      </w:r>
      <w:proofErr w:type="gramStart"/>
      <w:r>
        <w:t>is defined</w:t>
      </w:r>
      <w:proofErr w:type="gramEnd"/>
      <w:r>
        <w:t xml:space="preserve"> as </w:t>
      </w:r>
      <w:proofErr w:type="spellStart"/>
      <w:r>
        <w:t>c_sRGB</w:t>
      </w:r>
      <w:proofErr w:type="spellEnd"/>
      <w:r>
        <w:t xml:space="preserve"> = M · φ(</w:t>
      </w:r>
      <w:proofErr w:type="spellStart"/>
      <w:r>
        <w:t>c_cam</w:t>
      </w:r>
      <w:proofErr w:type="spellEnd"/>
      <w:r>
        <w:t>), where φ is the root-polynomial "root6" feature expansion (R, G, B, √RG, √GB, √RB). Root polynomials are homogeneous of degree one, meaning they remain exact under exposure scaling.</w:t>
      </w:r>
    </w:p>
    <w:p w14:paraId="3603EE5E" w14:textId="77777777" w:rsidR="006E5EDE" w:rsidRDefault="006E5EDE" w:rsidP="004967A0">
      <w:pPr>
        <w:spacing w:after="140" w:line="300" w:lineRule="auto"/>
        <w:jc w:val="both"/>
      </w:pPr>
      <w:r>
        <w:t xml:space="preserve">With only twelve targets and up to six features, overfitting is a real risk, so a ridge penalty </w:t>
      </w:r>
      <w:proofErr w:type="gramStart"/>
      <w:r>
        <w:t>is applied</w:t>
      </w:r>
      <w:proofErr w:type="gramEnd"/>
      <w:r>
        <w:t>:</w:t>
      </w:r>
    </w:p>
    <w:p w14:paraId="4FDC4A90" w14:textId="77777777" w:rsidR="006E5EDE" w:rsidRDefault="006E5EDE" w:rsidP="004967A0">
      <w:pPr>
        <w:spacing w:after="140" w:line="300" w:lineRule="auto"/>
        <w:jc w:val="center"/>
      </w:pPr>
      <w:r>
        <w:t xml:space="preserve">M = </w:t>
      </w:r>
      <w:proofErr w:type="spellStart"/>
      <w:r>
        <w:t>argmin</w:t>
      </w:r>
      <w:proofErr w:type="spellEnd"/>
      <w:r>
        <w:t xml:space="preserve"> ||Y − MΦ||² + λ||M||²</w:t>
      </w:r>
    </w:p>
    <w:p w14:paraId="51255BEA" w14:textId="77777777" w:rsidR="006E5EDE" w:rsidRDefault="006E5EDE" w:rsidP="004967A0">
      <w:pPr>
        <w:spacing w:before="60" w:after="120"/>
        <w:jc w:val="both"/>
      </w:pPr>
      <w:r>
        <w:t xml:space="preserve">The penalty shrinks coefficients and keeps the normal equations well-conditioned when the neutral patches are </w:t>
      </w:r>
      <w:proofErr w:type="gramStart"/>
      <w:r>
        <w:t>nearly collinear</w:t>
      </w:r>
      <w:proofErr w:type="gramEnd"/>
      <w:r>
        <w:t xml:space="preserve"> in feature space. To further secure the fit, the solver utilizes SVD-based robust least squares, using Median Absolute Deviation (MAD) to identify and drop spatial outliers. If too few patches remain readable for a stable fit, the engine degrades gracefully to a von Kries grey-world correction, which diagonally scales each channel so that the scene average is neutral.</w:t>
      </w:r>
    </w:p>
    <w:p w14:paraId="2144058A" w14:textId="77777777" w:rsidR="006E5EDE" w:rsidRDefault="006E5EDE" w:rsidP="004967A0">
      <w:pPr>
        <w:spacing w:after="140" w:line="300" w:lineRule="auto"/>
        <w:jc w:val="both"/>
      </w:pPr>
      <w:r w:rsidRPr="004967A0">
        <w:rPr>
          <w:b/>
          <w:bCs/>
        </w:rPr>
        <w:t>Quality Gating.</w:t>
      </w:r>
      <w:r>
        <w:t xml:space="preserve"> A leave-one-out cross-validation residual (</w:t>
      </w:r>
      <w:proofErr w:type="spellStart"/>
      <w:r>
        <w:t>looResiduals</w:t>
      </w:r>
      <w:proofErr w:type="spellEnd"/>
      <w:r>
        <w:t xml:space="preserve">) </w:t>
      </w:r>
      <w:proofErr w:type="gramStart"/>
      <w:r>
        <w:t>is computed</w:t>
      </w:r>
      <w:proofErr w:type="gramEnd"/>
      <w:r>
        <w:t xml:space="preserve"> by refitting the model multiple times, each time omitting one patch and measuring the error on that omitted patch. This estimates out-of-sample accuracy, which a standard training residual would overstate.</w:t>
      </w:r>
    </w:p>
    <w:p w14:paraId="49953754" w14:textId="77777777" w:rsidR="006E5EDE" w:rsidRDefault="006E5EDE" w:rsidP="007C30A9">
      <w:pPr>
        <w:spacing w:after="140" w:line="300" w:lineRule="auto"/>
      </w:pPr>
      <w:r w:rsidRPr="004967A0">
        <w:rPr>
          <w:rStyle w:val="Heading2Char"/>
        </w:rPr>
        <w:t>3.5 Stage 4: Dosimetry</w:t>
      </w:r>
      <w:r>
        <w:br/>
        <w:t xml:space="preserve">Corrected sRGB is linearised and converted through XYZ (D65) to CIELAB space, where L* is </w:t>
      </w:r>
      <w:proofErr w:type="gramStart"/>
      <w:r>
        <w:t>approximately perceptually</w:t>
      </w:r>
      <w:proofErr w:type="gramEnd"/>
      <w:r>
        <w:t xml:space="preserve"> uniform. The pad's lightness change, ΔL* = L*₀ − L*, serves as the primary optical observable. Because it </w:t>
      </w:r>
      <w:proofErr w:type="gramStart"/>
      <w:r>
        <w:t>is referenced</w:t>
      </w:r>
      <w:proofErr w:type="gramEnd"/>
      <w:r>
        <w:t xml:space="preserve"> directly against the unexposed substrate patches measured in the exact same frame, the baseline </w:t>
      </w:r>
      <w:proofErr w:type="gramStart"/>
      <w:r>
        <w:t>is obtained</w:t>
      </w:r>
      <w:proofErr w:type="gramEnd"/>
      <w:r>
        <w:t xml:space="preserve"> from the same image rather than from a separate reference photograph.</w:t>
      </w:r>
    </w:p>
    <w:p w14:paraId="7C787431" w14:textId="0F740517" w:rsidR="006E5EDE" w:rsidRDefault="006E5EDE" w:rsidP="004967A0">
      <w:pPr>
        <w:spacing w:before="60" w:after="120"/>
      </w:pPr>
      <w:r w:rsidRPr="007C30A9">
        <w:rPr>
          <w:b/>
          <w:bCs/>
        </w:rPr>
        <w:t>Why ΔL* rather than CIEDE2000?</w:t>
      </w:r>
      <w:r w:rsidR="004967A0">
        <w:t xml:space="preserve"> </w:t>
      </w:r>
      <w:r>
        <w:t>ΔE00 is a scalar distance combining lightness, chroma, and hue differences:</w:t>
      </w:r>
    </w:p>
    <w:p w14:paraId="340E8479" w14:textId="1A973DEA" w:rsidR="006E5EDE" w:rsidRDefault="004967A0" w:rsidP="004967A0">
      <w:pPr>
        <w:spacing w:before="60" w:after="120"/>
        <w:jc w:val="center"/>
      </w:pPr>
      <w:r>
        <w:rPr>
          <w:rFonts w:ascii="Cambria Math" w:eastAsia="Cambria Math" w:hAnsi="Cambria Math" w:cs="Cambria Math"/>
        </w:rPr>
        <w:t xml:space="preserve">ΔE00 = </w:t>
      </w:r>
      <w:proofErr w:type="gramStart"/>
      <w:r>
        <w:rPr>
          <w:rFonts w:ascii="Cambria Math" w:eastAsia="Cambria Math" w:hAnsi="Cambria Math" w:cs="Cambria Math"/>
        </w:rPr>
        <w:t>√[</w:t>
      </w:r>
      <w:proofErr w:type="gramEnd"/>
      <w:r>
        <w:rPr>
          <w:rFonts w:ascii="Cambria Math" w:eastAsia="Cambria Math" w:hAnsi="Cambria Math" w:cs="Cambria Math"/>
        </w:rPr>
        <w:t>(ΔL′/</w:t>
      </w:r>
      <w:proofErr w:type="spellStart"/>
      <w:r>
        <w:rPr>
          <w:rFonts w:ascii="Cambria Math" w:eastAsia="Cambria Math" w:hAnsi="Cambria Math" w:cs="Cambria Math"/>
        </w:rPr>
        <w:t>k_L</w:t>
      </w:r>
      <w:proofErr w:type="spellEnd"/>
      <w:r>
        <w:rPr>
          <w:rFonts w:ascii="Cambria Math" w:eastAsia="Cambria Math" w:hAnsi="Cambria Math" w:cs="Cambria Math"/>
        </w:rPr>
        <w:t xml:space="preserve"> S_</w:t>
      </w:r>
      <w:proofErr w:type="gramStart"/>
      <w:r>
        <w:rPr>
          <w:rFonts w:ascii="Cambria Math" w:eastAsia="Cambria Math" w:hAnsi="Cambria Math" w:cs="Cambria Math"/>
        </w:rPr>
        <w:t>L)²</w:t>
      </w:r>
      <w:proofErr w:type="gramEnd"/>
      <w:r>
        <w:rPr>
          <w:rFonts w:ascii="Cambria Math" w:eastAsia="Cambria Math" w:hAnsi="Cambria Math" w:cs="Cambria Math"/>
        </w:rPr>
        <w:t xml:space="preserve"> + (ΔC′/</w:t>
      </w:r>
      <w:proofErr w:type="spellStart"/>
      <w:r>
        <w:rPr>
          <w:rFonts w:ascii="Cambria Math" w:eastAsia="Cambria Math" w:hAnsi="Cambria Math" w:cs="Cambria Math"/>
        </w:rPr>
        <w:t>k_C</w:t>
      </w:r>
      <w:proofErr w:type="spellEnd"/>
      <w:r>
        <w:rPr>
          <w:rFonts w:ascii="Cambria Math" w:eastAsia="Cambria Math" w:hAnsi="Cambria Math" w:cs="Cambria Math"/>
        </w:rPr>
        <w:t xml:space="preserve"> S_</w:t>
      </w:r>
      <w:proofErr w:type="gramStart"/>
      <w:r>
        <w:rPr>
          <w:rFonts w:ascii="Cambria Math" w:eastAsia="Cambria Math" w:hAnsi="Cambria Math" w:cs="Cambria Math"/>
        </w:rPr>
        <w:t>C)²</w:t>
      </w:r>
      <w:proofErr w:type="gramEnd"/>
      <w:r>
        <w:rPr>
          <w:rFonts w:ascii="Cambria Math" w:eastAsia="Cambria Math" w:hAnsi="Cambria Math" w:cs="Cambria Math"/>
        </w:rPr>
        <w:t xml:space="preserve"> + (ΔH′/</w:t>
      </w:r>
      <w:proofErr w:type="spellStart"/>
      <w:r>
        <w:rPr>
          <w:rFonts w:ascii="Cambria Math" w:eastAsia="Cambria Math" w:hAnsi="Cambria Math" w:cs="Cambria Math"/>
        </w:rPr>
        <w:t>k_H</w:t>
      </w:r>
      <w:proofErr w:type="spellEnd"/>
      <w:r>
        <w:rPr>
          <w:rFonts w:ascii="Cambria Math" w:eastAsia="Cambria Math" w:hAnsi="Cambria Math" w:cs="Cambria Math"/>
        </w:rPr>
        <w:t xml:space="preserve"> S_</w:t>
      </w:r>
      <w:proofErr w:type="gramStart"/>
      <w:r>
        <w:rPr>
          <w:rFonts w:ascii="Cambria Math" w:eastAsia="Cambria Math" w:hAnsi="Cambria Math" w:cs="Cambria Math"/>
        </w:rPr>
        <w:t>H)²</w:t>
      </w:r>
      <w:proofErr w:type="gramEnd"/>
      <w:r>
        <w:rPr>
          <w:rFonts w:ascii="Cambria Math" w:eastAsia="Cambria Math" w:hAnsi="Cambria Math" w:cs="Cambria Math"/>
        </w:rPr>
        <w:t xml:space="preserve"> + R_T (ΔC′/</w:t>
      </w:r>
      <w:proofErr w:type="spellStart"/>
      <w:r>
        <w:rPr>
          <w:rFonts w:ascii="Cambria Math" w:eastAsia="Cambria Math" w:hAnsi="Cambria Math" w:cs="Cambria Math"/>
        </w:rPr>
        <w:t>k_C</w:t>
      </w:r>
      <w:proofErr w:type="spellEnd"/>
      <w:r>
        <w:rPr>
          <w:rFonts w:ascii="Cambria Math" w:eastAsia="Cambria Math" w:hAnsi="Cambria Math" w:cs="Cambria Math"/>
        </w:rPr>
        <w:t xml:space="preserve"> S_</w:t>
      </w:r>
      <w:proofErr w:type="gramStart"/>
      <w:r>
        <w:rPr>
          <w:rFonts w:ascii="Cambria Math" w:eastAsia="Cambria Math" w:hAnsi="Cambria Math" w:cs="Cambria Math"/>
        </w:rPr>
        <w:t>C)(</w:t>
      </w:r>
      <w:proofErr w:type="gramEnd"/>
      <w:r>
        <w:rPr>
          <w:rFonts w:ascii="Cambria Math" w:eastAsia="Cambria Math" w:hAnsi="Cambria Math" w:cs="Cambria Math"/>
        </w:rPr>
        <w:t>ΔH′/</w:t>
      </w:r>
      <w:proofErr w:type="spellStart"/>
      <w:r>
        <w:rPr>
          <w:rFonts w:ascii="Cambria Math" w:eastAsia="Cambria Math" w:hAnsi="Cambria Math" w:cs="Cambria Math"/>
        </w:rPr>
        <w:t>k_H</w:t>
      </w:r>
      <w:proofErr w:type="spellEnd"/>
      <w:r>
        <w:rPr>
          <w:rFonts w:ascii="Cambria Math" w:eastAsia="Cambria Math" w:hAnsi="Cambria Math" w:cs="Cambria Math"/>
        </w:rPr>
        <w:t xml:space="preserve"> S_H)]</w:t>
      </w:r>
    </w:p>
    <w:p w14:paraId="2BFCD56C" w14:textId="77777777" w:rsidR="006E5EDE" w:rsidRDefault="006E5EDE" w:rsidP="004967A0">
      <w:pPr>
        <w:spacing w:after="140" w:line="300" w:lineRule="auto"/>
        <w:jc w:val="both"/>
      </w:pPr>
      <w:r>
        <w:t xml:space="preserve">This construction is appropriate when lightness, chroma, and hue all carry useful signal. In the current pipeline, ΔL* </w:t>
      </w:r>
      <w:proofErr w:type="gramStart"/>
      <w:r>
        <w:t>is selected</w:t>
      </w:r>
      <w:proofErr w:type="gramEnd"/>
      <w:r>
        <w:t xml:space="preserve"> as the primary optical observable, while chroma and hue </w:t>
      </w:r>
      <w:proofErr w:type="gramStart"/>
      <w:r>
        <w:t>are retained</w:t>
      </w:r>
      <w:proofErr w:type="gramEnd"/>
      <w:r>
        <w:t xml:space="preserve"> as secondary response-quality information. This keeps the dose estimator focused on the measured lightness change while preserving additional colour information for diagnostics.</w:t>
      </w:r>
    </w:p>
    <w:p w14:paraId="09E71B13" w14:textId="77777777" w:rsidR="007C30A9" w:rsidRDefault="006E5EDE" w:rsidP="007C30A9">
      <w:pPr>
        <w:pStyle w:val="ListParagraph"/>
        <w:numPr>
          <w:ilvl w:val="0"/>
          <w:numId w:val="7"/>
        </w:numPr>
        <w:spacing w:after="240"/>
      </w:pPr>
      <w:r w:rsidRPr="007C30A9">
        <w:rPr>
          <w:i/>
          <w:iCs/>
        </w:rPr>
        <w:t>Interpretability</w:t>
      </w:r>
      <w:r>
        <w:t>: ΔL* directly represents the change in CIELAB lightness relative to the unexposed baseline and therefore provides a simple signed observable for calibration.</w:t>
      </w:r>
    </w:p>
    <w:p w14:paraId="677F50B4" w14:textId="77777777" w:rsidR="007C30A9" w:rsidRDefault="006E5EDE" w:rsidP="007C30A9">
      <w:pPr>
        <w:pStyle w:val="ListParagraph"/>
        <w:numPr>
          <w:ilvl w:val="0"/>
          <w:numId w:val="7"/>
        </w:numPr>
        <w:spacing w:after="240"/>
      </w:pPr>
      <w:r w:rsidRPr="007C30A9">
        <w:rPr>
          <w:i/>
          <w:iCs/>
        </w:rPr>
        <w:t>Separation of roles</w:t>
      </w:r>
      <w:r>
        <w:t xml:space="preserve">: ΔE00 combines lightness, chroma, and hue into one scalar, whereas the current pipeline retains chromatic information separately so it can </w:t>
      </w:r>
      <w:proofErr w:type="gramStart"/>
      <w:r>
        <w:t>be used</w:t>
      </w:r>
      <w:proofErr w:type="gramEnd"/>
      <w:r>
        <w:t xml:space="preserve"> for response-quality checks without making it the primary dose variable.</w:t>
      </w:r>
    </w:p>
    <w:p w14:paraId="1D94644E" w14:textId="270AE1A5" w:rsidR="006E5EDE" w:rsidRDefault="006E5EDE" w:rsidP="007C30A9">
      <w:pPr>
        <w:pStyle w:val="ListParagraph"/>
        <w:numPr>
          <w:ilvl w:val="0"/>
          <w:numId w:val="7"/>
        </w:numPr>
        <w:spacing w:after="240"/>
      </w:pPr>
      <w:r w:rsidRPr="007C30A9">
        <w:rPr>
          <w:i/>
          <w:iCs/>
        </w:rPr>
        <w:lastRenderedPageBreak/>
        <w:t>Directionality</w:t>
      </w:r>
      <w:r>
        <w:t xml:space="preserve">: ΔL* </w:t>
      </w:r>
      <w:proofErr w:type="gramStart"/>
      <w:r>
        <w:t>is signed</w:t>
      </w:r>
      <w:proofErr w:type="gramEnd"/>
      <w:r>
        <w:t>, allowing the pipeline to distinguish darkening from brightening artefacts and to reject physically inconsistent responses during quality gating.</w:t>
      </w:r>
    </w:p>
    <w:p w14:paraId="60D8D688" w14:textId="4451BF4E" w:rsidR="006E5EDE" w:rsidRDefault="006E5EDE" w:rsidP="007C30A9">
      <w:pPr>
        <w:spacing w:after="140" w:line="300" w:lineRule="auto"/>
        <w:jc w:val="both"/>
      </w:pPr>
      <w:r>
        <w:t xml:space="preserve">The selection of ΔL* as the primary observable is provisional and will </w:t>
      </w:r>
      <w:proofErr w:type="gramStart"/>
      <w:r>
        <w:t>be evaluated</w:t>
      </w:r>
      <w:proofErr w:type="gramEnd"/>
      <w:r>
        <w:t xml:space="preserve"> against the spectrophotometric ground truth and controlled gaseous-H₂S calibration data described in </w:t>
      </w:r>
      <w:r w:rsidR="007C30A9">
        <w:t>(</w:t>
      </w:r>
      <w:r>
        <w:t>Chapter 4</w:t>
      </w:r>
      <w:r w:rsidR="007C30A9">
        <w:t>)</w:t>
      </w:r>
      <w:r>
        <w:t>.</w:t>
      </w:r>
    </w:p>
    <w:p w14:paraId="79AB0335" w14:textId="77777777" w:rsidR="006E5EDE" w:rsidRDefault="006E5EDE" w:rsidP="007C30A9">
      <w:pPr>
        <w:spacing w:after="140" w:line="300" w:lineRule="auto"/>
        <w:jc w:val="both"/>
      </w:pPr>
      <w:r w:rsidRPr="007C30A9">
        <w:rPr>
          <w:b/>
          <w:bCs/>
        </w:rPr>
        <w:t>Chemical Response Integrity</w:t>
      </w:r>
      <w:r>
        <w:t xml:space="preserve">. Discarding chroma from the primary dose calculation does not discard it from the system entirely. The measured (a*, b*) values </w:t>
      </w:r>
      <w:proofErr w:type="gramStart"/>
      <w:r>
        <w:t>are retained</w:t>
      </w:r>
      <w:proofErr w:type="gramEnd"/>
      <w:r>
        <w:t xml:space="preserve"> as secondary response-quality information. Unexpected colour trajectories can </w:t>
      </w:r>
      <w:proofErr w:type="gramStart"/>
      <w:r>
        <w:t>be flagged</w:t>
      </w:r>
      <w:proofErr w:type="gramEnd"/>
      <w:r>
        <w:t xml:space="preserve"> for review rather than </w:t>
      </w:r>
      <w:proofErr w:type="gramStart"/>
      <w:r>
        <w:t>being converted</w:t>
      </w:r>
      <w:proofErr w:type="gramEnd"/>
      <w:r>
        <w:t xml:space="preserve"> directly into dose.</w:t>
      </w:r>
    </w:p>
    <w:p w14:paraId="201DD050" w14:textId="1A47FA76" w:rsidR="006E5EDE" w:rsidRDefault="006E5EDE" w:rsidP="007C30A9">
      <w:pPr>
        <w:spacing w:before="60" w:after="120"/>
      </w:pPr>
      <w:r w:rsidRPr="007C30A9">
        <w:rPr>
          <w:b/>
          <w:bCs/>
        </w:rPr>
        <w:t>Output</w:t>
      </w:r>
      <w:r>
        <w:t>. A provisional calibration model maps ΔL* to estimated cumulative exposure (</w:t>
      </w:r>
      <w:proofErr w:type="spellStart"/>
      <w:r>
        <w:t>ppm·hr</w:t>
      </w:r>
      <w:proofErr w:type="spellEnd"/>
      <w:r>
        <w:t xml:space="preserve">). The app derives the corresponding 8-hour TWA from cumulative exposure over the reference 8-hour period. These quantitative estimates remain experimental until controlled gaseous-H₂S calibration establishes the final coefficient set and valid operating range. A single end-of-shift passive measurement cannot determine short-term peak exposure or STEL compliance, so </w:t>
      </w:r>
      <w:proofErr w:type="spellStart"/>
      <w:r>
        <w:t>stelDeterminable</w:t>
      </w:r>
      <w:proofErr w:type="spellEnd"/>
      <w:r>
        <w:t xml:space="preserve"> remains false for a single scan.</w:t>
      </w:r>
      <w:r>
        <w:br/>
      </w:r>
    </w:p>
    <w:p w14:paraId="4176D4C2" w14:textId="77777777" w:rsidR="00A248C8" w:rsidRDefault="00000000">
      <w:pPr>
        <w:pStyle w:val="Heading1"/>
        <w:pageBreakBefore/>
      </w:pPr>
      <w:r>
        <w:lastRenderedPageBreak/>
        <w:t>Chapter 4: Spectrophotometric Ground-Truth Calibration</w:t>
      </w:r>
    </w:p>
    <w:p w14:paraId="06CCF8A3" w14:textId="77777777" w:rsidR="00A248C8" w:rsidRDefault="00000000">
      <w:pPr>
        <w:pStyle w:val="Heading2"/>
      </w:pPr>
      <w:r>
        <w:t>4.1 Purpose and Scope</w:t>
      </w:r>
    </w:p>
    <w:p w14:paraId="006B36BF" w14:textId="77777777" w:rsidR="00A248C8" w:rsidRDefault="00000000">
      <w:pPr>
        <w:spacing w:after="140" w:line="300" w:lineRule="auto"/>
        <w:jc w:val="both"/>
      </w:pPr>
      <w:r>
        <w:t xml:space="preserve">The software pipeline of Chapter 3 is mathematically complete but empirically uncalibrated. Its dose polynomial currently holds synthetic placeholder coefficients. This chapter defines the laboratory protocol that replaces them with measured values. The design rests on one principle: the mapping from optical state to cumulative dose is a property of the chemistry and the membrane stack, so it must </w:t>
      </w:r>
      <w:proofErr w:type="gramStart"/>
      <w:r>
        <w:t>be established</w:t>
      </w:r>
      <w:proofErr w:type="gramEnd"/>
      <w:r>
        <w:t xml:space="preserve"> against an independent physical standard, a solid-state UV-Vis spectrophotometer, and not inferred from the smartphone itself. Preliminary tests with liquid </w:t>
      </w:r>
      <w:proofErr w:type="spellStart"/>
      <w:r>
        <w:t>sulfide</w:t>
      </w:r>
      <w:proofErr w:type="spellEnd"/>
      <w:r>
        <w:t xml:space="preserve"> confirmed progressive darkening of strips, but liquid-phase dosing does not reproduce gas-phase diffusion through the </w:t>
      </w:r>
      <w:proofErr w:type="spellStart"/>
      <w:r>
        <w:t>ePTFE</w:t>
      </w:r>
      <w:proofErr w:type="spellEnd"/>
      <w:r>
        <w:t xml:space="preserve"> membrane and is not a valid calibration.</w:t>
      </w:r>
    </w:p>
    <w:p w14:paraId="2C1FF356" w14:textId="77777777" w:rsidR="00A248C8" w:rsidRDefault="00000000">
      <w:pPr>
        <w:pStyle w:val="Heading2"/>
      </w:pPr>
      <w:r>
        <w:t>4.2 The Sealed Acrylic Exposure Chamber</w:t>
      </w:r>
    </w:p>
    <w:p w14:paraId="60C6FBB0" w14:textId="77777777" w:rsidR="00A248C8" w:rsidRDefault="00000000">
      <w:pPr>
        <w:spacing w:after="140" w:line="300" w:lineRule="auto"/>
        <w:jc w:val="both"/>
      </w:pPr>
      <w:r>
        <w:t xml:space="preserve">Exposures </w:t>
      </w:r>
      <w:proofErr w:type="gramStart"/>
      <w:r>
        <w:t>are performed</w:t>
      </w:r>
      <w:proofErr w:type="gramEnd"/>
      <w:r>
        <w:t xml:space="preserve"> in a sealed </w:t>
      </w:r>
      <w:proofErr w:type="gramStart"/>
      <w:r>
        <w:t>poly(</w:t>
      </w:r>
      <w:proofErr w:type="gramEnd"/>
      <w:r>
        <w:t xml:space="preserve">methyl methacrylate) chamber, chosen for optical transparency, </w:t>
      </w:r>
      <w:proofErr w:type="gramStart"/>
      <w:r>
        <w:t>machinability</w:t>
      </w:r>
      <w:proofErr w:type="gramEnd"/>
      <w:r>
        <w:t xml:space="preserve"> and low H₂S sorption relative to elastomers. Wetted internal surfaces </w:t>
      </w:r>
      <w:proofErr w:type="gramStart"/>
      <w:r>
        <w:t>are ideally fluoropolymer-lined</w:t>
      </w:r>
      <w:proofErr w:type="gramEnd"/>
      <w:r>
        <w:t xml:space="preserve">, or passivated by pre-conditioning at the test concentration, because </w:t>
      </w:r>
      <w:proofErr w:type="spellStart"/>
      <w:r>
        <w:t>sulfide</w:t>
      </w:r>
      <w:proofErr w:type="spellEnd"/>
      <w:r>
        <w:t xml:space="preserve"> adsorbs onto surfaces and delays equilibration. The chamber specification includes:</w:t>
      </w:r>
    </w:p>
    <w:p w14:paraId="4CB28549" w14:textId="77777777" w:rsidR="00A248C8" w:rsidRDefault="00000000">
      <w:pPr>
        <w:pStyle w:val="ListParagraph"/>
        <w:numPr>
          <w:ilvl w:val="0"/>
          <w:numId w:val="3"/>
        </w:numPr>
        <w:spacing w:after="80" w:line="300" w:lineRule="auto"/>
      </w:pPr>
      <w:r>
        <w:rPr>
          <w:b/>
          <w:bCs/>
        </w:rPr>
        <w:t>Volume and mixing:</w:t>
      </w:r>
      <w:r>
        <w:t xml:space="preserve"> a volume of tens of litres, with a small fan providing mixing so that concentration is spatially uniform. Wind speed at the badge face </w:t>
      </w:r>
      <w:proofErr w:type="gramStart"/>
      <w:r>
        <w:t>is held</w:t>
      </w:r>
      <w:proofErr w:type="gramEnd"/>
      <w:r>
        <w:t xml:space="preserve"> low and reported, since the membrane </w:t>
      </w:r>
      <w:proofErr w:type="gramStart"/>
      <w:r>
        <w:t>is intended</w:t>
      </w:r>
      <w:proofErr w:type="gramEnd"/>
      <w:r>
        <w:t xml:space="preserve"> to render uptake independent of convection.</w:t>
      </w:r>
    </w:p>
    <w:p w14:paraId="77B02AB7" w14:textId="77777777" w:rsidR="00A248C8" w:rsidRDefault="00000000">
      <w:pPr>
        <w:pStyle w:val="ListParagraph"/>
        <w:numPr>
          <w:ilvl w:val="0"/>
          <w:numId w:val="3"/>
        </w:numPr>
        <w:spacing w:after="80" w:line="300" w:lineRule="auto"/>
      </w:pPr>
      <w:r>
        <w:rPr>
          <w:b/>
          <w:bCs/>
        </w:rPr>
        <w:t>Badge fixtures:</w:t>
      </w:r>
      <w:r>
        <w:t xml:space="preserve"> a rack presenting prototype badges in the wrist-worn orientation, with ports for timed extraction through a gloved or airlock access, so that opening the chamber does not disturb the atmosphere for the remaining units.</w:t>
      </w:r>
    </w:p>
    <w:p w14:paraId="3C63AF95" w14:textId="77777777" w:rsidR="00A248C8" w:rsidRDefault="00000000">
      <w:pPr>
        <w:pStyle w:val="ListParagraph"/>
        <w:numPr>
          <w:ilvl w:val="0"/>
          <w:numId w:val="3"/>
        </w:numPr>
        <w:spacing w:after="80" w:line="300" w:lineRule="auto"/>
      </w:pPr>
      <w:r>
        <w:rPr>
          <w:b/>
          <w:bCs/>
        </w:rPr>
        <w:t>Environmental control:</w:t>
      </w:r>
      <w:r>
        <w:t xml:space="preserve"> temperature held at 25 ± 1 °C, with relative humidity set by saturated salt solutions or a humidity generator. Calibration </w:t>
      </w:r>
      <w:proofErr w:type="gramStart"/>
      <w:r>
        <w:t>is repeated</w:t>
      </w:r>
      <w:proofErr w:type="gramEnd"/>
      <w:r>
        <w:t xml:space="preserve"> at low, </w:t>
      </w:r>
      <w:proofErr w:type="gramStart"/>
      <w:r>
        <w:t>mid</w:t>
      </w:r>
      <w:proofErr w:type="gramEnd"/>
      <w:r>
        <w:t xml:space="preserve"> and high humidity (for example 20, 50 and 85% RH) to verify the glycerol humectant's stabilising effect from Chapter 2.</w:t>
      </w:r>
    </w:p>
    <w:p w14:paraId="5753BFC5" w14:textId="77777777" w:rsidR="00A248C8" w:rsidRDefault="00000000">
      <w:pPr>
        <w:pStyle w:val="ListParagraph"/>
        <w:numPr>
          <w:ilvl w:val="0"/>
          <w:numId w:val="3"/>
        </w:numPr>
        <w:spacing w:after="80" w:line="300" w:lineRule="auto"/>
      </w:pPr>
      <w:r>
        <w:rPr>
          <w:b/>
          <w:bCs/>
        </w:rPr>
        <w:t>Reference monitoring:</w:t>
      </w:r>
      <w:r>
        <w:t xml:space="preserve"> an independent traceable analyser, such as a pulsed-fluorescence or electrochemical H₂S sensor, with outlet to a scrubber. It records the true concentration C(t) </w:t>
      </w:r>
      <w:proofErr w:type="gramStart"/>
      <w:r>
        <w:t>continuously, because</w:t>
      </w:r>
      <w:proofErr w:type="gramEnd"/>
      <w:r>
        <w:t xml:space="preserve"> the nominal generated value </w:t>
      </w:r>
      <w:proofErr w:type="gramStart"/>
      <w:r>
        <w:t>is never taken</w:t>
      </w:r>
      <w:proofErr w:type="gramEnd"/>
      <w:r>
        <w:t xml:space="preserve"> as truth.</w:t>
      </w:r>
    </w:p>
    <w:p w14:paraId="42F0BDD6" w14:textId="77777777" w:rsidR="00A248C8" w:rsidRDefault="00000000">
      <w:pPr>
        <w:spacing w:after="140" w:line="300" w:lineRule="auto"/>
        <w:jc w:val="both"/>
      </w:pPr>
      <w:r>
        <w:t xml:space="preserve">All work </w:t>
      </w:r>
      <w:proofErr w:type="gramStart"/>
      <w:r>
        <w:t>is conducted</w:t>
      </w:r>
      <w:proofErr w:type="gramEnd"/>
      <w:r>
        <w:t xml:space="preserve"> in a ventilated laboratory with a personal H₂S monitor in use, with exhaust passing through an alkaline or oxidising scrubber.</w:t>
      </w:r>
    </w:p>
    <w:p w14:paraId="28AF8958" w14:textId="77777777" w:rsidR="00A248C8" w:rsidRDefault="00000000">
      <w:pPr>
        <w:pStyle w:val="Heading2"/>
      </w:pPr>
      <w:r>
        <w:t>4.3 Micro-Generation of Trace H₂S</w:t>
      </w:r>
    </w:p>
    <w:p w14:paraId="7134BD32" w14:textId="77777777" w:rsidR="00A248C8" w:rsidRDefault="00000000">
      <w:pPr>
        <w:spacing w:after="140" w:line="300" w:lineRule="auto"/>
        <w:jc w:val="both"/>
      </w:pPr>
      <w:r>
        <w:lastRenderedPageBreak/>
        <w:t xml:space="preserve">Compressed cylinders at ppm level are the preferred source. Certified H₂S in nitrogen (for example 10 to 100 ppm) </w:t>
      </w:r>
      <w:proofErr w:type="gramStart"/>
      <w:r>
        <w:t>is metered</w:t>
      </w:r>
      <w:proofErr w:type="gramEnd"/>
      <w:r>
        <w:t xml:space="preserve"> through mass-flow controllers and diluted with humidified zero air. Permeation tubes are an alternative: a sealed tube releasing H₂S at a temperature-dependent, gravimetrically known rate into a carrier stream. Both avoid the hazards of bulk </w:t>
      </w:r>
      <w:proofErr w:type="spellStart"/>
      <w:r>
        <w:t>sulfide</w:t>
      </w:r>
      <w:proofErr w:type="spellEnd"/>
      <w:r>
        <w:t xml:space="preserve"> handling. In-situ chemical generation, by acidifying sodium </w:t>
      </w:r>
      <w:proofErr w:type="spellStart"/>
      <w:r>
        <w:t>sulfide</w:t>
      </w:r>
      <w:proofErr w:type="spellEnd"/>
      <w:r>
        <w:t>:</w:t>
      </w:r>
    </w:p>
    <w:p w14:paraId="0F4B2B44" w14:textId="77777777" w:rsidR="00A248C8" w:rsidRDefault="00000000">
      <w:pPr>
        <w:spacing w:before="60" w:after="120"/>
        <w:jc w:val="center"/>
      </w:pPr>
      <w:proofErr w:type="spellStart"/>
      <w:r>
        <w:rPr>
          <w:rFonts w:ascii="Cambria Math" w:eastAsia="Cambria Math" w:hAnsi="Cambria Math" w:cs="Cambria Math"/>
        </w:rPr>
        <w:t>Na₂S</w:t>
      </w:r>
      <w:proofErr w:type="spellEnd"/>
      <w:r>
        <w:rPr>
          <w:rFonts w:ascii="Cambria Math" w:eastAsia="Cambria Math" w:hAnsi="Cambria Math" w:cs="Cambria Math"/>
        </w:rPr>
        <w:t xml:space="preserve"> + 2HCl → 2NaCl + H₂S↑</w:t>
      </w:r>
    </w:p>
    <w:p w14:paraId="51C78C2B" w14:textId="77777777" w:rsidR="00A248C8" w:rsidRDefault="00000000">
      <w:pPr>
        <w:spacing w:after="140" w:line="300" w:lineRule="auto"/>
        <w:jc w:val="both"/>
      </w:pPr>
      <w:r>
        <w:t xml:space="preserve">is possible for small </w:t>
      </w:r>
      <w:proofErr w:type="gramStart"/>
      <w:r>
        <w:t>volumes, but</w:t>
      </w:r>
      <w:proofErr w:type="gramEnd"/>
      <w:r>
        <w:t xml:space="preserve"> yields poorly controlled and drifting concentrations and </w:t>
      </w:r>
      <w:proofErr w:type="gramStart"/>
      <w:r>
        <w:t>is not recommended</w:t>
      </w:r>
      <w:proofErr w:type="gramEnd"/>
      <w:r>
        <w:t xml:space="preserve"> for a primary calibration.</w:t>
      </w:r>
    </w:p>
    <w:p w14:paraId="6F593DDC" w14:textId="77777777" w:rsidR="00A248C8" w:rsidRDefault="00000000">
      <w:pPr>
        <w:spacing w:after="140" w:line="300" w:lineRule="auto"/>
        <w:jc w:val="both"/>
      </w:pPr>
      <w:r>
        <w:t xml:space="preserve">The test matrix spans the regulated range: concentrations of </w:t>
      </w:r>
      <w:proofErr w:type="gramStart"/>
      <w:r>
        <w:t>roughly 1</w:t>
      </w:r>
      <w:proofErr w:type="gramEnd"/>
      <w:r>
        <w:t xml:space="preserve"> to 50 ppm, covering the 1 ppm ACGIH TWA region through the </w:t>
      </w:r>
      <w:proofErr w:type="gramStart"/>
      <w:r>
        <w:t>10 ppm</w:t>
      </w:r>
      <w:proofErr w:type="gramEnd"/>
      <w:r>
        <w:t xml:space="preserve"> range and toward higher excursions. Exposure durations range from minutes to a full 8–</w:t>
      </w:r>
      <w:proofErr w:type="gramStart"/>
      <w:r>
        <w:t>12 hour</w:t>
      </w:r>
      <w:proofErr w:type="gramEnd"/>
      <w:r>
        <w:t xml:space="preserve"> shift. Crucially, the matrix decouples concentration from time. Equal </w:t>
      </w:r>
      <w:proofErr w:type="spellStart"/>
      <w:r>
        <w:t>ppm·hr</w:t>
      </w:r>
      <w:proofErr w:type="spellEnd"/>
      <w:r>
        <w:t xml:space="preserve"> values </w:t>
      </w:r>
      <w:proofErr w:type="gramStart"/>
      <w:r>
        <w:t>are reached</w:t>
      </w:r>
      <w:proofErr w:type="gramEnd"/>
      <w:r>
        <w:t xml:space="preserve"> at different combinations (for example 5 ppm for 4 hr and 20 ppm for 1 hr), which </w:t>
      </w:r>
      <w:proofErr w:type="gramStart"/>
      <w:r>
        <w:t>tests</w:t>
      </w:r>
      <w:proofErr w:type="gramEnd"/>
      <w:r>
        <w:t xml:space="preserve"> the central </w:t>
      </w:r>
      <w:proofErr w:type="spellStart"/>
      <w:r>
        <w:t>dosimetric</w:t>
      </w:r>
      <w:proofErr w:type="spellEnd"/>
      <w:r>
        <w:t xml:space="preserve"> assumption of reciprocity, that response depends on ∫C dt alone. Deviations from reciprocity, for instance at high concentrations where surface saturation or acid accumulation could alter behaviour, </w:t>
      </w:r>
      <w:proofErr w:type="gramStart"/>
      <w:r>
        <w:t>are quantified</w:t>
      </w:r>
      <w:proofErr w:type="gramEnd"/>
      <w:r>
        <w:t xml:space="preserve"> here and bound the valid range of the final model. Cross-sensitivity runs with mercaptans, and blanks in clean air, </w:t>
      </w:r>
      <w:proofErr w:type="gramStart"/>
      <w:r>
        <w:t>are included</w:t>
      </w:r>
      <w:proofErr w:type="gramEnd"/>
      <w:r>
        <w:t>.</w:t>
      </w:r>
    </w:p>
    <w:p w14:paraId="4DA724DF" w14:textId="77777777" w:rsidR="00A248C8" w:rsidRDefault="00000000">
      <w:pPr>
        <w:spacing w:after="140" w:line="300" w:lineRule="auto"/>
        <w:jc w:val="both"/>
      </w:pPr>
      <w:r>
        <w:t xml:space="preserve">The dose assigned to each badge </w:t>
      </w:r>
      <w:proofErr w:type="gramStart"/>
      <w:r>
        <w:t>is computed</w:t>
      </w:r>
      <w:proofErr w:type="gramEnd"/>
      <w:r>
        <w:t xml:space="preserve"> from the reference analyser trace:</w:t>
      </w:r>
    </w:p>
    <w:p w14:paraId="203E53E8" w14:textId="77777777" w:rsidR="00A248C8" w:rsidRDefault="00000000">
      <w:pPr>
        <w:spacing w:before="60" w:after="120"/>
        <w:jc w:val="center"/>
      </w:pPr>
      <w:r>
        <w:rPr>
          <w:rFonts w:ascii="Cambria Math" w:eastAsia="Cambria Math" w:hAnsi="Cambria Math" w:cs="Cambria Math"/>
        </w:rPr>
        <w:t xml:space="preserve">D = ∫₀ᵗ </w:t>
      </w:r>
      <w:proofErr w:type="spellStart"/>
      <w:r>
        <w:rPr>
          <w:rFonts w:ascii="Cambria Math" w:eastAsia="Cambria Math" w:hAnsi="Cambria Math" w:cs="Cambria Math"/>
        </w:rPr>
        <w:t>C_ref</w:t>
      </w:r>
      <w:proofErr w:type="spellEnd"/>
      <w:r>
        <w:rPr>
          <w:rFonts w:ascii="Cambria Math" w:eastAsia="Cambria Math" w:hAnsi="Cambria Math" w:cs="Cambria Math"/>
        </w:rPr>
        <w:t xml:space="preserve">(τ) </w:t>
      </w:r>
      <w:proofErr w:type="spellStart"/>
      <w:r>
        <w:rPr>
          <w:rFonts w:ascii="Cambria Math" w:eastAsia="Cambria Math" w:hAnsi="Cambria Math" w:cs="Cambria Math"/>
        </w:rPr>
        <w:t>dτ</w:t>
      </w:r>
      <w:proofErr w:type="spellEnd"/>
      <w:r>
        <w:rPr>
          <w:rFonts w:ascii="Cambria Math" w:eastAsia="Cambria Math" w:hAnsi="Cambria Math" w:cs="Cambria Math"/>
        </w:rPr>
        <w:t xml:space="preserve"> ≈ Σ </w:t>
      </w:r>
      <w:proofErr w:type="spellStart"/>
      <w:r>
        <w:rPr>
          <w:rFonts w:ascii="Cambria Math" w:eastAsia="Cambria Math" w:hAnsi="Cambria Math" w:cs="Cambria Math"/>
        </w:rPr>
        <w:t>C_</w:t>
      </w:r>
      <w:proofErr w:type="gramStart"/>
      <w:r>
        <w:rPr>
          <w:rFonts w:ascii="Cambria Math" w:eastAsia="Cambria Math" w:hAnsi="Cambria Math" w:cs="Cambria Math"/>
        </w:rPr>
        <w:t>ref,i</w:t>
      </w:r>
      <w:proofErr w:type="spellEnd"/>
      <w:proofErr w:type="gramEnd"/>
      <w:r>
        <w:rPr>
          <w:rFonts w:ascii="Cambria Math" w:eastAsia="Cambria Math" w:hAnsi="Cambria Math" w:cs="Cambria Math"/>
        </w:rPr>
        <w:t xml:space="preserve"> · </w:t>
      </w:r>
      <w:proofErr w:type="spellStart"/>
      <w:r>
        <w:rPr>
          <w:rFonts w:ascii="Cambria Math" w:eastAsia="Cambria Math" w:hAnsi="Cambria Math" w:cs="Cambria Math"/>
        </w:rPr>
        <w:t>Δt_i</w:t>
      </w:r>
      <w:proofErr w:type="spellEnd"/>
      <w:r>
        <w:rPr>
          <w:rFonts w:ascii="Cambria Math" w:eastAsia="Cambria Math" w:hAnsi="Cambria Math" w:cs="Cambria Math"/>
        </w:rPr>
        <w:t xml:space="preserve"> (</w:t>
      </w:r>
      <w:proofErr w:type="spellStart"/>
      <w:r>
        <w:rPr>
          <w:rFonts w:ascii="Cambria Math" w:eastAsia="Cambria Math" w:hAnsi="Cambria Math" w:cs="Cambria Math"/>
        </w:rPr>
        <w:t>ppm·hr</w:t>
      </w:r>
      <w:proofErr w:type="spellEnd"/>
      <w:r>
        <w:rPr>
          <w:rFonts w:ascii="Cambria Math" w:eastAsia="Cambria Math" w:hAnsi="Cambria Math" w:cs="Cambria Math"/>
        </w:rPr>
        <w:t>)</w:t>
      </w:r>
    </w:p>
    <w:p w14:paraId="1225BD68" w14:textId="77777777" w:rsidR="00A248C8" w:rsidRDefault="00000000">
      <w:pPr>
        <w:pStyle w:val="Heading2"/>
      </w:pPr>
      <w:r>
        <w:t>4.4 Spectrophotometric Measurement</w:t>
      </w:r>
    </w:p>
    <w:p w14:paraId="4CDFF541" w14:textId="77777777" w:rsidR="00A248C8" w:rsidRDefault="00000000">
      <w:pPr>
        <w:spacing w:after="140" w:line="300" w:lineRule="auto"/>
        <w:jc w:val="both"/>
      </w:pPr>
      <w:r>
        <w:t xml:space="preserve">Exposed pads </w:t>
      </w:r>
      <w:proofErr w:type="gramStart"/>
      <w:r>
        <w:t>are extracted</w:t>
      </w:r>
      <w:proofErr w:type="gramEnd"/>
      <w:r>
        <w:t xml:space="preserve"> at timed intervals, sealed against further reaction, and measured promptly. The instrument is a UV-Vis spectrophotometer fitted with an integrating sphere and a solid-sample port. Diffuse reflectance R(λ) </w:t>
      </w:r>
      <w:proofErr w:type="gramStart"/>
      <w:r>
        <w:t>is recorded</w:t>
      </w:r>
      <w:proofErr w:type="gramEnd"/>
      <w:r>
        <w:t xml:space="preserve"> from about 380 to 780 nm relative to a certified white reference such as PTFE or </w:t>
      </w:r>
      <w:proofErr w:type="spellStart"/>
      <w:r>
        <w:t>BaSO</w:t>
      </w:r>
      <w:proofErr w:type="spellEnd"/>
      <w:r>
        <w:t xml:space="preserve">₄. </w:t>
      </w:r>
      <w:proofErr w:type="gramStart"/>
      <w:r>
        <w:t>Several</w:t>
      </w:r>
      <w:proofErr w:type="gramEnd"/>
      <w:r>
        <w:t xml:space="preserve"> positions on each pad </w:t>
      </w:r>
      <w:proofErr w:type="gramStart"/>
      <w:r>
        <w:t>are measured</w:t>
      </w:r>
      <w:proofErr w:type="gramEnd"/>
      <w:r>
        <w:t xml:space="preserve">, and the mean and spread </w:t>
      </w:r>
      <w:proofErr w:type="gramStart"/>
      <w:r>
        <w:t>are retained</w:t>
      </w:r>
      <w:proofErr w:type="gramEnd"/>
      <w:r>
        <w:t>, which also quantifies the uniformity of the impregnation. Unexposed pads from the same batch supply R₀(λ).</w:t>
      </w:r>
    </w:p>
    <w:p w14:paraId="46D09A7A" w14:textId="77777777" w:rsidR="00A248C8" w:rsidRDefault="00000000">
      <w:pPr>
        <w:spacing w:after="140" w:line="300" w:lineRule="auto"/>
        <w:jc w:val="both"/>
      </w:pPr>
      <w:r>
        <w:t>Because paper is a strongly scattering, partially transparent medium, absorbance computed as −log R is not linear in absorber concentration. The Kubelka–Munk theory treats the sample as an absorbing and scattering layer. For an optically thick layer, with reflectance R∞ taken against a backing that no longer influences the result:</w:t>
      </w:r>
    </w:p>
    <w:p w14:paraId="4BC30852" w14:textId="77777777" w:rsidR="00A248C8" w:rsidRDefault="00000000">
      <w:pPr>
        <w:spacing w:before="60" w:after="120"/>
        <w:jc w:val="center"/>
      </w:pPr>
      <w:r>
        <w:rPr>
          <w:rFonts w:ascii="Cambria Math" w:eastAsia="Cambria Math" w:hAnsi="Cambria Math" w:cs="Cambria Math"/>
        </w:rPr>
        <w:t>F(R∞) = (1 − R</w:t>
      </w:r>
      <w:proofErr w:type="gramStart"/>
      <w:r>
        <w:rPr>
          <w:rFonts w:ascii="Cambria Math" w:eastAsia="Cambria Math" w:hAnsi="Cambria Math" w:cs="Cambria Math"/>
        </w:rPr>
        <w:t>∞)²</w:t>
      </w:r>
      <w:proofErr w:type="gramEnd"/>
      <w:r>
        <w:rPr>
          <w:rFonts w:ascii="Cambria Math" w:eastAsia="Cambria Math" w:hAnsi="Cambria Math" w:cs="Cambria Math"/>
        </w:rPr>
        <w:t xml:space="preserve"> / (2R∞) = K/S</w:t>
      </w:r>
    </w:p>
    <w:p w14:paraId="14230F01" w14:textId="77777777" w:rsidR="00A248C8" w:rsidRDefault="00000000">
      <w:pPr>
        <w:spacing w:after="140" w:line="300" w:lineRule="auto"/>
        <w:jc w:val="both"/>
      </w:pPr>
      <w:r>
        <w:t xml:space="preserve">where K is the absorption coefficient and S the scattering coefficient. Because the absorbing </w:t>
      </w:r>
      <w:proofErr w:type="spellStart"/>
      <w:r>
        <w:t>CuS</w:t>
      </w:r>
      <w:proofErr w:type="spellEnd"/>
      <w:r>
        <w:t xml:space="preserve"> accumulates while the scattering contribution of the cellulose is </w:t>
      </w:r>
      <w:proofErr w:type="gramStart"/>
      <w:r>
        <w:t>essentially unchanged</w:t>
      </w:r>
      <w:proofErr w:type="gramEnd"/>
      <w:r>
        <w:t xml:space="preserve">, K increases </w:t>
      </w:r>
      <w:r>
        <w:lastRenderedPageBreak/>
        <w:t xml:space="preserve">in proportion to </w:t>
      </w:r>
      <w:proofErr w:type="spellStart"/>
      <w:r>
        <w:t>CuS</w:t>
      </w:r>
      <w:proofErr w:type="spellEnd"/>
      <w:r>
        <w:t xml:space="preserve"> content, and F(R∞) rises monotonically with captured </w:t>
      </w:r>
      <w:proofErr w:type="spellStart"/>
      <w:r>
        <w:t>sulfide</w:t>
      </w:r>
      <w:proofErr w:type="spellEnd"/>
      <w:r>
        <w:t>, which is proportional to dose through the stoichiometry and Chapter 1's diffusion relation:</w:t>
      </w:r>
    </w:p>
    <w:p w14:paraId="20034B58" w14:textId="77777777" w:rsidR="00A248C8" w:rsidRDefault="00000000">
      <w:pPr>
        <w:spacing w:before="60" w:after="120"/>
        <w:jc w:val="center"/>
      </w:pPr>
      <w:r>
        <w:rPr>
          <w:rFonts w:ascii="Cambria Math" w:eastAsia="Cambria Math" w:hAnsi="Cambria Math" w:cs="Cambria Math"/>
        </w:rPr>
        <w:t xml:space="preserve">ΔF = F(R) − F(R₀) = ε′ · </w:t>
      </w:r>
      <w:proofErr w:type="spellStart"/>
      <w:r>
        <w:rPr>
          <w:rFonts w:ascii="Cambria Math" w:eastAsia="Cambria Math" w:hAnsi="Cambria Math" w:cs="Cambria Math"/>
        </w:rPr>
        <w:t>n_CuS</w:t>
      </w:r>
      <w:proofErr w:type="spellEnd"/>
      <w:r>
        <w:rPr>
          <w:rFonts w:ascii="Cambria Math" w:eastAsia="Cambria Math" w:hAnsi="Cambria Math" w:cs="Cambria Math"/>
        </w:rPr>
        <w:t xml:space="preserve"> ∝ D</w:t>
      </w:r>
    </w:p>
    <w:p w14:paraId="396E285D" w14:textId="77777777" w:rsidR="00A248C8" w:rsidRDefault="00000000">
      <w:pPr>
        <w:spacing w:after="140" w:line="300" w:lineRule="auto"/>
        <w:jc w:val="both"/>
      </w:pPr>
      <w:r>
        <w:t xml:space="preserve">Where thickness is finite, the thin-layer limitation </w:t>
      </w:r>
      <w:proofErr w:type="gramStart"/>
      <w:r>
        <w:t>is checked</w:t>
      </w:r>
      <w:proofErr w:type="gramEnd"/>
      <w:r>
        <w:t xml:space="preserve"> by measuring pads over black and white backings. The measured values </w:t>
      </w:r>
      <w:proofErr w:type="gramStart"/>
      <w:r>
        <w:t>are used</w:t>
      </w:r>
      <w:proofErr w:type="gramEnd"/>
      <w:r>
        <w:t xml:space="preserve"> if the two agree. </w:t>
      </w:r>
      <w:proofErr w:type="gramStart"/>
      <w:r>
        <w:t>Otherwise</w:t>
      </w:r>
      <w:proofErr w:type="gramEnd"/>
      <w:r>
        <w:t xml:space="preserve"> a finite-layer correction </w:t>
      </w:r>
      <w:proofErr w:type="gramStart"/>
      <w:r>
        <w:t>is applied</w:t>
      </w:r>
      <w:proofErr w:type="gramEnd"/>
      <w:r>
        <w:t>. The result is a physically linearised optical density axis. Its linearity at low and moderate dose is a validation of the chemistry, while departure from linearity at high dose, from pigment saturation and the scattering of the dark layer, is characterised in the data.</w:t>
      </w:r>
    </w:p>
    <w:p w14:paraId="520F56DE" w14:textId="77777777" w:rsidR="00A248C8" w:rsidRDefault="00000000">
      <w:pPr>
        <w:pStyle w:val="Heading2"/>
      </w:pPr>
      <w:r>
        <w:t>4.5 Bridging Spectra to the Smartphone Observable</w:t>
      </w:r>
    </w:p>
    <w:p w14:paraId="31846FBF" w14:textId="77777777" w:rsidR="00A248C8" w:rsidRDefault="00000000">
      <w:pPr>
        <w:spacing w:after="140" w:line="300" w:lineRule="auto"/>
        <w:jc w:val="both"/>
      </w:pPr>
      <w:r>
        <w:t>The app does not measure F(R). It estimates −dL</w:t>
      </w:r>
      <w:r>
        <w:rPr>
          <w:i/>
          <w:iCs/>
        </w:rPr>
        <w:t xml:space="preserve"> from a corrected camera image. The calibration therefore </w:t>
      </w:r>
      <w:proofErr w:type="gramStart"/>
      <w:r>
        <w:rPr>
          <w:i/>
          <w:iCs/>
        </w:rPr>
        <w:t>has to</w:t>
      </w:r>
      <w:proofErr w:type="gramEnd"/>
      <w:r>
        <w:rPr>
          <w:i/>
          <w:iCs/>
        </w:rPr>
        <w:t xml:space="preserve"> link the two. From each spectrum, the CIE L</w:t>
      </w:r>
      <w:r>
        <w:t xml:space="preserve"> </w:t>
      </w:r>
      <w:proofErr w:type="gramStart"/>
      <w:r>
        <w:t>is computed</w:t>
      </w:r>
      <w:proofErr w:type="gramEnd"/>
      <w:r>
        <w:t xml:space="preserve"> under D65 and the 2° observer, and the </w:t>
      </w:r>
      <w:proofErr w:type="gramStart"/>
      <w:r>
        <w:t>corresponding −dL</w:t>
      </w:r>
      <w:proofErr w:type="gramEnd"/>
      <w:r>
        <w:rPr>
          <w:i/>
          <w:iCs/>
        </w:rPr>
        <w:t xml:space="preserve"> </w:t>
      </w:r>
      <w:proofErr w:type="gramStart"/>
      <w:r>
        <w:rPr>
          <w:i/>
          <w:iCs/>
        </w:rPr>
        <w:t>is derived</w:t>
      </w:r>
      <w:proofErr w:type="gramEnd"/>
      <w:r>
        <w:rPr>
          <w:i/>
          <w:iCs/>
        </w:rPr>
        <w:t xml:space="preserve"> against R₀. A parallel set of the same pads </w:t>
      </w:r>
      <w:proofErr w:type="gramStart"/>
      <w:r>
        <w:rPr>
          <w:i/>
          <w:iCs/>
        </w:rPr>
        <w:t>is photographed</w:t>
      </w:r>
      <w:proofErr w:type="gramEnd"/>
      <w:r>
        <w:rPr>
          <w:i/>
          <w:iCs/>
        </w:rPr>
        <w:t xml:space="preserve"> with the production app under </w:t>
      </w:r>
      <w:proofErr w:type="gramStart"/>
      <w:r>
        <w:rPr>
          <w:i/>
          <w:iCs/>
        </w:rPr>
        <w:t>several</w:t>
      </w:r>
      <w:proofErr w:type="gramEnd"/>
      <w:r>
        <w:rPr>
          <w:i/>
          <w:iCs/>
        </w:rPr>
        <w:t xml:space="preserve"> lighting conditions and phone models, with the full pipeline of Chapter 3 applied. Agreement between the spectrophotometric and app-derived L</w:t>
      </w:r>
      <w:r>
        <w:t xml:space="preserve"> values verifies the CCM and flat-field stages as an end-to-end test, with residuals attributed to the normalization chain. This also quantifies the app's uncertainty, which sets the reported confidence bounds.</w:t>
      </w:r>
    </w:p>
    <w:p w14:paraId="40BFB7D8" w14:textId="77777777" w:rsidR="00A248C8" w:rsidRDefault="00000000">
      <w:pPr>
        <w:pStyle w:val="Heading2"/>
      </w:pPr>
      <w:r>
        <w:t>4.6 Regression and Coefficient Generation</w:t>
      </w:r>
    </w:p>
    <w:p w14:paraId="15FCC1EC" w14:textId="77777777" w:rsidR="00A248C8" w:rsidRDefault="00000000">
      <w:pPr>
        <w:spacing w:after="140" w:line="300" w:lineRule="auto"/>
        <w:jc w:val="both"/>
      </w:pPr>
      <w:r>
        <w:t xml:space="preserve">With paired data (−dL*ᵢ, Dᵢ), the dose model </w:t>
      </w:r>
      <w:proofErr w:type="gramStart"/>
      <w:r>
        <w:t>is fitted</w:t>
      </w:r>
      <w:proofErr w:type="gramEnd"/>
      <w:r>
        <w:t xml:space="preserve"> as a low-order polynomial:</w:t>
      </w:r>
    </w:p>
    <w:p w14:paraId="1CA83628" w14:textId="77777777" w:rsidR="00A248C8" w:rsidRDefault="00000000">
      <w:pPr>
        <w:spacing w:before="60" w:after="120"/>
        <w:jc w:val="center"/>
      </w:pPr>
      <w:r>
        <w:rPr>
          <w:rFonts w:ascii="Cambria Math" w:eastAsia="Cambria Math" w:hAnsi="Cambria Math" w:cs="Cambria Math"/>
        </w:rPr>
        <w:t xml:space="preserve">D = c₀ + </w:t>
      </w:r>
      <w:proofErr w:type="spellStart"/>
      <w:r>
        <w:rPr>
          <w:rFonts w:ascii="Cambria Math" w:eastAsia="Cambria Math" w:hAnsi="Cambria Math" w:cs="Cambria Math"/>
        </w:rPr>
        <w:t>c₁x</w:t>
      </w:r>
      <w:proofErr w:type="spellEnd"/>
      <w:r>
        <w:rPr>
          <w:rFonts w:ascii="Cambria Math" w:eastAsia="Cambria Math" w:hAnsi="Cambria Math" w:cs="Cambria Math"/>
        </w:rPr>
        <w:t xml:space="preserve"> + c₂x² + c₃x³, where x = −dL*</w:t>
      </w:r>
    </w:p>
    <w:p w14:paraId="7C325194" w14:textId="77777777" w:rsidR="00A248C8" w:rsidRDefault="00000000">
      <w:pPr>
        <w:spacing w:after="140" w:line="300" w:lineRule="auto"/>
        <w:jc w:val="both"/>
      </w:pPr>
      <w:proofErr w:type="gramStart"/>
      <w:r>
        <w:t>Several</w:t>
      </w:r>
      <w:proofErr w:type="gramEnd"/>
      <w:r>
        <w:t xml:space="preserve"> practices guard against error. The regression </w:t>
      </w:r>
      <w:proofErr w:type="gramStart"/>
      <w:r>
        <w:t>is fitted</w:t>
      </w:r>
      <w:proofErr w:type="gramEnd"/>
      <w:r>
        <w:t xml:space="preserve"> to dose as the dependent </w:t>
      </w:r>
      <w:proofErr w:type="gramStart"/>
      <w:r>
        <w:t>variable, because</w:t>
      </w:r>
      <w:proofErr w:type="gramEnd"/>
      <w:r>
        <w:t xml:space="preserve"> dose is what the app must predict. Weights may </w:t>
      </w:r>
      <w:proofErr w:type="gramStart"/>
      <w:r>
        <w:t>be applied</w:t>
      </w:r>
      <w:proofErr w:type="gramEnd"/>
      <w:r>
        <w:t xml:space="preserve"> to reflect heteroscedastic uncertainty. Polynomial order </w:t>
      </w:r>
      <w:proofErr w:type="gramStart"/>
      <w:r>
        <w:t>is chosen</w:t>
      </w:r>
      <w:proofErr w:type="gramEnd"/>
      <w:r>
        <w:t xml:space="preserve"> by k-fold cross-validation and information criteria, penalising unnecessary curvature, and monotonicity </w:t>
      </w:r>
      <w:proofErr w:type="gramStart"/>
      <w:r>
        <w:t>is enforced</w:t>
      </w:r>
      <w:proofErr w:type="gramEnd"/>
      <w:r>
        <w:t xml:space="preserve"> over the valid range by checking </w:t>
      </w:r>
      <w:proofErr w:type="spellStart"/>
      <w:r>
        <w:t>dD</w:t>
      </w:r>
      <w:proofErr w:type="spellEnd"/>
      <w:r>
        <w:t xml:space="preserve">/dx &gt; 0, since a non-monotonic fit would assign two doses to one colour. The fit </w:t>
      </w:r>
      <w:proofErr w:type="gramStart"/>
      <w:r>
        <w:t>is performed</w:t>
      </w:r>
      <w:proofErr w:type="gramEnd"/>
      <w:r>
        <w:t xml:space="preserve"> separately on a calibration set and </w:t>
      </w:r>
      <w:proofErr w:type="gramStart"/>
      <w:r>
        <w:t>tested</w:t>
      </w:r>
      <w:proofErr w:type="gramEnd"/>
      <w:r>
        <w:t xml:space="preserve"> on held-out badges from independent batches to expose batch-to-batch variability. Prediction intervals, not just point estimates, </w:t>
      </w:r>
      <w:proofErr w:type="gramStart"/>
      <w:r>
        <w:t>are computed</w:t>
      </w:r>
      <w:proofErr w:type="gramEnd"/>
      <w:r>
        <w:t xml:space="preserve">. Residuals plotted against humidity, temperature and concentration reveal any residual environmental dependence, which would need an explicit correction term or a tightened operating envelope. The polynomial's validity range, in x and in </w:t>
      </w:r>
      <w:proofErr w:type="spellStart"/>
      <w:r>
        <w:t>ppm·hr</w:t>
      </w:r>
      <w:proofErr w:type="spellEnd"/>
      <w:r>
        <w:t xml:space="preserve">, </w:t>
      </w:r>
      <w:proofErr w:type="gramStart"/>
      <w:r>
        <w:t>is recorded</w:t>
      </w:r>
      <w:proofErr w:type="gramEnd"/>
      <w:r>
        <w:t>, and the app rejects scans outside it as out of calibration, consistent with the fail-loudly principle.</w:t>
      </w:r>
    </w:p>
    <w:p w14:paraId="31708BAF" w14:textId="77777777" w:rsidR="00A248C8" w:rsidRDefault="00000000">
      <w:pPr>
        <w:pStyle w:val="Heading2"/>
      </w:pPr>
      <w:r>
        <w:t>4.7 Deployment into the Decoupled Architecture</w:t>
      </w:r>
    </w:p>
    <w:p w14:paraId="45AB8839" w14:textId="77777777" w:rsidR="00A248C8" w:rsidRDefault="00000000">
      <w:pPr>
        <w:spacing w:after="140" w:line="300" w:lineRule="auto"/>
        <w:jc w:val="both"/>
      </w:pPr>
      <w:r>
        <w:lastRenderedPageBreak/>
        <w:t xml:space="preserve">The final output is a small versioned coefficient file containing c₀ to c₃, the validity bounds, prediction-interval parameters, the locus-path reference points used for the chemical integrity check, and calibration metadata (batch, date, chamber conditions). Because the pipeline reads these as data, replacing the synthetic placeholder requires no change to rectification, sampling, </w:t>
      </w:r>
      <w:proofErr w:type="gramStart"/>
      <w:r>
        <w:t>normalization</w:t>
      </w:r>
      <w:proofErr w:type="gramEnd"/>
      <w:r>
        <w:t xml:space="preserve"> or the dosimetry code. Recalibration for a new paper lot or reagent batch is likewise a file update, which keeps the system maintainable and its traceability auditable.</w:t>
      </w:r>
    </w:p>
    <w:p w14:paraId="6095CFC4" w14:textId="77777777" w:rsidR="00A248C8" w:rsidRDefault="00000000">
      <w:pPr>
        <w:pStyle w:val="Heading1"/>
        <w:pageBreakBefore/>
      </w:pPr>
      <w:r>
        <w:lastRenderedPageBreak/>
        <w:t>Chapter 5: The Circular Economy Loop</w:t>
      </w:r>
    </w:p>
    <w:p w14:paraId="6E5082F8" w14:textId="77777777" w:rsidR="00A248C8" w:rsidRDefault="00000000">
      <w:pPr>
        <w:pStyle w:val="Heading2"/>
      </w:pPr>
      <w:r>
        <w:t>5.1 Rationale</w:t>
      </w:r>
    </w:p>
    <w:p w14:paraId="21BD4C19" w14:textId="77777777" w:rsidR="00A248C8" w:rsidRDefault="00000000">
      <w:pPr>
        <w:spacing w:after="140" w:line="300" w:lineRule="auto"/>
        <w:jc w:val="both"/>
      </w:pPr>
      <w:r>
        <w:t xml:space="preserve">Most chemical sensors end their life as hazardous waste. The copper </w:t>
      </w:r>
      <w:proofErr w:type="spellStart"/>
      <w:r>
        <w:t>sulfate</w:t>
      </w:r>
      <w:proofErr w:type="spellEnd"/>
      <w:r>
        <w:t xml:space="preserve"> dosimeter is unusual because its sensing reaction is chemically reversible by oxidation, even though it is irreversible during a shift. Within the wristband, </w:t>
      </w:r>
      <w:proofErr w:type="spellStart"/>
      <w:r>
        <w:t>CuS</w:t>
      </w:r>
      <w:proofErr w:type="spellEnd"/>
      <w:r>
        <w:t xml:space="preserve"> is stable and therefore a faithful memory of dose. Outside it, in a controlled industrial setting, the same compound can </w:t>
      </w:r>
      <w:proofErr w:type="gramStart"/>
      <w:r>
        <w:t>be driven</w:t>
      </w:r>
      <w:proofErr w:type="gramEnd"/>
      <w:r>
        <w:t xml:space="preserve"> back to its precursor. The loop thus separates two timescales: permanence while the badge </w:t>
      </w:r>
      <w:proofErr w:type="gramStart"/>
      <w:r>
        <w:t>is worn</w:t>
      </w:r>
      <w:proofErr w:type="gramEnd"/>
      <w:r>
        <w:t>, and regeneration afterwards. This chapter describes that regeneration and the conditions under which it approaches zero waste.</w:t>
      </w:r>
    </w:p>
    <w:p w14:paraId="761D130D" w14:textId="77777777" w:rsidR="00A248C8" w:rsidRDefault="00000000">
      <w:pPr>
        <w:pStyle w:val="Heading2"/>
      </w:pPr>
      <w:r>
        <w:t>5.2 Collection and Bath Chemistry</w:t>
      </w:r>
    </w:p>
    <w:p w14:paraId="5470CDDC" w14:textId="77777777" w:rsidR="00A248C8" w:rsidRDefault="00000000">
      <w:pPr>
        <w:spacing w:after="140" w:line="300" w:lineRule="auto"/>
        <w:jc w:val="both"/>
      </w:pPr>
      <w:r>
        <w:t xml:space="preserve">At the end of a shift, and after the final scan has </w:t>
      </w:r>
      <w:proofErr w:type="gramStart"/>
      <w:r>
        <w:t>been logged</w:t>
      </w:r>
      <w:proofErr w:type="gramEnd"/>
      <w:r>
        <w:t xml:space="preserve">, the spent paper strips </w:t>
      </w:r>
      <w:proofErr w:type="gramStart"/>
      <w:r>
        <w:t>are removed</w:t>
      </w:r>
      <w:proofErr w:type="gramEnd"/>
      <w:r>
        <w:t xml:space="preserve"> from the badges and collected at a central station. Membranes are </w:t>
      </w:r>
      <w:proofErr w:type="gramStart"/>
      <w:r>
        <w:t>handled</w:t>
      </w:r>
      <w:proofErr w:type="gramEnd"/>
      <w:r>
        <w:t xml:space="preserve"> separately (Section 5.6). The strips </w:t>
      </w:r>
      <w:proofErr w:type="gramStart"/>
      <w:r>
        <w:t>are loaded</w:t>
      </w:r>
      <w:proofErr w:type="gramEnd"/>
      <w:r>
        <w:t xml:space="preserve"> into a corrosion-resistant bath of polyethylene, </w:t>
      </w:r>
      <w:proofErr w:type="gramStart"/>
      <w:r>
        <w:t>polypropylene</w:t>
      </w:r>
      <w:proofErr w:type="gramEnd"/>
      <w:r>
        <w:t xml:space="preserve"> or PTFE-lined construction, never metal, containing 30% w/w hydrogen peroxide. At that </w:t>
      </w:r>
      <w:proofErr w:type="gramStart"/>
      <w:r>
        <w:t>strength</w:t>
      </w:r>
      <w:proofErr w:type="gramEnd"/>
      <w:r>
        <w:t xml:space="preserve"> the solution is about 9–10 mol/L in H₂O₂, which gives </w:t>
      </w:r>
      <w:proofErr w:type="gramStart"/>
      <w:r>
        <w:t>a very large</w:t>
      </w:r>
      <w:proofErr w:type="gramEnd"/>
      <w:r>
        <w:t xml:space="preserve"> stoichiometric excess over the micromoles of </w:t>
      </w:r>
      <w:proofErr w:type="spellStart"/>
      <w:r>
        <w:t>sulfide</w:t>
      </w:r>
      <w:proofErr w:type="spellEnd"/>
      <w:r>
        <w:t xml:space="preserve"> held in each pad. Excess matters for two reasons: it drives the oxidation fully to </w:t>
      </w:r>
      <w:proofErr w:type="spellStart"/>
      <w:r>
        <w:t>sulfate</w:t>
      </w:r>
      <w:proofErr w:type="spellEnd"/>
      <w:r>
        <w:t>, and it outcompetes the peroxide decomposition discussed below.</w:t>
      </w:r>
    </w:p>
    <w:p w14:paraId="06965FBF" w14:textId="77777777" w:rsidR="00A248C8" w:rsidRDefault="00000000">
      <w:pPr>
        <w:pStyle w:val="Heading2"/>
      </w:pPr>
      <w:r>
        <w:t>5.3 Redox Chemistry and Thermodynamics</w:t>
      </w:r>
    </w:p>
    <w:p w14:paraId="51E3C84D" w14:textId="77777777" w:rsidR="00A248C8" w:rsidRDefault="00000000">
      <w:pPr>
        <w:spacing w:after="140" w:line="300" w:lineRule="auto"/>
        <w:jc w:val="both"/>
      </w:pPr>
      <w:r>
        <w:t>Hydrogen peroxide is a powerful two-electron oxidant. In acidic medium its reduction half-reaction has E° ≈ +1.78 V:</w:t>
      </w:r>
    </w:p>
    <w:p w14:paraId="2A88085E" w14:textId="77777777" w:rsidR="00A248C8" w:rsidRDefault="00000000">
      <w:pPr>
        <w:spacing w:before="60" w:after="120"/>
        <w:jc w:val="center"/>
      </w:pPr>
      <w:r>
        <w:rPr>
          <w:rFonts w:ascii="Cambria Math" w:eastAsia="Cambria Math" w:hAnsi="Cambria Math" w:cs="Cambria Math"/>
        </w:rPr>
        <w:t>H₂O₂ + 2H⁺ + 2e⁻ → 2H₂O</w:t>
      </w:r>
    </w:p>
    <w:p w14:paraId="3FB5C22F" w14:textId="77777777" w:rsidR="00A248C8" w:rsidRDefault="00000000">
      <w:pPr>
        <w:spacing w:after="140" w:line="300" w:lineRule="auto"/>
        <w:jc w:val="both"/>
      </w:pPr>
      <w:r>
        <w:t xml:space="preserve">The </w:t>
      </w:r>
      <w:proofErr w:type="spellStart"/>
      <w:r>
        <w:t>sulfide</w:t>
      </w:r>
      <w:proofErr w:type="spellEnd"/>
      <w:r>
        <w:t xml:space="preserve"> in </w:t>
      </w:r>
      <w:proofErr w:type="spellStart"/>
      <w:r>
        <w:t>CuS</w:t>
      </w:r>
      <w:proofErr w:type="spellEnd"/>
      <w:r>
        <w:t xml:space="preserve"> is oxidised through the full eight-electron change from S(−II) to S(+VI):</w:t>
      </w:r>
    </w:p>
    <w:p w14:paraId="3AE75C37" w14:textId="77777777" w:rsidR="00A248C8" w:rsidRDefault="00000000">
      <w:pPr>
        <w:spacing w:before="60" w:after="120"/>
        <w:jc w:val="center"/>
      </w:pPr>
      <w:r>
        <w:rPr>
          <w:rFonts w:ascii="Cambria Math" w:eastAsia="Cambria Math" w:hAnsi="Cambria Math" w:cs="Cambria Math"/>
        </w:rPr>
        <w:t>S²⁻ + 4H₂O → SO₄²⁻ + 8H⁺ + 8e⁻</w:t>
      </w:r>
    </w:p>
    <w:p w14:paraId="58C98D56" w14:textId="77777777" w:rsidR="00A248C8" w:rsidRDefault="00000000">
      <w:pPr>
        <w:spacing w:after="140" w:line="300" w:lineRule="auto"/>
        <w:jc w:val="both"/>
      </w:pPr>
      <w:r>
        <w:t>Four peroxide reductions balance the eight electrons transferred:</w:t>
      </w:r>
    </w:p>
    <w:p w14:paraId="473FF089" w14:textId="77777777" w:rsidR="00A248C8" w:rsidRDefault="00000000">
      <w:pPr>
        <w:spacing w:before="60" w:after="120"/>
        <w:jc w:val="center"/>
      </w:pPr>
      <w:r>
        <w:rPr>
          <w:rFonts w:ascii="Cambria Math" w:eastAsia="Cambria Math" w:hAnsi="Cambria Math" w:cs="Cambria Math"/>
        </w:rPr>
        <w:t>4H₂O₂ + 8H⁺ + 8e⁻ → 8H₂O</w:t>
      </w:r>
    </w:p>
    <w:p w14:paraId="7AFB9EDE" w14:textId="77777777" w:rsidR="00A248C8" w:rsidRDefault="00000000">
      <w:pPr>
        <w:spacing w:after="140" w:line="300" w:lineRule="auto"/>
        <w:jc w:val="both"/>
      </w:pPr>
      <w:r>
        <w:t xml:space="preserve">Summing the half-reactions and cancelling protons, electrons and water </w:t>
      </w:r>
      <w:proofErr w:type="gramStart"/>
      <w:r>
        <w:t>gives</w:t>
      </w:r>
      <w:proofErr w:type="gramEnd"/>
      <w:r>
        <w:t xml:space="preserve"> the net ionic equation:</w:t>
      </w:r>
    </w:p>
    <w:p w14:paraId="220AA875" w14:textId="77777777" w:rsidR="00A248C8" w:rsidRDefault="00000000">
      <w:pPr>
        <w:spacing w:before="60" w:after="120"/>
        <w:jc w:val="center"/>
      </w:pPr>
      <w:r>
        <w:rPr>
          <w:rFonts w:ascii="Cambria Math" w:eastAsia="Cambria Math" w:hAnsi="Cambria Math" w:cs="Cambria Math"/>
        </w:rPr>
        <w:t>S²⁻ + 4H₂O₂ → SO₄²⁻ + 4H₂O</w:t>
      </w:r>
    </w:p>
    <w:p w14:paraId="0DED4315" w14:textId="77777777" w:rsidR="00A248C8" w:rsidRDefault="00000000">
      <w:pPr>
        <w:spacing w:after="140" w:line="300" w:lineRule="auto"/>
        <w:jc w:val="both"/>
      </w:pPr>
      <w:r>
        <w:t xml:space="preserve">For the solid </w:t>
      </w:r>
      <w:proofErr w:type="spellStart"/>
      <w:r>
        <w:t>sulfide</w:t>
      </w:r>
      <w:proofErr w:type="spellEnd"/>
      <w:r>
        <w:t>, the overall reversal is:</w:t>
      </w:r>
    </w:p>
    <w:p w14:paraId="62334768" w14:textId="77777777" w:rsidR="00A248C8" w:rsidRDefault="00000000">
      <w:pPr>
        <w:spacing w:before="60" w:after="120"/>
        <w:jc w:val="center"/>
      </w:pPr>
      <w:proofErr w:type="spellStart"/>
      <w:r>
        <w:rPr>
          <w:rFonts w:ascii="Cambria Math" w:eastAsia="Cambria Math" w:hAnsi="Cambria Math" w:cs="Cambria Math"/>
          <w:b/>
          <w:bCs/>
        </w:rPr>
        <w:t>CuS</w:t>
      </w:r>
      <w:proofErr w:type="spellEnd"/>
      <w:r>
        <w:rPr>
          <w:rFonts w:ascii="Cambria Math" w:eastAsia="Cambria Math" w:hAnsi="Cambria Math" w:cs="Cambria Math"/>
          <w:b/>
          <w:bCs/>
        </w:rPr>
        <w:t>(s) + 4H₂O₂(</w:t>
      </w:r>
      <w:proofErr w:type="spellStart"/>
      <w:r>
        <w:rPr>
          <w:rFonts w:ascii="Cambria Math" w:eastAsia="Cambria Math" w:hAnsi="Cambria Math" w:cs="Cambria Math"/>
          <w:b/>
          <w:bCs/>
        </w:rPr>
        <w:t>aq</w:t>
      </w:r>
      <w:proofErr w:type="spellEnd"/>
      <w:r>
        <w:rPr>
          <w:rFonts w:ascii="Cambria Math" w:eastAsia="Cambria Math" w:hAnsi="Cambria Math" w:cs="Cambria Math"/>
          <w:b/>
          <w:bCs/>
        </w:rPr>
        <w:t xml:space="preserve">) → </w:t>
      </w:r>
      <w:proofErr w:type="spellStart"/>
      <w:r>
        <w:rPr>
          <w:rFonts w:ascii="Cambria Math" w:eastAsia="Cambria Math" w:hAnsi="Cambria Math" w:cs="Cambria Math"/>
          <w:b/>
          <w:bCs/>
        </w:rPr>
        <w:t>CuSO</w:t>
      </w:r>
      <w:proofErr w:type="spellEnd"/>
      <w:r>
        <w:rPr>
          <w:rFonts w:ascii="Cambria Math" w:eastAsia="Cambria Math" w:hAnsi="Cambria Math" w:cs="Cambria Math"/>
          <w:b/>
          <w:bCs/>
        </w:rPr>
        <w:t>₄(</w:t>
      </w:r>
      <w:proofErr w:type="spellStart"/>
      <w:r>
        <w:rPr>
          <w:rFonts w:ascii="Cambria Math" w:eastAsia="Cambria Math" w:hAnsi="Cambria Math" w:cs="Cambria Math"/>
          <w:b/>
          <w:bCs/>
        </w:rPr>
        <w:t>aq</w:t>
      </w:r>
      <w:proofErr w:type="spellEnd"/>
      <w:r>
        <w:rPr>
          <w:rFonts w:ascii="Cambria Math" w:eastAsia="Cambria Math" w:hAnsi="Cambria Math" w:cs="Cambria Math"/>
          <w:b/>
          <w:bCs/>
        </w:rPr>
        <w:t>) + 4H₂O(l)</w:t>
      </w:r>
    </w:p>
    <w:p w14:paraId="64474542" w14:textId="77777777" w:rsidR="00A248C8" w:rsidRDefault="00000000">
      <w:pPr>
        <w:spacing w:after="140" w:line="300" w:lineRule="auto"/>
        <w:jc w:val="both"/>
      </w:pPr>
      <w:r>
        <w:lastRenderedPageBreak/>
        <w:t xml:space="preserve">Using standard formation data, with </w:t>
      </w:r>
      <w:proofErr w:type="spellStart"/>
      <w:r>
        <w:t>ΔfG</w:t>
      </w:r>
      <w:proofErr w:type="spellEnd"/>
      <w:r>
        <w:t xml:space="preserve">° values of roughly −53.6 kJ/mol for </w:t>
      </w:r>
      <w:proofErr w:type="spellStart"/>
      <w:r>
        <w:t>CuS</w:t>
      </w:r>
      <w:proofErr w:type="spellEnd"/>
      <w:r>
        <w:t>, −134.1 for H₂O₂(</w:t>
      </w:r>
      <w:proofErr w:type="spellStart"/>
      <w:r>
        <w:t>aq</w:t>
      </w:r>
      <w:proofErr w:type="spellEnd"/>
      <w:r>
        <w:t>), +65.5 for Cu²⁺(</w:t>
      </w:r>
      <w:proofErr w:type="spellStart"/>
      <w:r>
        <w:t>aq</w:t>
      </w:r>
      <w:proofErr w:type="spellEnd"/>
      <w:r>
        <w:t>), −744.5 for SO₄²⁻(</w:t>
      </w:r>
      <w:proofErr w:type="spellStart"/>
      <w:r>
        <w:t>aq</w:t>
      </w:r>
      <w:proofErr w:type="spellEnd"/>
      <w:r>
        <w:t>) and −237.1 for H₂O(l), the reaction free energy is:</w:t>
      </w:r>
    </w:p>
    <w:p w14:paraId="1D38E512" w14:textId="77777777" w:rsidR="00A248C8" w:rsidRDefault="00000000">
      <w:pPr>
        <w:spacing w:before="60" w:after="120"/>
        <w:jc w:val="center"/>
      </w:pPr>
      <w:r>
        <w:rPr>
          <w:rFonts w:ascii="Cambria Math" w:eastAsia="Cambria Math" w:hAnsi="Cambria Math" w:cs="Cambria Math"/>
        </w:rPr>
        <w:t xml:space="preserve">ΔG° = </w:t>
      </w:r>
      <w:proofErr w:type="spellStart"/>
      <w:r>
        <w:rPr>
          <w:rFonts w:ascii="Cambria Math" w:eastAsia="Cambria Math" w:hAnsi="Cambria Math" w:cs="Cambria Math"/>
        </w:rPr>
        <w:t>ΣΔfG</w:t>
      </w:r>
      <w:proofErr w:type="spellEnd"/>
      <w:r>
        <w:rPr>
          <w:rFonts w:ascii="Cambria Math" w:eastAsia="Cambria Math" w:hAnsi="Cambria Math" w:cs="Cambria Math"/>
        </w:rPr>
        <w:t xml:space="preserve">°(products) − </w:t>
      </w:r>
      <w:proofErr w:type="spellStart"/>
      <w:r>
        <w:rPr>
          <w:rFonts w:ascii="Cambria Math" w:eastAsia="Cambria Math" w:hAnsi="Cambria Math" w:cs="Cambria Math"/>
        </w:rPr>
        <w:t>ΣΔfG</w:t>
      </w:r>
      <w:proofErr w:type="spellEnd"/>
      <w:r>
        <w:rPr>
          <w:rFonts w:ascii="Cambria Math" w:eastAsia="Cambria Math" w:hAnsi="Cambria Math" w:cs="Cambria Math"/>
        </w:rPr>
        <w:t>°(reactants) ≈ −1627 − (−590) ≈ −1.04 × 10³ kJ/mol</w:t>
      </w:r>
    </w:p>
    <w:p w14:paraId="2AB8B331" w14:textId="77777777" w:rsidR="00A248C8" w:rsidRDefault="00000000">
      <w:pPr>
        <w:spacing w:after="140" w:line="300" w:lineRule="auto"/>
        <w:jc w:val="both"/>
      </w:pPr>
      <w:r>
        <w:t xml:space="preserve">Tabulated values vary between sources, and the figure is an estimate, but the conclusion is unambiguous. The reaction is enormously favourable, with K = exp(−ΔG°/RT) far beyond any measurable scale. The enthalpy is similarly large (ΔH° ≈ −1.17 × 10³ kJ/mol), so oxidation is strongly exothermic. This is why the process is thermodynamically spontaneous and why the earlier precipitation, with its comparatively modest driving force, does not contradict it. Precipitation </w:t>
      </w:r>
      <w:proofErr w:type="gramStart"/>
      <w:r>
        <w:t>is favoured</w:t>
      </w:r>
      <w:proofErr w:type="gramEnd"/>
      <w:r>
        <w:t xml:space="preserve"> under reducing, </w:t>
      </w:r>
      <w:proofErr w:type="spellStart"/>
      <w:r>
        <w:t>sulfide</w:t>
      </w:r>
      <w:proofErr w:type="spellEnd"/>
      <w:r>
        <w:t xml:space="preserve">-rich conditions; oxidation </w:t>
      </w:r>
      <w:proofErr w:type="gramStart"/>
      <w:r>
        <w:t>is favoured</w:t>
      </w:r>
      <w:proofErr w:type="gramEnd"/>
      <w:r>
        <w:t xml:space="preserve"> when a strong oxidant </w:t>
      </w:r>
      <w:proofErr w:type="gramStart"/>
      <w:r>
        <w:t>is supplied</w:t>
      </w:r>
      <w:proofErr w:type="gramEnd"/>
      <w:r>
        <w:t xml:space="preserve">. Kinetics also favour the forward step, because </w:t>
      </w:r>
      <w:proofErr w:type="spellStart"/>
      <w:r>
        <w:t>CuS</w:t>
      </w:r>
      <w:proofErr w:type="spellEnd"/>
      <w:r>
        <w:t xml:space="preserve"> is a finely divided deposit with high surface area dispersed through the cellulose.</w:t>
      </w:r>
    </w:p>
    <w:p w14:paraId="0ABF1581" w14:textId="77777777" w:rsidR="00A248C8" w:rsidRDefault="00000000">
      <w:pPr>
        <w:spacing w:after="140" w:line="300" w:lineRule="auto"/>
        <w:jc w:val="both"/>
      </w:pPr>
      <w:r>
        <w:t xml:space="preserve">Water is the only reduced product of peroxide, and no halogenated or heavy-metal by-product </w:t>
      </w:r>
      <w:proofErr w:type="gramStart"/>
      <w:r>
        <w:t>is generated</w:t>
      </w:r>
      <w:proofErr w:type="gramEnd"/>
      <w:r>
        <w:t>. The oxidation is therefore clean in the sense the process requires, although in practice it is not the whole story, as the following section explains.</w:t>
      </w:r>
    </w:p>
    <w:p w14:paraId="5FA899E7" w14:textId="77777777" w:rsidR="00A248C8" w:rsidRDefault="00000000">
      <w:pPr>
        <w:pStyle w:val="Heading2"/>
      </w:pPr>
      <w:r>
        <w:t>5.4 Bleaching and Practical Complications</w:t>
      </w:r>
    </w:p>
    <w:p w14:paraId="62251AEB" w14:textId="77777777" w:rsidR="00A248C8" w:rsidRDefault="00000000">
      <w:pPr>
        <w:spacing w:after="140" w:line="300" w:lineRule="auto"/>
        <w:jc w:val="both"/>
      </w:pPr>
      <w:r>
        <w:t xml:space="preserve">As oxidation proceeds, the brown-black solid dissolves and Cu²⁺ returns to the aqueous phase as the </w:t>
      </w:r>
      <w:proofErr w:type="spellStart"/>
      <w:r>
        <w:t>hexaaqua</w:t>
      </w:r>
      <w:proofErr w:type="spellEnd"/>
      <w:r>
        <w:t xml:space="preserve"> complex [Cu(H₂</w:t>
      </w:r>
      <w:proofErr w:type="gramStart"/>
      <w:r>
        <w:t>O)₆</w:t>
      </w:r>
      <w:proofErr w:type="gramEnd"/>
      <w:r>
        <w:t xml:space="preserve">]²⁺, which absorbs weakly in the red and appears pale blue. The pads bleach progressively from black to their original tone. Completion </w:t>
      </w:r>
      <w:proofErr w:type="gramStart"/>
      <w:r>
        <w:t>is verified</w:t>
      </w:r>
      <w:proofErr w:type="gramEnd"/>
      <w:r>
        <w:t xml:space="preserve"> optically: the same lightness metric used in the field app, L*, </w:t>
      </w:r>
      <w:proofErr w:type="gramStart"/>
      <w:r>
        <w:t>is measured</w:t>
      </w:r>
      <w:proofErr w:type="gramEnd"/>
      <w:r>
        <w:t xml:space="preserve"> on the bleached strips and must return to the baseline of fresh substrate within tolerance. This gives the loop its own quality gate.</w:t>
      </w:r>
    </w:p>
    <w:p w14:paraId="448687B5" w14:textId="77777777" w:rsidR="00A248C8" w:rsidRDefault="00000000">
      <w:pPr>
        <w:spacing w:after="140" w:line="300" w:lineRule="auto"/>
        <w:jc w:val="both"/>
      </w:pPr>
      <w:r>
        <w:t xml:space="preserve">Three complications need engineering control, and they are why the claim of "pure water as the only byproduct" holds for the main stoichiometry and not for the </w:t>
      </w:r>
      <w:proofErr w:type="gramStart"/>
      <w:r>
        <w:t>bath as a whole</w:t>
      </w:r>
      <w:proofErr w:type="gramEnd"/>
      <w:r>
        <w:t>.</w:t>
      </w:r>
    </w:p>
    <w:p w14:paraId="7810F887" w14:textId="77777777" w:rsidR="00A248C8" w:rsidRDefault="00000000">
      <w:pPr>
        <w:pStyle w:val="ListParagraph"/>
        <w:numPr>
          <w:ilvl w:val="0"/>
          <w:numId w:val="4"/>
        </w:numPr>
        <w:spacing w:after="80" w:line="300" w:lineRule="auto"/>
      </w:pPr>
      <w:r>
        <w:rPr>
          <w:b/>
          <w:bCs/>
        </w:rPr>
        <w:t>Catalytic peroxide decomposition.</w:t>
      </w:r>
      <w:r>
        <w:t xml:space="preserve"> </w:t>
      </w:r>
      <w:proofErr w:type="gramStart"/>
      <w:r>
        <w:t>Copper(</w:t>
      </w:r>
      <w:proofErr w:type="gramEnd"/>
      <w:r>
        <w:t>II) catalyses disproportionation: 2H₂O₂ → 2H₂O + O₂↑. This consumes oxidant, releases oxygen gas and heat, and can become vigorous in warm, concentrated solution. The bath therefore requires temperature control, venting, and additions in measured steps. The oxygen is benign, but pressure build-up in a sealed vessel is not.</w:t>
      </w:r>
    </w:p>
    <w:p w14:paraId="3E1B41B6" w14:textId="77777777" w:rsidR="00A248C8" w:rsidRDefault="00000000">
      <w:pPr>
        <w:pStyle w:val="ListParagraph"/>
        <w:numPr>
          <w:ilvl w:val="0"/>
          <w:numId w:val="4"/>
        </w:numPr>
        <w:spacing w:after="80" w:line="300" w:lineRule="auto"/>
      </w:pPr>
      <w:r>
        <w:rPr>
          <w:b/>
          <w:bCs/>
        </w:rPr>
        <w:t>Incomplete oxidation.</w:t>
      </w:r>
      <w:r>
        <w:t xml:space="preserve"> Where peroxide is limiting or the bath is cold, </w:t>
      </w:r>
      <w:proofErr w:type="spellStart"/>
      <w:r>
        <w:t>sulfide</w:t>
      </w:r>
      <w:proofErr w:type="spellEnd"/>
      <w:r>
        <w:t xml:space="preserve"> can stop at elemental </w:t>
      </w:r>
      <w:proofErr w:type="spellStart"/>
      <w:r>
        <w:t>sulfur</w:t>
      </w:r>
      <w:proofErr w:type="spellEnd"/>
      <w:r>
        <w:t xml:space="preserve">, </w:t>
      </w:r>
      <w:proofErr w:type="gramStart"/>
      <w:r>
        <w:t>thiosulfate</w:t>
      </w:r>
      <w:proofErr w:type="gramEnd"/>
      <w:r>
        <w:t xml:space="preserve"> or </w:t>
      </w:r>
      <w:proofErr w:type="spellStart"/>
      <w:r>
        <w:t>sulfite</w:t>
      </w:r>
      <w:proofErr w:type="spellEnd"/>
      <w:r>
        <w:t xml:space="preserve">. Maintaining a large excess and an adequate residence time pushes the system to </w:t>
      </w:r>
      <w:proofErr w:type="spellStart"/>
      <w:r>
        <w:t>sulfate</w:t>
      </w:r>
      <w:proofErr w:type="spellEnd"/>
      <w:r>
        <w:t>. A mild residual-peroxide test confirms that excess remains at the end of the cycle.</w:t>
      </w:r>
    </w:p>
    <w:p w14:paraId="36B4C7E6" w14:textId="77777777" w:rsidR="00A248C8" w:rsidRDefault="00000000">
      <w:pPr>
        <w:pStyle w:val="ListParagraph"/>
        <w:numPr>
          <w:ilvl w:val="0"/>
          <w:numId w:val="4"/>
        </w:numPr>
        <w:spacing w:after="80" w:line="300" w:lineRule="auto"/>
      </w:pPr>
      <w:r>
        <w:rPr>
          <w:b/>
          <w:bCs/>
        </w:rPr>
        <w:t>Cellulose attack.</w:t>
      </w:r>
      <w:r>
        <w:t xml:space="preserve"> Peroxide, particularly in the presence of Cu²⁺, generates hydroxyl radicals through Fenton-type chemistry and can depolymerise cellulose and oxidise </w:t>
      </w:r>
      <w:r>
        <w:lastRenderedPageBreak/>
        <w:t xml:space="preserve">glycerol. Contact time must therefore </w:t>
      </w:r>
      <w:proofErr w:type="gramStart"/>
      <w:r>
        <w:t>be kept</w:t>
      </w:r>
      <w:proofErr w:type="gramEnd"/>
      <w:r>
        <w:t xml:space="preserve"> to the minimum needed for bleaching. This also sets a practical limit on how </w:t>
      </w:r>
      <w:proofErr w:type="gramStart"/>
      <w:r>
        <w:t>many</w:t>
      </w:r>
      <w:proofErr w:type="gramEnd"/>
      <w:r>
        <w:t xml:space="preserve"> </w:t>
      </w:r>
      <w:proofErr w:type="gramStart"/>
      <w:r>
        <w:t>regeneration</w:t>
      </w:r>
      <w:proofErr w:type="gramEnd"/>
      <w:r>
        <w:t xml:space="preserve"> cycles a given paper strip can survive, after which the cellulose itself is the item to </w:t>
      </w:r>
      <w:proofErr w:type="gramStart"/>
      <w:r>
        <w:t>be replaced</w:t>
      </w:r>
      <w:proofErr w:type="gramEnd"/>
      <w:r>
        <w:t>.</w:t>
      </w:r>
    </w:p>
    <w:p w14:paraId="506581CB" w14:textId="77777777" w:rsidR="00A248C8" w:rsidRDefault="00000000">
      <w:pPr>
        <w:pStyle w:val="Heading2"/>
      </w:pPr>
      <w:r>
        <w:t>5.5 Reformulation of the Impregnation Solution</w:t>
      </w:r>
    </w:p>
    <w:p w14:paraId="61312E46" w14:textId="77777777" w:rsidR="00A248C8" w:rsidRDefault="00000000">
      <w:pPr>
        <w:spacing w:after="140" w:line="300" w:lineRule="auto"/>
        <w:jc w:val="both"/>
      </w:pPr>
      <w:r>
        <w:t xml:space="preserve">Once bleaching is complete, the paper strips are </w:t>
      </w:r>
      <w:proofErr w:type="gramStart"/>
      <w:r>
        <w:t>removed</w:t>
      </w:r>
      <w:proofErr w:type="gramEnd"/>
      <w:r>
        <w:t xml:space="preserve"> and the solution </w:t>
      </w:r>
      <w:proofErr w:type="gramStart"/>
      <w:r>
        <w:t>is treated</w:t>
      </w:r>
      <w:proofErr w:type="gramEnd"/>
      <w:r>
        <w:t xml:space="preserve"> as a recovered copper </w:t>
      </w:r>
      <w:proofErr w:type="spellStart"/>
      <w:r>
        <w:t>sulfate</w:t>
      </w:r>
      <w:proofErr w:type="spellEnd"/>
      <w:r>
        <w:t xml:space="preserve"> stock. Residual peroxide must </w:t>
      </w:r>
      <w:proofErr w:type="gramStart"/>
      <w:r>
        <w:t>be eliminated</w:t>
      </w:r>
      <w:proofErr w:type="gramEnd"/>
      <w:r>
        <w:t xml:space="preserve"> before </w:t>
      </w:r>
      <w:proofErr w:type="gramStart"/>
      <w:r>
        <w:t>reformulation, because</w:t>
      </w:r>
      <w:proofErr w:type="gramEnd"/>
      <w:r>
        <w:t xml:space="preserve"> it would oxidise the glycerol humectant. It </w:t>
      </w:r>
      <w:proofErr w:type="gramStart"/>
      <w:r>
        <w:t>is removed</w:t>
      </w:r>
      <w:proofErr w:type="gramEnd"/>
      <w:r>
        <w:t xml:space="preserve"> by holding the solution until decomposition completes, accelerated by mild warming, or by catalytic decomposition over a bed designed for the purpose. A peroxide test strip verifies the endpoint.</w:t>
      </w:r>
    </w:p>
    <w:p w14:paraId="36C911FD" w14:textId="77777777" w:rsidR="00A248C8" w:rsidRDefault="00000000">
      <w:pPr>
        <w:spacing w:after="140" w:line="300" w:lineRule="auto"/>
        <w:jc w:val="both"/>
      </w:pPr>
      <w:r>
        <w:t xml:space="preserve">The stock </w:t>
      </w:r>
      <w:proofErr w:type="gramStart"/>
      <w:r>
        <w:t>is then analysed</w:t>
      </w:r>
      <w:proofErr w:type="gramEnd"/>
      <w:r>
        <w:t>, and its concentration is determined by UV-</w:t>
      </w:r>
      <w:proofErr w:type="gramStart"/>
      <w:r>
        <w:t>Vis</w:t>
      </w:r>
      <w:proofErr w:type="gramEnd"/>
      <w:r>
        <w:t xml:space="preserve"> absorbance or iodometric titration of Cu²⁺. This </w:t>
      </w:r>
      <w:proofErr w:type="gramStart"/>
      <w:r>
        <w:t>is adjusted</w:t>
      </w:r>
      <w:proofErr w:type="gramEnd"/>
      <w:r>
        <w:t xml:space="preserve"> by adding make-up </w:t>
      </w:r>
      <w:proofErr w:type="spellStart"/>
      <w:r>
        <w:t>CuSO</w:t>
      </w:r>
      <w:proofErr w:type="spellEnd"/>
      <w:r>
        <w:t>₄·5H₂O or dilution, to restore the target concentration specified in Chapter 2. The functional additives are then re-spiked:</w:t>
      </w:r>
    </w:p>
    <w:p w14:paraId="5AC3F997" w14:textId="77777777" w:rsidR="00A248C8" w:rsidRDefault="00000000">
      <w:pPr>
        <w:pStyle w:val="ListParagraph"/>
        <w:numPr>
          <w:ilvl w:val="0"/>
          <w:numId w:val="3"/>
        </w:numPr>
        <w:spacing w:after="80" w:line="300" w:lineRule="auto"/>
      </w:pPr>
      <w:r>
        <w:rPr>
          <w:b/>
          <w:bCs/>
        </w:rPr>
        <w:t>Glycerol</w:t>
      </w:r>
      <w:r>
        <w:t xml:space="preserve"> </w:t>
      </w:r>
      <w:proofErr w:type="gramStart"/>
      <w:r>
        <w:t>is added</w:t>
      </w:r>
      <w:proofErr w:type="gramEnd"/>
      <w:r>
        <w:t xml:space="preserve"> to 5% to restore the humectant "moist trap" that stabilises diffusion kinetics.</w:t>
      </w:r>
    </w:p>
    <w:p w14:paraId="2B4AF82A" w14:textId="77777777" w:rsidR="00A248C8" w:rsidRDefault="00000000">
      <w:pPr>
        <w:pStyle w:val="ListParagraph"/>
        <w:numPr>
          <w:ilvl w:val="0"/>
          <w:numId w:val="3"/>
        </w:numPr>
        <w:spacing w:after="80" w:line="300" w:lineRule="auto"/>
      </w:pPr>
      <w:r>
        <w:rPr>
          <w:b/>
          <w:bCs/>
        </w:rPr>
        <w:t>Dilute acid or buffer</w:t>
      </w:r>
      <w:r>
        <w:t xml:space="preserve"> </w:t>
      </w:r>
      <w:proofErr w:type="gramStart"/>
      <w:r>
        <w:t>is added</w:t>
      </w:r>
      <w:proofErr w:type="gramEnd"/>
      <w:r>
        <w:t xml:space="preserve"> to restore pH to approximately 4.0. The oxidation itself generates no net acid beyond the </w:t>
      </w:r>
      <w:proofErr w:type="spellStart"/>
      <w:r>
        <w:t>sulfate</w:t>
      </w:r>
      <w:proofErr w:type="spellEnd"/>
      <w:r>
        <w:t xml:space="preserve"> already present (the equation above contains no free protons), but pH </w:t>
      </w:r>
      <w:proofErr w:type="gramStart"/>
      <w:r>
        <w:t>is measured</w:t>
      </w:r>
      <w:proofErr w:type="gramEnd"/>
      <w:r>
        <w:t xml:space="preserve"> and corrected, because dissolved CO₂, residual peroxide decomposition products and carried-over acid can shift it.</w:t>
      </w:r>
    </w:p>
    <w:p w14:paraId="761F22B8" w14:textId="77777777" w:rsidR="00A248C8" w:rsidRDefault="00000000">
      <w:pPr>
        <w:spacing w:after="140" w:line="300" w:lineRule="auto"/>
        <w:jc w:val="both"/>
      </w:pPr>
      <w:r>
        <w:t xml:space="preserve">Fresh Whatman Grade 1 strips </w:t>
      </w:r>
      <w:proofErr w:type="gramStart"/>
      <w:r>
        <w:t>are immersed</w:t>
      </w:r>
      <w:proofErr w:type="gramEnd"/>
      <w:r>
        <w:t xml:space="preserve"> in the restored solution, blotted, conditioned under controlled </w:t>
      </w:r>
      <w:proofErr w:type="gramStart"/>
      <w:r>
        <w:t>humidity</w:t>
      </w:r>
      <w:proofErr w:type="gramEnd"/>
      <w:r>
        <w:t xml:space="preserve"> and cut to size for new badge inserts. Each batch carries a </w:t>
      </w:r>
      <w:proofErr w:type="gramStart"/>
      <w:r>
        <w:t>lot</w:t>
      </w:r>
      <w:proofErr w:type="gramEnd"/>
      <w:r>
        <w:t xml:space="preserve"> record, and, as Chapter 4 specifies, a new lot or reformulated batch </w:t>
      </w:r>
      <w:proofErr w:type="gramStart"/>
      <w:r>
        <w:t>is verified</w:t>
      </w:r>
      <w:proofErr w:type="gramEnd"/>
      <w:r>
        <w:t xml:space="preserve"> against the calibration coefficient file before release.</w:t>
      </w:r>
    </w:p>
    <w:p w14:paraId="2383E747" w14:textId="77777777" w:rsidR="00A248C8" w:rsidRDefault="00000000">
      <w:pPr>
        <w:pStyle w:val="Heading2"/>
      </w:pPr>
      <w:r>
        <w:t>5.6 Mass Balance and the Limits of "Zero Waste"</w:t>
      </w:r>
    </w:p>
    <w:p w14:paraId="164C6124" w14:textId="77777777" w:rsidR="00A248C8" w:rsidRDefault="00000000">
      <w:pPr>
        <w:spacing w:after="140" w:line="300" w:lineRule="auto"/>
        <w:jc w:val="both"/>
      </w:pPr>
      <w:r>
        <w:t xml:space="preserve">The loop closes the principal material streams: copper, </w:t>
      </w:r>
      <w:proofErr w:type="spellStart"/>
      <w:r>
        <w:t>sulfate</w:t>
      </w:r>
      <w:proofErr w:type="spellEnd"/>
      <w:r>
        <w:t xml:space="preserve"> and water </w:t>
      </w:r>
      <w:proofErr w:type="gramStart"/>
      <w:r>
        <w:t>are recovered</w:t>
      </w:r>
      <w:proofErr w:type="gramEnd"/>
      <w:r>
        <w:t xml:space="preserve"> and reused, and no lead or other regulated heavy metal enters the system at any stage. The </w:t>
      </w:r>
      <w:proofErr w:type="spellStart"/>
      <w:r>
        <w:t>sulfur</w:t>
      </w:r>
      <w:proofErr w:type="spellEnd"/>
      <w:r>
        <w:t xml:space="preserve"> captured from the atmosphere ends as </w:t>
      </w:r>
      <w:proofErr w:type="spellStart"/>
      <w:r>
        <w:t>sulfate</w:t>
      </w:r>
      <w:proofErr w:type="spellEnd"/>
      <w:r>
        <w:t xml:space="preserve">, which is chemically identical to the counter-ion already present. A modest net accumulation of </w:t>
      </w:r>
      <w:proofErr w:type="spellStart"/>
      <w:r>
        <w:t>sulfate</w:t>
      </w:r>
      <w:proofErr w:type="spellEnd"/>
      <w:r>
        <w:t xml:space="preserve"> is therefore possible over </w:t>
      </w:r>
      <w:proofErr w:type="gramStart"/>
      <w:r>
        <w:t>many</w:t>
      </w:r>
      <w:proofErr w:type="gramEnd"/>
      <w:r>
        <w:t xml:space="preserve"> cycles, and it </w:t>
      </w:r>
      <w:proofErr w:type="gramStart"/>
      <w:r>
        <w:t>is managed</w:t>
      </w:r>
      <w:proofErr w:type="gramEnd"/>
      <w:r>
        <w:t xml:space="preserve"> through the small bleed or concentration adjustment of the stock.</w:t>
      </w:r>
    </w:p>
    <w:p w14:paraId="0B376D76" w14:textId="77777777" w:rsidR="00A248C8" w:rsidRDefault="00000000">
      <w:pPr>
        <w:spacing w:after="140" w:line="300" w:lineRule="auto"/>
        <w:jc w:val="both"/>
      </w:pPr>
      <w:r>
        <w:t xml:space="preserve">For rigour, the claim should </w:t>
      </w:r>
      <w:proofErr w:type="gramStart"/>
      <w:r>
        <w:t>be stated</w:t>
      </w:r>
      <w:proofErr w:type="gramEnd"/>
      <w:r>
        <w:t xml:space="preserve"> precisely. The chemistry itself yields only water, dissolved copper </w:t>
      </w:r>
      <w:proofErr w:type="spellStart"/>
      <w:r>
        <w:t>sulfate</w:t>
      </w:r>
      <w:proofErr w:type="spellEnd"/>
      <w:r>
        <w:t xml:space="preserve"> and, through parasitic decomposition, oxygen. A fully closed system still requires attention to the following residual streams.</w:t>
      </w:r>
    </w:p>
    <w:p w14:paraId="686EF100" w14:textId="77777777" w:rsidR="00A248C8" w:rsidRDefault="00000000">
      <w:pPr>
        <w:pStyle w:val="ListParagraph"/>
        <w:numPr>
          <w:ilvl w:val="0"/>
          <w:numId w:val="3"/>
        </w:numPr>
        <w:spacing w:after="80" w:line="300" w:lineRule="auto"/>
      </w:pPr>
      <w:r>
        <w:rPr>
          <w:b/>
          <w:bCs/>
        </w:rPr>
        <w:lastRenderedPageBreak/>
        <w:t xml:space="preserve">Spent </w:t>
      </w:r>
      <w:proofErr w:type="spellStart"/>
      <w:r>
        <w:rPr>
          <w:b/>
          <w:bCs/>
        </w:rPr>
        <w:t>ePTFE</w:t>
      </w:r>
      <w:proofErr w:type="spellEnd"/>
      <w:r>
        <w:rPr>
          <w:b/>
          <w:bCs/>
        </w:rPr>
        <w:t xml:space="preserve"> membranes and worn paper:</w:t>
      </w:r>
      <w:r>
        <w:t xml:space="preserve"> low in mass, non-hazardous after rinsing, and suitable for ordinary disposal or fluoropolymer recycling. The membranes are a consumable by design.</w:t>
      </w:r>
    </w:p>
    <w:p w14:paraId="0320827E" w14:textId="77777777" w:rsidR="00A248C8" w:rsidRDefault="00000000">
      <w:pPr>
        <w:pStyle w:val="ListParagraph"/>
        <w:numPr>
          <w:ilvl w:val="0"/>
          <w:numId w:val="3"/>
        </w:numPr>
        <w:spacing w:after="80" w:line="300" w:lineRule="auto"/>
      </w:pPr>
      <w:r>
        <w:rPr>
          <w:b/>
          <w:bCs/>
        </w:rPr>
        <w:t>Rinse water and bath drag-out:</w:t>
      </w:r>
      <w:r>
        <w:t xml:space="preserve"> captured and returned to the stock, not discharged, since copper is aquatic-toxic.</w:t>
      </w:r>
    </w:p>
    <w:p w14:paraId="113AC80F" w14:textId="77777777" w:rsidR="00A248C8" w:rsidRDefault="00000000">
      <w:pPr>
        <w:pStyle w:val="ListParagraph"/>
        <w:numPr>
          <w:ilvl w:val="0"/>
          <w:numId w:val="3"/>
        </w:numPr>
        <w:spacing w:after="80" w:line="300" w:lineRule="auto"/>
      </w:pPr>
      <w:r>
        <w:rPr>
          <w:b/>
          <w:bCs/>
        </w:rPr>
        <w:t>Eventual solution purge:</w:t>
      </w:r>
      <w:r>
        <w:t xml:space="preserve"> after prolonged recycling, trace contaminants (dust, hydrocarbons, iron) build up. A periodic purge </w:t>
      </w:r>
      <w:proofErr w:type="gramStart"/>
      <w:r>
        <w:t>is treated</w:t>
      </w:r>
      <w:proofErr w:type="gramEnd"/>
      <w:r>
        <w:t xml:space="preserve"> by copper recovery, for example precipitation or electrowinning, before neutralised effluent </w:t>
      </w:r>
      <w:proofErr w:type="gramStart"/>
      <w:r>
        <w:t>is released</w:t>
      </w:r>
      <w:proofErr w:type="gramEnd"/>
      <w:r>
        <w:t>.</w:t>
      </w:r>
    </w:p>
    <w:p w14:paraId="1719A858" w14:textId="77777777" w:rsidR="00A248C8" w:rsidRDefault="00000000">
      <w:pPr>
        <w:spacing w:after="140" w:line="300" w:lineRule="auto"/>
        <w:jc w:val="both"/>
      </w:pPr>
      <w:r>
        <w:t xml:space="preserve">On this basis, hazardous waste </w:t>
      </w:r>
      <w:proofErr w:type="gramStart"/>
      <w:r>
        <w:t>is reduced</w:t>
      </w:r>
      <w:proofErr w:type="gramEnd"/>
      <w:r>
        <w:t xml:space="preserve"> to near zero and the process is an effectively closed loop at the level of the active reagents. The gain over lead acetate is not merely lower toxicity but a regenerative architecture: the same copper inventory circulates between the shift floor, where it records exposure, and the regeneration bath, where it </w:t>
      </w:r>
      <w:proofErr w:type="gramStart"/>
      <w:r>
        <w:t>is renewed</w:t>
      </w:r>
      <w:proofErr w:type="gramEnd"/>
      <w:r>
        <w:t xml:space="preserve">. Within the decoupled design of earlier chapters, this closes the lifecycle at </w:t>
      </w:r>
      <w:proofErr w:type="gramStart"/>
      <w:r>
        <w:t>very low</w:t>
      </w:r>
      <w:proofErr w:type="gramEnd"/>
      <w:r>
        <w:t xml:space="preserve"> consumable cost per worker per shift.</w:t>
      </w:r>
    </w:p>
    <w:p w14:paraId="4E5BE79F" w14:textId="77777777" w:rsidR="00A248C8" w:rsidRDefault="00000000">
      <w:pPr>
        <w:pStyle w:val="Heading1"/>
        <w:pageBreakBefore/>
      </w:pPr>
      <w:r>
        <w:lastRenderedPageBreak/>
        <w:t>Chapter 6: Target Users, Scalability, and Future Scope</w:t>
      </w:r>
    </w:p>
    <w:p w14:paraId="36D1ACAF" w14:textId="77777777" w:rsidR="00A248C8" w:rsidRDefault="00000000">
      <w:pPr>
        <w:pStyle w:val="Heading2"/>
      </w:pPr>
      <w:r>
        <w:t>6.1 Target User Populations</w:t>
      </w:r>
    </w:p>
    <w:p w14:paraId="24DA7AF6" w14:textId="77777777" w:rsidR="00A248C8" w:rsidRDefault="00000000">
      <w:pPr>
        <w:spacing w:after="140" w:line="300" w:lineRule="auto"/>
        <w:jc w:val="both"/>
      </w:pPr>
      <w:r>
        <w:t xml:space="preserve">Hydrogen </w:t>
      </w:r>
      <w:proofErr w:type="spellStart"/>
      <w:r>
        <w:t>sulfide</w:t>
      </w:r>
      <w:proofErr w:type="spellEnd"/>
      <w:r>
        <w:t xml:space="preserve"> hazards arise wherever organic matter decomposes </w:t>
      </w:r>
      <w:proofErr w:type="gramStart"/>
      <w:r>
        <w:t>anaerobically</w:t>
      </w:r>
      <w:proofErr w:type="gramEnd"/>
      <w:r>
        <w:t xml:space="preserve"> or </w:t>
      </w:r>
      <w:proofErr w:type="spellStart"/>
      <w:r>
        <w:t>sulfur</w:t>
      </w:r>
      <w:proofErr w:type="spellEnd"/>
      <w:r>
        <w:t xml:space="preserve">-bearing hydrocarbons </w:t>
      </w:r>
      <w:proofErr w:type="gramStart"/>
      <w:r>
        <w:t>are processed</w:t>
      </w:r>
      <w:proofErr w:type="gramEnd"/>
      <w:r>
        <w:t>. The principal user groups are:</w:t>
      </w:r>
    </w:p>
    <w:p w14:paraId="6CABEA7C" w14:textId="77777777" w:rsidR="00A248C8" w:rsidRDefault="00000000">
      <w:pPr>
        <w:pStyle w:val="ListParagraph"/>
        <w:numPr>
          <w:ilvl w:val="0"/>
          <w:numId w:val="3"/>
        </w:numPr>
        <w:spacing w:after="80" w:line="300" w:lineRule="auto"/>
      </w:pPr>
      <w:r>
        <w:rPr>
          <w:b/>
          <w:bCs/>
        </w:rPr>
        <w:t>Sanitation and sewer workers</w:t>
      </w:r>
      <w:r>
        <w:t>, who enter confined spaces where H₂S accumulates unpredictably.</w:t>
      </w:r>
    </w:p>
    <w:p w14:paraId="1A4F7CF4" w14:textId="77777777" w:rsidR="00A248C8" w:rsidRDefault="00000000">
      <w:pPr>
        <w:pStyle w:val="ListParagraph"/>
        <w:numPr>
          <w:ilvl w:val="0"/>
          <w:numId w:val="3"/>
        </w:numPr>
        <w:spacing w:after="80" w:line="300" w:lineRule="auto"/>
      </w:pPr>
      <w:r>
        <w:rPr>
          <w:b/>
          <w:bCs/>
        </w:rPr>
        <w:t>Wastewater treatment and biogas plant operators</w:t>
      </w:r>
      <w:r>
        <w:t xml:space="preserve">, exposed during maintenance of digesters, </w:t>
      </w:r>
      <w:proofErr w:type="gramStart"/>
      <w:r>
        <w:t>sumps</w:t>
      </w:r>
      <w:proofErr w:type="gramEnd"/>
      <w:r>
        <w:t xml:space="preserve"> and gas-handling equipment.</w:t>
      </w:r>
    </w:p>
    <w:p w14:paraId="76795150" w14:textId="77777777" w:rsidR="00A248C8" w:rsidRDefault="00000000">
      <w:pPr>
        <w:pStyle w:val="ListParagraph"/>
        <w:numPr>
          <w:ilvl w:val="0"/>
          <w:numId w:val="3"/>
        </w:numPr>
        <w:spacing w:after="80" w:line="300" w:lineRule="auto"/>
      </w:pPr>
      <w:r>
        <w:rPr>
          <w:b/>
          <w:bCs/>
        </w:rPr>
        <w:t>Oil and gas refinery personnel</w:t>
      </w:r>
      <w:r>
        <w:t>, especially in sour-service units, where Chapter 1 established that electronic instruments face severe restrictions.</w:t>
      </w:r>
    </w:p>
    <w:p w14:paraId="27315E81" w14:textId="77777777" w:rsidR="00A248C8" w:rsidRDefault="00000000">
      <w:pPr>
        <w:pStyle w:val="ListParagraph"/>
        <w:numPr>
          <w:ilvl w:val="0"/>
          <w:numId w:val="3"/>
        </w:numPr>
        <w:spacing w:after="80" w:line="300" w:lineRule="auto"/>
      </w:pPr>
      <w:r>
        <w:rPr>
          <w:b/>
          <w:bCs/>
        </w:rPr>
        <w:t xml:space="preserve">Mining, tannery, </w:t>
      </w:r>
      <w:proofErr w:type="gramStart"/>
      <w:r>
        <w:rPr>
          <w:b/>
          <w:bCs/>
        </w:rPr>
        <w:t>leather</w:t>
      </w:r>
      <w:proofErr w:type="gramEnd"/>
      <w:r>
        <w:rPr>
          <w:b/>
          <w:bCs/>
        </w:rPr>
        <w:t xml:space="preserve"> and paper-industry workers</w:t>
      </w:r>
      <w:r>
        <w:t xml:space="preserve">, where </w:t>
      </w:r>
      <w:proofErr w:type="spellStart"/>
      <w:r>
        <w:t>sulfide</w:t>
      </w:r>
      <w:proofErr w:type="spellEnd"/>
      <w:r>
        <w:t xml:space="preserve"> chemistry and decaying organic material are intrinsic to the process.</w:t>
      </w:r>
    </w:p>
    <w:p w14:paraId="2C0338D5" w14:textId="77777777" w:rsidR="00A248C8" w:rsidRDefault="00000000">
      <w:pPr>
        <w:spacing w:after="140" w:line="300" w:lineRule="auto"/>
        <w:jc w:val="both"/>
      </w:pPr>
      <w:r>
        <w:t>These sectors share three traits: a large, often contract-based workforce, high turnover, and intermittent exposure that is poorly documented. They are precisely the populations for which conventional instrumentation is least well matched.</w:t>
      </w:r>
    </w:p>
    <w:p w14:paraId="12A7FF2D" w14:textId="77777777" w:rsidR="00A248C8" w:rsidRDefault="00000000">
      <w:pPr>
        <w:pStyle w:val="Heading2"/>
      </w:pPr>
      <w:r>
        <w:t>6.2 Limitations of Shared Electronic Gas Detectors</w:t>
      </w:r>
    </w:p>
    <w:p w14:paraId="51F512E0" w14:textId="77777777" w:rsidR="00A248C8" w:rsidRDefault="00000000">
      <w:pPr>
        <w:spacing w:after="140" w:line="300" w:lineRule="auto"/>
        <w:jc w:val="both"/>
      </w:pPr>
      <w:r>
        <w:t>Electronic detectors are indispensable for instantaneous alarms, and nothing in this work disputes that. As the sole exposure-management tool for a large workforce, however, they have structural weaknesses.</w:t>
      </w:r>
    </w:p>
    <w:p w14:paraId="41E1F7B0" w14:textId="77777777" w:rsidR="00A248C8" w:rsidRDefault="00000000">
      <w:pPr>
        <w:spacing w:after="140" w:line="300" w:lineRule="auto"/>
        <w:jc w:val="both"/>
      </w:pPr>
      <w:r>
        <w:rPr>
          <w:b/>
          <w:bCs/>
        </w:rPr>
        <w:t>Cost and allocation.</w:t>
      </w:r>
      <w:r>
        <w:t xml:space="preserve"> Certified intrinsically safe multi-gas units are expensive, so organisations purchase </w:t>
      </w:r>
      <w:proofErr w:type="gramStart"/>
      <w:r>
        <w:t>a few</w:t>
      </w:r>
      <w:proofErr w:type="gramEnd"/>
      <w:r>
        <w:t xml:space="preserve"> and share them. A shared instrument records the exposure of whoever last carried it, not of each worker. Temporary crews </w:t>
      </w:r>
      <w:proofErr w:type="gramStart"/>
      <w:r>
        <w:t>are often left</w:t>
      </w:r>
      <w:proofErr w:type="gramEnd"/>
      <w:r>
        <w:t xml:space="preserve"> without one.</w:t>
      </w:r>
    </w:p>
    <w:p w14:paraId="14E7EC63" w14:textId="77777777" w:rsidR="00A248C8" w:rsidRDefault="00000000">
      <w:pPr>
        <w:spacing w:after="140" w:line="300" w:lineRule="auto"/>
        <w:jc w:val="both"/>
      </w:pPr>
      <w:r>
        <w:rPr>
          <w:b/>
          <w:bCs/>
        </w:rPr>
        <w:t>Maintenance burden.</w:t>
      </w:r>
      <w:r>
        <w:t xml:space="preserve"> Electrochemical sensors need bump testing, periodic calibration, battery </w:t>
      </w:r>
      <w:proofErr w:type="gramStart"/>
      <w:r>
        <w:t>charging</w:t>
      </w:r>
      <w:proofErr w:type="gramEnd"/>
      <w:r>
        <w:t xml:space="preserve"> and eventual sensor replacement. Missed calibration quietly degrades accuracy, and a flat battery produces a protective device that protects nobody. Devices </w:t>
      </w:r>
      <w:proofErr w:type="gramStart"/>
      <w:r>
        <w:t>are also sometimes switched</w:t>
      </w:r>
      <w:proofErr w:type="gramEnd"/>
      <w:r>
        <w:t xml:space="preserve"> off, left in </w:t>
      </w:r>
      <w:proofErr w:type="gramStart"/>
      <w:r>
        <w:t>lockers</w:t>
      </w:r>
      <w:proofErr w:type="gramEnd"/>
      <w:r>
        <w:t xml:space="preserve"> or not issued at all.</w:t>
      </w:r>
    </w:p>
    <w:p w14:paraId="20645674" w14:textId="77777777" w:rsidR="00A248C8" w:rsidRDefault="00000000">
      <w:pPr>
        <w:spacing w:after="140" w:line="300" w:lineRule="auto"/>
        <w:jc w:val="both"/>
      </w:pPr>
      <w:r>
        <w:rPr>
          <w:b/>
          <w:bCs/>
        </w:rPr>
        <w:t>Point measurement.</w:t>
      </w:r>
      <w:r>
        <w:t xml:space="preserve"> A detector clipped to one worker or placed in one location samples that point only. It does not describe the personal breathing-zone exposure of colleagues </w:t>
      </w:r>
      <w:proofErr w:type="gramStart"/>
      <w:r>
        <w:t>a few</w:t>
      </w:r>
      <w:proofErr w:type="gramEnd"/>
      <w:r>
        <w:t xml:space="preserve"> metres away.</w:t>
      </w:r>
    </w:p>
    <w:p w14:paraId="4455545E" w14:textId="77777777" w:rsidR="00A248C8" w:rsidRDefault="00000000">
      <w:pPr>
        <w:spacing w:after="140" w:line="300" w:lineRule="auto"/>
        <w:jc w:val="both"/>
      </w:pPr>
      <w:r>
        <w:rPr>
          <w:b/>
          <w:bCs/>
        </w:rPr>
        <w:t>Zone restrictions.</w:t>
      </w:r>
      <w:r>
        <w:t xml:space="preserve"> In ATEX/PESO Zone 0, every instrument must hold the appropriate Ex certification, which narrows the choice of devices and raises their price further.</w:t>
      </w:r>
    </w:p>
    <w:p w14:paraId="189264C8" w14:textId="77777777" w:rsidR="00A248C8" w:rsidRDefault="00000000">
      <w:pPr>
        <w:spacing w:after="140" w:line="300" w:lineRule="auto"/>
        <w:jc w:val="both"/>
      </w:pPr>
      <w:r>
        <w:rPr>
          <w:b/>
          <w:bCs/>
        </w:rPr>
        <w:t>Records.</w:t>
      </w:r>
      <w:r>
        <w:t xml:space="preserve"> </w:t>
      </w:r>
      <w:proofErr w:type="gramStart"/>
      <w:r>
        <w:t>Many</w:t>
      </w:r>
      <w:proofErr w:type="gramEnd"/>
      <w:r>
        <w:t xml:space="preserve"> units log data, but retrieval, attribution to an individual and long-term retention depend on administrative discipline that is frequently absent.</w:t>
      </w:r>
    </w:p>
    <w:p w14:paraId="4330FCD6" w14:textId="77777777" w:rsidR="00A248C8" w:rsidRDefault="00000000">
      <w:pPr>
        <w:pStyle w:val="Heading2"/>
      </w:pPr>
      <w:r>
        <w:lastRenderedPageBreak/>
        <w:t>6.3 Scalability of the Passive Wearable</w:t>
      </w:r>
    </w:p>
    <w:p w14:paraId="49606FB7" w14:textId="77777777" w:rsidR="00A248C8" w:rsidRDefault="00000000">
      <w:pPr>
        <w:spacing w:after="140" w:line="300" w:lineRule="auto"/>
        <w:jc w:val="both"/>
      </w:pPr>
      <w:r>
        <w:t xml:space="preserve">The proposed badge inverts these constraints. Its consumables are a paper strip, a </w:t>
      </w:r>
      <w:proofErr w:type="gramStart"/>
      <w:r>
        <w:t>membrane</w:t>
      </w:r>
      <w:proofErr w:type="gramEnd"/>
      <w:r>
        <w:t xml:space="preserve"> and a small quantity of recovered reagent, so the marginal cost per worker per shift is </w:t>
      </w:r>
      <w:proofErr w:type="gramStart"/>
      <w:r>
        <w:t>very small</w:t>
      </w:r>
      <w:proofErr w:type="gramEnd"/>
      <w:r>
        <w:t xml:space="preserve">. This makes </w:t>
      </w:r>
      <w:r>
        <w:rPr>
          <w:b/>
          <w:bCs/>
        </w:rPr>
        <w:t>one badge per person</w:t>
      </w:r>
      <w:r>
        <w:t xml:space="preserve"> feasible, including for short-term contractors, which turns exposure monitoring from a shared resource into a personal one.</w:t>
      </w:r>
    </w:p>
    <w:p w14:paraId="13AA8E62" w14:textId="77777777" w:rsidR="00A248C8" w:rsidRDefault="00000000">
      <w:pPr>
        <w:pStyle w:val="ListParagraph"/>
        <w:numPr>
          <w:ilvl w:val="0"/>
          <w:numId w:val="3"/>
        </w:numPr>
        <w:spacing w:after="80" w:line="300" w:lineRule="auto"/>
      </w:pPr>
      <w:r>
        <w:rPr>
          <w:b/>
          <w:bCs/>
        </w:rPr>
        <w:t>Zero upkeep:</w:t>
      </w:r>
      <w:r>
        <w:t xml:space="preserve"> no charging, no field calibration hardware, no technical training. Calibration resides in a versioned coefficient file (Chapter 4), not in the field device.</w:t>
      </w:r>
    </w:p>
    <w:p w14:paraId="11250358" w14:textId="77777777" w:rsidR="00A248C8" w:rsidRDefault="00000000">
      <w:pPr>
        <w:pStyle w:val="ListParagraph"/>
        <w:numPr>
          <w:ilvl w:val="0"/>
          <w:numId w:val="3"/>
        </w:numPr>
        <w:spacing w:after="80" w:line="300" w:lineRule="auto"/>
      </w:pPr>
      <w:r>
        <w:rPr>
          <w:b/>
          <w:bCs/>
        </w:rPr>
        <w:t>Intrinsic safety by elimination:</w:t>
      </w:r>
      <w:r>
        <w:t xml:space="preserve"> no stored electrical energy, so deployment in the most restricted zones avoids the certification costs of active instruments.</w:t>
      </w:r>
    </w:p>
    <w:p w14:paraId="53FE1438" w14:textId="77777777" w:rsidR="00A248C8" w:rsidRDefault="00000000">
      <w:pPr>
        <w:pStyle w:val="ListParagraph"/>
        <w:numPr>
          <w:ilvl w:val="0"/>
          <w:numId w:val="3"/>
        </w:numPr>
        <w:spacing w:after="80" w:line="300" w:lineRule="auto"/>
      </w:pPr>
      <w:r>
        <w:rPr>
          <w:b/>
          <w:bCs/>
        </w:rPr>
        <w:t>Smartphone leverage:</w:t>
      </w:r>
      <w:r>
        <w:t xml:space="preserve"> the computational layer runs on hardware that supervisors already own, and the same camera-based pipeline serves every badge.</w:t>
      </w:r>
    </w:p>
    <w:p w14:paraId="555A8C99" w14:textId="77777777" w:rsidR="00A248C8" w:rsidRDefault="00000000">
      <w:pPr>
        <w:pStyle w:val="ListParagraph"/>
        <w:numPr>
          <w:ilvl w:val="0"/>
          <w:numId w:val="3"/>
        </w:numPr>
        <w:spacing w:after="80" w:line="300" w:lineRule="auto"/>
      </w:pPr>
      <w:r>
        <w:rPr>
          <w:b/>
          <w:bCs/>
        </w:rPr>
        <w:t>Agile manufacturing:</w:t>
      </w:r>
      <w:r>
        <w:t xml:space="preserve"> the 3D-printed or cast body </w:t>
      </w:r>
      <w:proofErr w:type="gramStart"/>
      <w:r>
        <w:t>is quickly modified</w:t>
      </w:r>
      <w:proofErr w:type="gramEnd"/>
      <w:r>
        <w:t xml:space="preserve"> to suit new wrist sizes, strap </w:t>
      </w:r>
      <w:proofErr w:type="gramStart"/>
      <w:r>
        <w:t>types</w:t>
      </w:r>
      <w:proofErr w:type="gramEnd"/>
      <w:r>
        <w:t xml:space="preserve"> or site requirements.</w:t>
      </w:r>
    </w:p>
    <w:p w14:paraId="0DD0A4C6" w14:textId="77777777" w:rsidR="00A248C8" w:rsidRDefault="00000000">
      <w:pPr>
        <w:pStyle w:val="ListParagraph"/>
        <w:numPr>
          <w:ilvl w:val="0"/>
          <w:numId w:val="3"/>
        </w:numPr>
        <w:spacing w:after="80" w:line="300" w:lineRule="auto"/>
      </w:pPr>
      <w:r>
        <w:rPr>
          <w:b/>
          <w:bCs/>
        </w:rPr>
        <w:t>Traceability:</w:t>
      </w:r>
      <w:r>
        <w:t xml:space="preserve"> every scan creates a time-stamped personal record, supporting rotation, </w:t>
      </w:r>
      <w:proofErr w:type="gramStart"/>
      <w:r>
        <w:t>rest</w:t>
      </w:r>
      <w:proofErr w:type="gramEnd"/>
      <w:r>
        <w:t xml:space="preserve"> and medical-surveillance decisions.</w:t>
      </w:r>
    </w:p>
    <w:p w14:paraId="184DF595" w14:textId="77777777" w:rsidR="00A248C8" w:rsidRDefault="00000000">
      <w:pPr>
        <w:spacing w:after="140" w:line="300" w:lineRule="auto"/>
        <w:jc w:val="both"/>
      </w:pPr>
      <w:r>
        <w:t>The design is explicitly complementary. A badge records integrated dose after the fact. It is not a real-time alarm, and electronic peak detectors remain necessary for immediate warning. The two technologies cover different failure modes: the electronic sniffer addresses acute spikes, and the dosimeter addresses unmonitored cumulative exposure across everyone else.</w:t>
      </w:r>
    </w:p>
    <w:p w14:paraId="01D30AB5" w14:textId="77777777" w:rsidR="00A248C8" w:rsidRDefault="00000000">
      <w:pPr>
        <w:pStyle w:val="Heading2"/>
      </w:pPr>
      <w:r>
        <w:t>6.4 Shift Time-Weighted Average Reporting</w:t>
      </w:r>
    </w:p>
    <w:p w14:paraId="184E705D" w14:textId="77777777" w:rsidR="00A248C8" w:rsidRDefault="00000000">
      <w:pPr>
        <w:spacing w:after="140" w:line="300" w:lineRule="auto"/>
        <w:jc w:val="both"/>
      </w:pPr>
      <w:r>
        <w:t xml:space="preserve">Occupational limits </w:t>
      </w:r>
      <w:proofErr w:type="gramStart"/>
      <w:r>
        <w:t>are written</w:t>
      </w:r>
      <w:proofErr w:type="gramEnd"/>
      <w:r>
        <w:t xml:space="preserve"> in terms of averaged concentration. The ACGIH, OSHA and NIOSH reference values differ in their numbers and definitions, so the app is configurable by </w:t>
      </w:r>
      <w:proofErr w:type="gramStart"/>
      <w:r>
        <w:t>jurisdiction</w:t>
      </w:r>
      <w:proofErr w:type="gramEnd"/>
      <w:r>
        <w:t xml:space="preserve"> and policy. The 8-hour TWA </w:t>
      </w:r>
      <w:proofErr w:type="gramStart"/>
      <w:r>
        <w:t>is defined</w:t>
      </w:r>
      <w:proofErr w:type="gramEnd"/>
      <w:r>
        <w:t xml:space="preserve"> as:</w:t>
      </w:r>
    </w:p>
    <w:p w14:paraId="14395284" w14:textId="77777777" w:rsidR="00A248C8" w:rsidRDefault="00000000">
      <w:pPr>
        <w:spacing w:before="60" w:after="120"/>
        <w:jc w:val="center"/>
      </w:pPr>
      <w:r>
        <w:rPr>
          <w:rFonts w:ascii="Cambria Math" w:eastAsia="Cambria Math" w:hAnsi="Cambria Math" w:cs="Cambria Math"/>
        </w:rPr>
        <w:t>TWA₈ = (1/8 hr) ∫₀ᵀ C(t) dt = D / 8 hr</w:t>
      </w:r>
    </w:p>
    <w:p w14:paraId="761F5B4E" w14:textId="77777777" w:rsidR="00A248C8" w:rsidRDefault="00000000">
      <w:pPr>
        <w:spacing w:after="140" w:line="300" w:lineRule="auto"/>
        <w:jc w:val="both"/>
      </w:pPr>
      <w:r>
        <w:t xml:space="preserve">where D is the cumulative dose in </w:t>
      </w:r>
      <w:proofErr w:type="spellStart"/>
      <w:r>
        <w:t>ppm·hr</w:t>
      </w:r>
      <w:proofErr w:type="spellEnd"/>
      <w:r>
        <w:t xml:space="preserve"> obtained from the calibrated polynomial (Chapter 4). For a shift of duration T hours, the app computes the mean concentration over the wear interval, C̄ = D/T, </w:t>
      </w:r>
      <w:proofErr w:type="gramStart"/>
      <w:r>
        <w:t>and also</w:t>
      </w:r>
      <w:proofErr w:type="gramEnd"/>
      <w:r>
        <w:t xml:space="preserve"> the normalised 8-hour equivalent, D/8. The distinction matters for shifts shorter or longer than eight hours. The wear time comes from the time-stamped entry and exit scans.</w:t>
      </w:r>
    </w:p>
    <w:p w14:paraId="2BFEB8DF" w14:textId="77777777" w:rsidR="00A248C8" w:rsidRDefault="00000000">
      <w:pPr>
        <w:spacing w:after="140" w:line="300" w:lineRule="auto"/>
        <w:jc w:val="both"/>
      </w:pPr>
      <w:r>
        <w:t>The verdict (SAFE, ACTION, WARNING or CRITICAL) results from comparing these quantities with configured thresholds. Because the observable is cumulative, TWA estimation is where the dosimeter is naturally strongest: integration is exactly what the chemistry performs. The reported dose carries the prediction interval from the calibration, and the verdict is based on the conservative bound, not the point estimate, so that measurement uncertainty errs toward caution.</w:t>
      </w:r>
    </w:p>
    <w:p w14:paraId="66070E76" w14:textId="77777777" w:rsidR="00A248C8" w:rsidRDefault="00000000">
      <w:pPr>
        <w:pStyle w:val="Heading2"/>
      </w:pPr>
      <w:r>
        <w:lastRenderedPageBreak/>
        <w:t>6.5 The STEL Problem and Honest Uncertainty</w:t>
      </w:r>
    </w:p>
    <w:p w14:paraId="37C2C1B3" w14:textId="77777777" w:rsidR="00A248C8" w:rsidRDefault="00000000">
      <w:pPr>
        <w:spacing w:after="140" w:line="300" w:lineRule="auto"/>
        <w:jc w:val="both"/>
      </w:pPr>
      <w:r>
        <w:t xml:space="preserve">A Short-Term Exposure Limit constrains the average over a short window, typically 15 minutes. A dosimeter that reads only once, at the end of a shift, observes the sum of the whole interval. Two </w:t>
      </w:r>
      <w:proofErr w:type="gramStart"/>
      <w:r>
        <w:t>very different</w:t>
      </w:r>
      <w:proofErr w:type="gramEnd"/>
      <w:r>
        <w:t xml:space="preserve"> histories can produce an identical final colour: a steady low concentration, or a brief intense excursion with clean air otherwise. The final scan cannot tell them apart. The system therefore sets </w:t>
      </w:r>
      <w:proofErr w:type="spellStart"/>
      <w:r>
        <w:rPr>
          <w:b/>
          <w:bCs/>
        </w:rPr>
        <w:t>stelDeterminable</w:t>
      </w:r>
      <w:proofErr w:type="spellEnd"/>
      <w:r>
        <w:rPr>
          <w:b/>
          <w:bCs/>
        </w:rPr>
        <w:t xml:space="preserve"> = false</w:t>
      </w:r>
      <w:r>
        <w:t xml:space="preserve"> for any single-scan record and does not infer a STEL from it. This follows the fail-loudly rule: an unfounded number would be worse than an acknowledged unknown.</w:t>
      </w:r>
    </w:p>
    <w:p w14:paraId="458DBB08" w14:textId="77777777" w:rsidR="00A248C8" w:rsidRDefault="00000000">
      <w:pPr>
        <w:pStyle w:val="Heading2"/>
      </w:pPr>
      <w:r>
        <w:t>6.6 Series Scanning to Bound Interval Concentrations</w:t>
      </w:r>
    </w:p>
    <w:p w14:paraId="694CF4ED" w14:textId="77777777" w:rsidR="00A248C8" w:rsidRDefault="00000000">
      <w:pPr>
        <w:spacing w:after="140" w:line="300" w:lineRule="auto"/>
        <w:jc w:val="both"/>
      </w:pPr>
      <w:r>
        <w:t>Dose is additive, so a series of scans at times t₀ &lt; t₁ &lt; … &lt; tₙ yields a sequence of interval doses:</w:t>
      </w:r>
    </w:p>
    <w:p w14:paraId="485D0BD4" w14:textId="77777777" w:rsidR="00A248C8" w:rsidRDefault="00000000">
      <w:pPr>
        <w:spacing w:before="60" w:after="120"/>
        <w:jc w:val="center"/>
      </w:pPr>
      <w:r>
        <w:rPr>
          <w:rFonts w:ascii="Cambria Math" w:eastAsia="Cambria Math" w:hAnsi="Cambria Math" w:cs="Cambria Math"/>
        </w:rPr>
        <w:t>ΔDᵢ = D(tᵢ) − D(tᵢ₋₁</w:t>
      </w:r>
      <w:proofErr w:type="gramStart"/>
      <w:r>
        <w:rPr>
          <w:rFonts w:ascii="Cambria Math" w:eastAsia="Cambria Math" w:hAnsi="Cambria Math" w:cs="Cambria Math"/>
        </w:rPr>
        <w:t xml:space="preserve">),   </w:t>
      </w:r>
      <w:proofErr w:type="gramEnd"/>
      <w:r>
        <w:rPr>
          <w:rFonts w:ascii="Cambria Math" w:eastAsia="Cambria Math" w:hAnsi="Cambria Math" w:cs="Cambria Math"/>
        </w:rPr>
        <w:t>C̄ᵢ = ΔDᵢ / (tᵢ − tᵢ₋₁)</w:t>
      </w:r>
    </w:p>
    <w:p w14:paraId="349B94CA" w14:textId="77777777" w:rsidR="00A248C8" w:rsidRDefault="00000000">
      <w:pPr>
        <w:spacing w:after="140" w:line="300" w:lineRule="auto"/>
        <w:jc w:val="both"/>
      </w:pPr>
      <w:r>
        <w:t xml:space="preserve">Entry, mid-shift and exit kiosks therefore partition the shift. These interval means provide hard information that was absent before. If every interval mean is low, the worker could only have encountered a high short peak by compensating with an implausibly negative concentration elsewhere, which is impossible. This yields a rigorous upper bound on any window contained in an interval. A 15-minute STEL window lying inside interval </w:t>
      </w:r>
      <w:proofErr w:type="spellStart"/>
      <w:r>
        <w:rPr>
          <w:i/>
          <w:iCs/>
        </w:rPr>
        <w:t>i</w:t>
      </w:r>
      <w:proofErr w:type="spellEnd"/>
      <w:r>
        <w:t xml:space="preserve"> cannot exceed the interval's total dose divided by 0.25 hr:</w:t>
      </w:r>
    </w:p>
    <w:p w14:paraId="4FA7DBE1" w14:textId="77777777" w:rsidR="00A248C8" w:rsidRDefault="00000000">
      <w:pPr>
        <w:spacing w:before="60" w:after="120"/>
        <w:jc w:val="center"/>
      </w:pPr>
      <w:r>
        <w:rPr>
          <w:rFonts w:ascii="Cambria Math" w:eastAsia="Cambria Math" w:hAnsi="Cambria Math" w:cs="Cambria Math"/>
        </w:rPr>
        <w:t>C̄_</w:t>
      </w:r>
      <w:proofErr w:type="spellStart"/>
      <w:proofErr w:type="gramStart"/>
      <w:r>
        <w:rPr>
          <w:rFonts w:ascii="Cambria Math" w:eastAsia="Cambria Math" w:hAnsi="Cambria Math" w:cs="Cambria Math"/>
        </w:rPr>
        <w:t>window,max</w:t>
      </w:r>
      <w:proofErr w:type="spellEnd"/>
      <w:proofErr w:type="gramEnd"/>
      <w:r>
        <w:rPr>
          <w:rFonts w:ascii="Cambria Math" w:eastAsia="Cambria Math" w:hAnsi="Cambria Math" w:cs="Cambria Math"/>
        </w:rPr>
        <w:t xml:space="preserve"> ≤ ΔDᵢ / 0.25 hr</w:t>
      </w:r>
    </w:p>
    <w:p w14:paraId="75AB200D" w14:textId="77777777" w:rsidR="00A248C8" w:rsidRDefault="00000000">
      <w:pPr>
        <w:spacing w:after="140" w:line="300" w:lineRule="auto"/>
        <w:jc w:val="both"/>
      </w:pPr>
      <w:r>
        <w:t xml:space="preserve">This is a worst-case </w:t>
      </w:r>
      <w:proofErr w:type="gramStart"/>
      <w:r>
        <w:t>bound, since</w:t>
      </w:r>
      <w:proofErr w:type="gramEnd"/>
      <w:r>
        <w:t xml:space="preserve"> it assumes the entire interval dose fell in one quarter-hour. When the bound lies below the STEL limit, compliance </w:t>
      </w:r>
      <w:proofErr w:type="gramStart"/>
      <w:r>
        <w:t>is demonstrated</w:t>
      </w:r>
      <w:proofErr w:type="gramEnd"/>
      <w:r>
        <w:t xml:space="preserve"> for that interval. When it lies above, the result </w:t>
      </w:r>
      <w:proofErr w:type="gramStart"/>
      <w:r>
        <w:t>is classed</w:t>
      </w:r>
      <w:proofErr w:type="gramEnd"/>
      <w:r>
        <w:t xml:space="preserve"> as </w:t>
      </w:r>
      <w:r>
        <w:rPr>
          <w:b/>
          <w:bCs/>
        </w:rPr>
        <w:t>indeterminate</w:t>
      </w:r>
      <w:r>
        <w:t xml:space="preserve"> and not as a breach, with the bound reported to the supervisor. Shorter intervals tighten the bound proportionally, so the scan cadence becomes a </w:t>
      </w:r>
      <w:proofErr w:type="spellStart"/>
      <w:r>
        <w:t>tunable</w:t>
      </w:r>
      <w:proofErr w:type="spellEnd"/>
      <w:r>
        <w:t xml:space="preserve"> safety parameter. High-risk tasks may justify more frequent checkpoints, while routine work may need only entry and exit. Each interval dose also carries its own calibration uncertainty, which propagates into the bound. Because uncertainty from two readings adds, the interval bound is correspondingly wider than a single-reading error.</w:t>
      </w:r>
    </w:p>
    <w:p w14:paraId="40F98058" w14:textId="77777777" w:rsidR="00A248C8" w:rsidRDefault="00000000">
      <w:pPr>
        <w:pStyle w:val="Heading2"/>
      </w:pPr>
      <w:r>
        <w:t>6.7 Future Scope</w:t>
      </w:r>
    </w:p>
    <w:p w14:paraId="3EBD7FEB" w14:textId="77777777" w:rsidR="00A248C8" w:rsidRDefault="00000000">
      <w:pPr>
        <w:spacing w:after="140" w:line="300" w:lineRule="auto"/>
        <w:jc w:val="both"/>
      </w:pPr>
      <w:r>
        <w:t>The current architecture is deliberately minimal. Subsequent development would layer a backend on top of it without altering the passive hardware.</w:t>
      </w:r>
    </w:p>
    <w:p w14:paraId="06E12CF2" w14:textId="77777777" w:rsidR="00A248C8" w:rsidRDefault="00000000">
      <w:pPr>
        <w:spacing w:after="140" w:line="300" w:lineRule="auto"/>
        <w:jc w:val="both"/>
      </w:pPr>
      <w:r>
        <w:rPr>
          <w:b/>
          <w:bCs/>
        </w:rPr>
        <w:t>Per-worker exposure history.</w:t>
      </w:r>
      <w:r>
        <w:t xml:space="preserve"> Each scan, with badge ID, worker ID, timestamp and verdict, </w:t>
      </w:r>
      <w:proofErr w:type="gramStart"/>
      <w:r>
        <w:t>is written</w:t>
      </w:r>
      <w:proofErr w:type="gramEnd"/>
      <w:r>
        <w:t xml:space="preserve"> to a secure database. Longitudinal records support cumulative-exposure trending, occupational-health </w:t>
      </w:r>
      <w:proofErr w:type="gramStart"/>
      <w:r>
        <w:t>audits</w:t>
      </w:r>
      <w:proofErr w:type="gramEnd"/>
      <w:r>
        <w:t xml:space="preserve"> and evidence for rotation policy. Privacy, </w:t>
      </w:r>
      <w:proofErr w:type="gramStart"/>
      <w:r>
        <w:t>consent</w:t>
      </w:r>
      <w:proofErr w:type="gramEnd"/>
      <w:r>
        <w:t xml:space="preserve"> and data-protection controls are prerequisites.</w:t>
      </w:r>
    </w:p>
    <w:p w14:paraId="0785F9D6" w14:textId="77777777" w:rsidR="00A248C8" w:rsidRDefault="00000000">
      <w:pPr>
        <w:spacing w:after="140" w:line="300" w:lineRule="auto"/>
        <w:jc w:val="both"/>
      </w:pPr>
      <w:r>
        <w:rPr>
          <w:b/>
          <w:bCs/>
        </w:rPr>
        <w:lastRenderedPageBreak/>
        <w:t>Spatial micro-leak heatmaps.</w:t>
      </w:r>
      <w:r>
        <w:t xml:space="preserve"> If scans are associated with the zones a worker occupied, for example through checkpoint tags or location logs, interval doses can </w:t>
      </w:r>
      <w:proofErr w:type="gramStart"/>
      <w:r>
        <w:t>be aggregated</w:t>
      </w:r>
      <w:proofErr w:type="gramEnd"/>
      <w:r>
        <w:t xml:space="preserve"> per area and time window. </w:t>
      </w:r>
      <w:proofErr w:type="gramStart"/>
      <w:r>
        <w:t>Many</w:t>
      </w:r>
      <w:proofErr w:type="gramEnd"/>
      <w:r>
        <w:t xml:space="preserve"> badges worn by </w:t>
      </w:r>
      <w:proofErr w:type="gramStart"/>
      <w:r>
        <w:t>many</w:t>
      </w:r>
      <w:proofErr w:type="gramEnd"/>
      <w:r>
        <w:t xml:space="preserve"> workers form a distributed sensor network with far greater spatial coverage than </w:t>
      </w:r>
      <w:proofErr w:type="gramStart"/>
      <w:r>
        <w:t>a few</w:t>
      </w:r>
      <w:proofErr w:type="gramEnd"/>
      <w:r>
        <w:t xml:space="preserve"> fixed detectors. Statistical interpolation, such as kriging, applied to these samples could generate plant-wide concentration maps and reveal chronic micro-leaks, flange weeping or poorly ventilated pockets that point instruments never encounter. The heatmaps would guide inspection and maintenance. They would also be bounded by the same temporal resolution limit as in Section 6.6.</w:t>
      </w:r>
    </w:p>
    <w:p w14:paraId="39CE49E1" w14:textId="77777777" w:rsidR="00A248C8" w:rsidRDefault="00000000">
      <w:pPr>
        <w:spacing w:after="140" w:line="300" w:lineRule="auto"/>
        <w:jc w:val="both"/>
      </w:pPr>
      <w:r>
        <w:rPr>
          <w:b/>
          <w:bCs/>
        </w:rPr>
        <w:t>Digital HSE dashboards and alerts.</w:t>
      </w:r>
      <w:r>
        <w:t xml:space="preserve"> Threshold-based warnings, for example a CRITICAL verdict or an indeterminate STEL bound, would </w:t>
      </w:r>
      <w:proofErr w:type="gramStart"/>
      <w:r>
        <w:t>be pushed</w:t>
      </w:r>
      <w:proofErr w:type="gramEnd"/>
      <w:r>
        <w:t xml:space="preserve"> immediately to safety officers' dashboards, with the worker, zone and interval identified. Dashboards would also present fleet-level statistics, such as calibration lot status, scan compliance </w:t>
      </w:r>
      <w:proofErr w:type="gramStart"/>
      <w:r>
        <w:t>rates</w:t>
      </w:r>
      <w:proofErr w:type="gramEnd"/>
      <w:r>
        <w:t xml:space="preserve"> and trends by site.</w:t>
      </w:r>
    </w:p>
    <w:p w14:paraId="39F50CFD" w14:textId="77777777" w:rsidR="00A248C8" w:rsidRDefault="00000000">
      <w:pPr>
        <w:spacing w:after="140" w:line="300" w:lineRule="auto"/>
        <w:jc w:val="both"/>
      </w:pPr>
      <w:r>
        <w:rPr>
          <w:b/>
          <w:bCs/>
        </w:rPr>
        <w:t>Further hardware and algorithmic extensions</w:t>
      </w:r>
      <w:r>
        <w:t xml:space="preserve"> include multi-analyte badges for related gases, extended-range pads, and automated kiosk scanning with fixed cameras, which would reduce reliance on operator </w:t>
      </w:r>
      <w:proofErr w:type="gramStart"/>
      <w:r>
        <w:t>handling</w:t>
      </w:r>
      <w:proofErr w:type="gramEnd"/>
      <w:r>
        <w:t xml:space="preserve"> and standardise lighting.</w:t>
      </w:r>
    </w:p>
    <w:p w14:paraId="09000DFF" w14:textId="77777777" w:rsidR="00A248C8" w:rsidRDefault="00000000">
      <w:pPr>
        <w:pStyle w:val="Heading2"/>
      </w:pPr>
      <w:r>
        <w:t>6.8 Closing Perspective</w:t>
      </w:r>
    </w:p>
    <w:p w14:paraId="62259912" w14:textId="77777777" w:rsidR="00A248C8" w:rsidRDefault="00000000">
      <w:pPr>
        <w:spacing w:after="140" w:line="300" w:lineRule="auto"/>
        <w:jc w:val="both"/>
      </w:pPr>
      <w:r>
        <w:t xml:space="preserve">The proposed system does not replace the electronic detector. It extends coverage to the </w:t>
      </w:r>
      <w:proofErr w:type="gramStart"/>
      <w:r>
        <w:t>many</w:t>
      </w:r>
      <w:proofErr w:type="gramEnd"/>
      <w:r>
        <w:t xml:space="preserve"> workers who currently go unmeasured, converts exposure into an auditable personal record, and does so with a sensing medium that </w:t>
      </w:r>
      <w:proofErr w:type="gramStart"/>
      <w:r>
        <w:t>is regenerated</w:t>
      </w:r>
      <w:proofErr w:type="gramEnd"/>
      <w:r>
        <w:t xml:space="preserve"> and not discarded. By reporting uncertainty explicitly, it earns the trust that safety instrumentation depends on.</w:t>
      </w:r>
    </w:p>
    <w:sectPr w:rsidR="00A248C8">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EAECA" w14:textId="77777777" w:rsidR="000C421B" w:rsidRDefault="000C421B">
      <w:r>
        <w:separator/>
      </w:r>
    </w:p>
  </w:endnote>
  <w:endnote w:type="continuationSeparator" w:id="0">
    <w:p w14:paraId="6845BCBF" w14:textId="77777777" w:rsidR="000C421B" w:rsidRDefault="000C42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201C7" w14:textId="77777777" w:rsidR="00A248C8" w:rsidRDefault="00000000">
    <w:pPr>
      <w:jc w:val="center"/>
    </w:pPr>
    <w:r>
      <w:rPr>
        <w:sz w:val="20"/>
        <w:szCs w:val="20"/>
      </w:rPr>
      <w:fldChar w:fldCharType="begin"/>
    </w:r>
    <w:r>
      <w:rPr>
        <w:sz w:val="20"/>
        <w:szCs w:val="20"/>
      </w:rPr>
      <w:instrText>PAGE</w:instrText>
    </w:r>
    <w:r>
      <w:rPr>
        <w:sz w:val="20"/>
        <w:szCs w:val="20"/>
      </w:rPr>
      <w:fldChar w:fldCharType="separate"/>
    </w:r>
    <w:r w:rsidR="006E5EDE">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2E3189" w14:textId="77777777" w:rsidR="000C421B" w:rsidRDefault="000C421B">
      <w:r>
        <w:separator/>
      </w:r>
    </w:p>
  </w:footnote>
  <w:footnote w:type="continuationSeparator" w:id="0">
    <w:p w14:paraId="08ABA1E2" w14:textId="77777777" w:rsidR="000C421B" w:rsidRDefault="000C42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C04CD"/>
    <w:multiLevelType w:val="hybridMultilevel"/>
    <w:tmpl w:val="D540A2F0"/>
    <w:lvl w:ilvl="0" w:tplc="6726A14E">
      <w:start w:val="1"/>
      <w:numFmt w:val="decimal"/>
      <w:lvlText w:val="%1."/>
      <w:lvlJc w:val="left"/>
      <w:pPr>
        <w:ind w:left="720" w:hanging="360"/>
      </w:pPr>
    </w:lvl>
    <w:lvl w:ilvl="1" w:tplc="B10C894C">
      <w:numFmt w:val="decimal"/>
      <w:lvlText w:val=""/>
      <w:lvlJc w:val="left"/>
    </w:lvl>
    <w:lvl w:ilvl="2" w:tplc="B6E038CE">
      <w:numFmt w:val="decimal"/>
      <w:lvlText w:val=""/>
      <w:lvlJc w:val="left"/>
    </w:lvl>
    <w:lvl w:ilvl="3" w:tplc="93C44ACE">
      <w:numFmt w:val="decimal"/>
      <w:lvlText w:val=""/>
      <w:lvlJc w:val="left"/>
    </w:lvl>
    <w:lvl w:ilvl="4" w:tplc="4596EB38">
      <w:numFmt w:val="decimal"/>
      <w:lvlText w:val=""/>
      <w:lvlJc w:val="left"/>
    </w:lvl>
    <w:lvl w:ilvl="5" w:tplc="5602F4CC">
      <w:numFmt w:val="decimal"/>
      <w:lvlText w:val=""/>
      <w:lvlJc w:val="left"/>
    </w:lvl>
    <w:lvl w:ilvl="6" w:tplc="F0A211B0">
      <w:numFmt w:val="decimal"/>
      <w:lvlText w:val=""/>
      <w:lvlJc w:val="left"/>
    </w:lvl>
    <w:lvl w:ilvl="7" w:tplc="DE04EA5C">
      <w:numFmt w:val="decimal"/>
      <w:lvlText w:val=""/>
      <w:lvlJc w:val="left"/>
    </w:lvl>
    <w:lvl w:ilvl="8" w:tplc="57B412E4">
      <w:numFmt w:val="decimal"/>
      <w:lvlText w:val=""/>
      <w:lvlJc w:val="left"/>
    </w:lvl>
  </w:abstractNum>
  <w:abstractNum w:abstractNumId="1" w15:restartNumberingAfterBreak="0">
    <w:nsid w:val="090C4C7D"/>
    <w:multiLevelType w:val="hybridMultilevel"/>
    <w:tmpl w:val="21E01A40"/>
    <w:lvl w:ilvl="0" w:tplc="80024C26">
      <w:start w:val="1"/>
      <w:numFmt w:val="decimal"/>
      <w:lvlText w:val="%1."/>
      <w:lvlJc w:val="left"/>
      <w:pPr>
        <w:ind w:left="720" w:hanging="360"/>
      </w:pPr>
    </w:lvl>
    <w:lvl w:ilvl="1" w:tplc="BD8894EE">
      <w:numFmt w:val="decimal"/>
      <w:lvlText w:val=""/>
      <w:lvlJc w:val="left"/>
    </w:lvl>
    <w:lvl w:ilvl="2" w:tplc="D6367664">
      <w:numFmt w:val="decimal"/>
      <w:lvlText w:val=""/>
      <w:lvlJc w:val="left"/>
    </w:lvl>
    <w:lvl w:ilvl="3" w:tplc="67BAB33E">
      <w:numFmt w:val="decimal"/>
      <w:lvlText w:val=""/>
      <w:lvlJc w:val="left"/>
    </w:lvl>
    <w:lvl w:ilvl="4" w:tplc="F7203862">
      <w:numFmt w:val="decimal"/>
      <w:lvlText w:val=""/>
      <w:lvlJc w:val="left"/>
    </w:lvl>
    <w:lvl w:ilvl="5" w:tplc="5E622E2E">
      <w:numFmt w:val="decimal"/>
      <w:lvlText w:val=""/>
      <w:lvlJc w:val="left"/>
    </w:lvl>
    <w:lvl w:ilvl="6" w:tplc="F71441A8">
      <w:numFmt w:val="decimal"/>
      <w:lvlText w:val=""/>
      <w:lvlJc w:val="left"/>
    </w:lvl>
    <w:lvl w:ilvl="7" w:tplc="5538A8E6">
      <w:numFmt w:val="decimal"/>
      <w:lvlText w:val=""/>
      <w:lvlJc w:val="left"/>
    </w:lvl>
    <w:lvl w:ilvl="8" w:tplc="F1222CB4">
      <w:numFmt w:val="decimal"/>
      <w:lvlText w:val=""/>
      <w:lvlJc w:val="left"/>
    </w:lvl>
  </w:abstractNum>
  <w:abstractNum w:abstractNumId="2" w15:restartNumberingAfterBreak="0">
    <w:nsid w:val="13251E95"/>
    <w:multiLevelType w:val="hybridMultilevel"/>
    <w:tmpl w:val="06F8CB90"/>
    <w:lvl w:ilvl="0" w:tplc="F57C5184">
      <w:start w:val="1"/>
      <w:numFmt w:val="decimal"/>
      <w:lvlText w:val="%1."/>
      <w:lvlJc w:val="left"/>
      <w:pPr>
        <w:ind w:left="720" w:hanging="360"/>
      </w:pPr>
    </w:lvl>
    <w:lvl w:ilvl="1" w:tplc="A80079A2">
      <w:numFmt w:val="decimal"/>
      <w:lvlText w:val=""/>
      <w:lvlJc w:val="left"/>
    </w:lvl>
    <w:lvl w:ilvl="2" w:tplc="D476573E">
      <w:numFmt w:val="decimal"/>
      <w:lvlText w:val=""/>
      <w:lvlJc w:val="left"/>
    </w:lvl>
    <w:lvl w:ilvl="3" w:tplc="7FE85B5E">
      <w:numFmt w:val="decimal"/>
      <w:lvlText w:val=""/>
      <w:lvlJc w:val="left"/>
    </w:lvl>
    <w:lvl w:ilvl="4" w:tplc="C23E3DAE">
      <w:numFmt w:val="decimal"/>
      <w:lvlText w:val=""/>
      <w:lvlJc w:val="left"/>
    </w:lvl>
    <w:lvl w:ilvl="5" w:tplc="C37CEA90">
      <w:numFmt w:val="decimal"/>
      <w:lvlText w:val=""/>
      <w:lvlJc w:val="left"/>
    </w:lvl>
    <w:lvl w:ilvl="6" w:tplc="373C8212">
      <w:numFmt w:val="decimal"/>
      <w:lvlText w:val=""/>
      <w:lvlJc w:val="left"/>
    </w:lvl>
    <w:lvl w:ilvl="7" w:tplc="9280B3AA">
      <w:numFmt w:val="decimal"/>
      <w:lvlText w:val=""/>
      <w:lvlJc w:val="left"/>
    </w:lvl>
    <w:lvl w:ilvl="8" w:tplc="34283EA8">
      <w:numFmt w:val="decimal"/>
      <w:lvlText w:val=""/>
      <w:lvlJc w:val="left"/>
    </w:lvl>
  </w:abstractNum>
  <w:abstractNum w:abstractNumId="3" w15:restartNumberingAfterBreak="0">
    <w:nsid w:val="29E61569"/>
    <w:multiLevelType w:val="hybridMultilevel"/>
    <w:tmpl w:val="22323FFE"/>
    <w:lvl w:ilvl="0" w:tplc="47FC21C8">
      <w:start w:val="1"/>
      <w:numFmt w:val="bullet"/>
      <w:lvlText w:val="•"/>
      <w:lvlJc w:val="left"/>
      <w:pPr>
        <w:ind w:left="720" w:hanging="360"/>
      </w:pPr>
    </w:lvl>
    <w:lvl w:ilvl="1" w:tplc="741AAA94">
      <w:numFmt w:val="decimal"/>
      <w:lvlText w:val=""/>
      <w:lvlJc w:val="left"/>
    </w:lvl>
    <w:lvl w:ilvl="2" w:tplc="7B48136A">
      <w:numFmt w:val="decimal"/>
      <w:lvlText w:val=""/>
      <w:lvlJc w:val="left"/>
    </w:lvl>
    <w:lvl w:ilvl="3" w:tplc="2070F446">
      <w:numFmt w:val="decimal"/>
      <w:lvlText w:val=""/>
      <w:lvlJc w:val="left"/>
    </w:lvl>
    <w:lvl w:ilvl="4" w:tplc="B23E75EA">
      <w:numFmt w:val="decimal"/>
      <w:lvlText w:val=""/>
      <w:lvlJc w:val="left"/>
    </w:lvl>
    <w:lvl w:ilvl="5" w:tplc="28F6E980">
      <w:numFmt w:val="decimal"/>
      <w:lvlText w:val=""/>
      <w:lvlJc w:val="left"/>
    </w:lvl>
    <w:lvl w:ilvl="6" w:tplc="6EC032C4">
      <w:numFmt w:val="decimal"/>
      <w:lvlText w:val=""/>
      <w:lvlJc w:val="left"/>
    </w:lvl>
    <w:lvl w:ilvl="7" w:tplc="111846D6">
      <w:numFmt w:val="decimal"/>
      <w:lvlText w:val=""/>
      <w:lvlJc w:val="left"/>
    </w:lvl>
    <w:lvl w:ilvl="8" w:tplc="E446127C">
      <w:numFmt w:val="decimal"/>
      <w:lvlText w:val=""/>
      <w:lvlJc w:val="left"/>
    </w:lvl>
  </w:abstractNum>
  <w:abstractNum w:abstractNumId="4" w15:restartNumberingAfterBreak="0">
    <w:nsid w:val="2C3F2EFB"/>
    <w:multiLevelType w:val="hybridMultilevel"/>
    <w:tmpl w:val="04B620E2"/>
    <w:lvl w:ilvl="0" w:tplc="F0E62C1C">
      <w:start w:val="1"/>
      <w:numFmt w:val="decimal"/>
      <w:lvlText w:val="%1."/>
      <w:lvlJc w:val="left"/>
      <w:pPr>
        <w:ind w:left="720" w:hanging="360"/>
      </w:pPr>
    </w:lvl>
    <w:lvl w:ilvl="1" w:tplc="7BB092FC">
      <w:numFmt w:val="decimal"/>
      <w:lvlText w:val=""/>
      <w:lvlJc w:val="left"/>
    </w:lvl>
    <w:lvl w:ilvl="2" w:tplc="7AAA3FA2">
      <w:numFmt w:val="decimal"/>
      <w:lvlText w:val=""/>
      <w:lvlJc w:val="left"/>
    </w:lvl>
    <w:lvl w:ilvl="3" w:tplc="92A07F7E">
      <w:numFmt w:val="decimal"/>
      <w:lvlText w:val=""/>
      <w:lvlJc w:val="left"/>
    </w:lvl>
    <w:lvl w:ilvl="4" w:tplc="9AB0F40C">
      <w:numFmt w:val="decimal"/>
      <w:lvlText w:val=""/>
      <w:lvlJc w:val="left"/>
    </w:lvl>
    <w:lvl w:ilvl="5" w:tplc="0C3A8190">
      <w:numFmt w:val="decimal"/>
      <w:lvlText w:val=""/>
      <w:lvlJc w:val="left"/>
    </w:lvl>
    <w:lvl w:ilvl="6" w:tplc="EC0AD332">
      <w:numFmt w:val="decimal"/>
      <w:lvlText w:val=""/>
      <w:lvlJc w:val="left"/>
    </w:lvl>
    <w:lvl w:ilvl="7" w:tplc="A080D264">
      <w:numFmt w:val="decimal"/>
      <w:lvlText w:val=""/>
      <w:lvlJc w:val="left"/>
    </w:lvl>
    <w:lvl w:ilvl="8" w:tplc="E368B10A">
      <w:numFmt w:val="decimal"/>
      <w:lvlText w:val=""/>
      <w:lvlJc w:val="left"/>
    </w:lvl>
  </w:abstractNum>
  <w:abstractNum w:abstractNumId="5" w15:restartNumberingAfterBreak="0">
    <w:nsid w:val="305F704F"/>
    <w:multiLevelType w:val="hybridMultilevel"/>
    <w:tmpl w:val="CEEA72FC"/>
    <w:lvl w:ilvl="0" w:tplc="D098DBAE">
      <w:start w:val="1"/>
      <w:numFmt w:val="decimal"/>
      <w:lvlText w:val="%1."/>
      <w:lvlJc w:val="left"/>
      <w:pPr>
        <w:ind w:left="720" w:hanging="360"/>
      </w:pPr>
    </w:lvl>
    <w:lvl w:ilvl="1" w:tplc="491C4112">
      <w:numFmt w:val="decimal"/>
      <w:lvlText w:val=""/>
      <w:lvlJc w:val="left"/>
    </w:lvl>
    <w:lvl w:ilvl="2" w:tplc="E058165E">
      <w:numFmt w:val="decimal"/>
      <w:lvlText w:val=""/>
      <w:lvlJc w:val="left"/>
    </w:lvl>
    <w:lvl w:ilvl="3" w:tplc="53E863D2">
      <w:numFmt w:val="decimal"/>
      <w:lvlText w:val=""/>
      <w:lvlJc w:val="left"/>
    </w:lvl>
    <w:lvl w:ilvl="4" w:tplc="CEAAE18A">
      <w:numFmt w:val="decimal"/>
      <w:lvlText w:val=""/>
      <w:lvlJc w:val="left"/>
    </w:lvl>
    <w:lvl w:ilvl="5" w:tplc="1D4C40C8">
      <w:numFmt w:val="decimal"/>
      <w:lvlText w:val=""/>
      <w:lvlJc w:val="left"/>
    </w:lvl>
    <w:lvl w:ilvl="6" w:tplc="8BFCE028">
      <w:numFmt w:val="decimal"/>
      <w:lvlText w:val=""/>
      <w:lvlJc w:val="left"/>
    </w:lvl>
    <w:lvl w:ilvl="7" w:tplc="17E29198">
      <w:numFmt w:val="decimal"/>
      <w:lvlText w:val=""/>
      <w:lvlJc w:val="left"/>
    </w:lvl>
    <w:lvl w:ilvl="8" w:tplc="09B6F1F8">
      <w:numFmt w:val="decimal"/>
      <w:lvlText w:val=""/>
      <w:lvlJc w:val="left"/>
    </w:lvl>
  </w:abstractNum>
  <w:abstractNum w:abstractNumId="6" w15:restartNumberingAfterBreak="0">
    <w:nsid w:val="34753485"/>
    <w:multiLevelType w:val="hybridMultilevel"/>
    <w:tmpl w:val="2CB0A3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CD87302"/>
    <w:multiLevelType w:val="hybridMultilevel"/>
    <w:tmpl w:val="0C661580"/>
    <w:lvl w:ilvl="0" w:tplc="4A86593A">
      <w:start w:val="1"/>
      <w:numFmt w:val="bullet"/>
      <w:lvlText w:val="●"/>
      <w:lvlJc w:val="left"/>
      <w:pPr>
        <w:ind w:left="720" w:hanging="360"/>
      </w:pPr>
    </w:lvl>
    <w:lvl w:ilvl="1" w:tplc="76449A9E">
      <w:start w:val="1"/>
      <w:numFmt w:val="bullet"/>
      <w:lvlText w:val="○"/>
      <w:lvlJc w:val="left"/>
      <w:pPr>
        <w:ind w:left="1440" w:hanging="360"/>
      </w:pPr>
    </w:lvl>
    <w:lvl w:ilvl="2" w:tplc="135ACACE">
      <w:start w:val="1"/>
      <w:numFmt w:val="bullet"/>
      <w:lvlText w:val="■"/>
      <w:lvlJc w:val="left"/>
      <w:pPr>
        <w:ind w:left="2160" w:hanging="360"/>
      </w:pPr>
    </w:lvl>
    <w:lvl w:ilvl="3" w:tplc="D17E4A76">
      <w:start w:val="1"/>
      <w:numFmt w:val="bullet"/>
      <w:lvlText w:val="●"/>
      <w:lvlJc w:val="left"/>
      <w:pPr>
        <w:ind w:left="2880" w:hanging="360"/>
      </w:pPr>
    </w:lvl>
    <w:lvl w:ilvl="4" w:tplc="20048FBA">
      <w:start w:val="1"/>
      <w:numFmt w:val="bullet"/>
      <w:lvlText w:val="○"/>
      <w:lvlJc w:val="left"/>
      <w:pPr>
        <w:ind w:left="3600" w:hanging="360"/>
      </w:pPr>
    </w:lvl>
    <w:lvl w:ilvl="5" w:tplc="4B60FB88">
      <w:start w:val="1"/>
      <w:numFmt w:val="bullet"/>
      <w:lvlText w:val="■"/>
      <w:lvlJc w:val="left"/>
      <w:pPr>
        <w:ind w:left="4320" w:hanging="360"/>
      </w:pPr>
    </w:lvl>
    <w:lvl w:ilvl="6" w:tplc="577E0702">
      <w:start w:val="1"/>
      <w:numFmt w:val="bullet"/>
      <w:lvlText w:val="●"/>
      <w:lvlJc w:val="left"/>
      <w:pPr>
        <w:ind w:left="5040" w:hanging="360"/>
      </w:pPr>
    </w:lvl>
    <w:lvl w:ilvl="7" w:tplc="13841DEC">
      <w:start w:val="1"/>
      <w:numFmt w:val="bullet"/>
      <w:lvlText w:val="●"/>
      <w:lvlJc w:val="left"/>
      <w:pPr>
        <w:ind w:left="5760" w:hanging="360"/>
      </w:pPr>
    </w:lvl>
    <w:lvl w:ilvl="8" w:tplc="647C573C">
      <w:start w:val="1"/>
      <w:numFmt w:val="bullet"/>
      <w:lvlText w:val="●"/>
      <w:lvlJc w:val="left"/>
      <w:pPr>
        <w:ind w:left="6480" w:hanging="360"/>
      </w:pPr>
    </w:lvl>
  </w:abstractNum>
  <w:abstractNum w:abstractNumId="8" w15:restartNumberingAfterBreak="0">
    <w:nsid w:val="65D565E7"/>
    <w:multiLevelType w:val="hybridMultilevel"/>
    <w:tmpl w:val="5B66D32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59981496">
    <w:abstractNumId w:val="7"/>
    <w:lvlOverride w:ilvl="0">
      <w:startOverride w:val="1"/>
    </w:lvlOverride>
  </w:num>
  <w:num w:numId="2" w16cid:durableId="1068843659">
    <w:abstractNumId w:val="0"/>
    <w:lvlOverride w:ilvl="0">
      <w:startOverride w:val="1"/>
    </w:lvlOverride>
  </w:num>
  <w:num w:numId="3" w16cid:durableId="831721548">
    <w:abstractNumId w:val="3"/>
    <w:lvlOverride w:ilvl="0">
      <w:startOverride w:val="1"/>
    </w:lvlOverride>
  </w:num>
  <w:num w:numId="4" w16cid:durableId="810098766">
    <w:abstractNumId w:val="2"/>
    <w:lvlOverride w:ilvl="0">
      <w:startOverride w:val="1"/>
    </w:lvlOverride>
  </w:num>
  <w:num w:numId="5" w16cid:durableId="970328704">
    <w:abstractNumId w:val="5"/>
    <w:lvlOverride w:ilvl="0">
      <w:startOverride w:val="1"/>
    </w:lvlOverride>
  </w:num>
  <w:num w:numId="6" w16cid:durableId="2109763844">
    <w:abstractNumId w:val="8"/>
  </w:num>
  <w:num w:numId="7" w16cid:durableId="5786999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48C8"/>
    <w:rsid w:val="000901E7"/>
    <w:rsid w:val="000C421B"/>
    <w:rsid w:val="001E597C"/>
    <w:rsid w:val="003A20B4"/>
    <w:rsid w:val="004967A0"/>
    <w:rsid w:val="00615C00"/>
    <w:rsid w:val="006E5EDE"/>
    <w:rsid w:val="007C30A9"/>
    <w:rsid w:val="009C3532"/>
    <w:rsid w:val="00A04BB8"/>
    <w:rsid w:val="00A248C8"/>
    <w:rsid w:val="00C41B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69E94"/>
  <w15:docId w15:val="{19833009-8017-43A4-ADD2-42C110019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120" w:after="240"/>
      <w:outlineLvl w:val="0"/>
    </w:pPr>
    <w:rPr>
      <w:b/>
      <w:bCs/>
      <w:color w:val="1F3864"/>
      <w:sz w:val="34"/>
      <w:szCs w:val="34"/>
    </w:rPr>
  </w:style>
  <w:style w:type="paragraph" w:styleId="Heading2">
    <w:name w:val="heading 2"/>
    <w:link w:val="Heading2Char"/>
    <w:uiPriority w:val="9"/>
    <w:unhideWhenUsed/>
    <w:qFormat/>
    <w:pPr>
      <w:spacing w:before="280" w:after="120"/>
      <w:outlineLvl w:val="1"/>
    </w:pPr>
    <w:rPr>
      <w:b/>
      <w:bCs/>
      <w:color w:val="2F5496"/>
      <w:sz w:val="27"/>
      <w:szCs w:val="27"/>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6E5EDE"/>
    <w:rPr>
      <w:b/>
      <w:bCs/>
      <w:color w:val="1F3864"/>
      <w:sz w:val="34"/>
      <w:szCs w:val="34"/>
    </w:rPr>
  </w:style>
  <w:style w:type="character" w:customStyle="1" w:styleId="Heading2Char">
    <w:name w:val="Heading 2 Char"/>
    <w:basedOn w:val="DefaultParagraphFont"/>
    <w:link w:val="Heading2"/>
    <w:uiPriority w:val="9"/>
    <w:rsid w:val="006E5EDE"/>
    <w:rPr>
      <w:b/>
      <w:bCs/>
      <w:color w:val="2F5496"/>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TotalTime>
  <Pages>24</Pages>
  <Words>7613</Words>
  <Characters>42642</Characters>
  <Application>Microsoft Office Word</Application>
  <DocSecurity>0</DocSecurity>
  <Lines>644</Lines>
  <Paragraphs>219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Rishi Verma</cp:lastModifiedBy>
  <cp:revision>5</cp:revision>
  <dcterms:created xsi:type="dcterms:W3CDTF">2026-10-01T18:16:00Z</dcterms:created>
  <dcterms:modified xsi:type="dcterms:W3CDTF">2026-10-02T18:47:00Z</dcterms:modified>
</cp:coreProperties>
</file>