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Times New Roman" w:cs="Times New Roman" w:eastAsia="Times New Roman" w:hAnsi="Times New Roman"/>
          <w:b/>
          <w:bCs/>
          <w:sz w:val="48"/>
          <w:szCs w:val="48"/>
        </w:rPr>
        <w:t xml:space="preserve">Passive Colorimetric H₂S Dosimeter</w:t>
      </w:r>
    </w:p>
    <w:p>
      <w:pPr>
        <w:spacing w:after="500"/>
        <w:jc w:val="center"/>
      </w:pPr>
      <w:r>
        <w:rPr>
          <w:rFonts w:ascii="Times New Roman" w:cs="Times New Roman" w:eastAsia="Times New Roman" w:hAnsi="Times New Roman"/>
          <w:sz w:val="30"/>
          <w:szCs w:val="30"/>
        </w:rPr>
        <w:t xml:space="preserve">A Battery-Free Wearable with Computer-Vision Dose Readout</w:t>
      </w:r>
    </w:p>
    <w:p>
      <w:pPr>
        <w:spacing w:after="200"/>
        <w:jc w:val="center"/>
      </w:pPr>
      <w:r>
        <w:rPr>
          <w:rFonts w:ascii="Times New Roman" w:cs="Times New Roman" w:eastAsia="Times New Roman" w:hAnsi="Times New Roman"/>
          <w:sz w:val="26"/>
          <w:szCs w:val="26"/>
        </w:rPr>
        <w:t xml:space="preserve">Technical White Paper — SIH26118</w:t>
      </w:r>
    </w:p>
    <w:p>
      <w:pPr>
        <w:spacing w:after="900"/>
        <w:jc w:val="center"/>
      </w:pPr>
      <w:r>
        <w:rPr>
          <w:rFonts w:ascii="Times New Roman" w:cs="Times New Roman" w:eastAsia="Times New Roman" w:hAnsi="Times New Roman"/>
          <w:i/>
          <w:iCs/>
          <w:sz w:val="24"/>
          <w:szCs w:val="24"/>
        </w:rPr>
        <w:t xml:space="preserve">Abstract and Chapters 1–6</w:t>
      </w:r>
    </w:p>
    <w:p>
      <w:pPr>
        <w:pStyle w:val="Heading2"/>
      </w:pPr>
      <w:r>
        <w:rPr>
          <w:rFonts w:ascii="Times New Roman" w:cs="Times New Roman" w:eastAsia="Times New Roman" w:hAnsi="Times New Roman"/>
        </w:rPr>
        <w:t xml:space="preserve">Contents</w:t>
      </w:r>
    </w:p>
    <w:p>
      <w:pPr>
        <w:spacing w:after="80"/>
      </w:pPr>
      <w:r>
        <w:rPr>
          <w:rFonts w:ascii="Times New Roman" w:cs="Times New Roman" w:eastAsia="Times New Roman" w:hAnsi="Times New Roman"/>
        </w:rPr>
        <w:t xml:space="preserve">Abstract</w:t>
      </w:r>
    </w:p>
    <w:p>
      <w:pPr>
        <w:spacing w:after="80"/>
      </w:pPr>
      <w:r>
        <w:rPr>
          <w:rFonts w:ascii="Times New Roman" w:cs="Times New Roman" w:eastAsia="Times New Roman" w:hAnsi="Times New Roman"/>
        </w:rPr>
        <w:t xml:space="preserve">1. Hardware Architecture and Physical Design</w:t>
      </w:r>
    </w:p>
    <w:p>
      <w:pPr>
        <w:spacing w:after="80"/>
      </w:pPr>
      <w:r>
        <w:rPr>
          <w:rFonts w:ascii="Times New Roman" w:cs="Times New Roman" w:eastAsia="Times New Roman" w:hAnsi="Times New Roman"/>
        </w:rPr>
        <w:t xml:space="preserve">2. Chemical Substrate Engineering</w:t>
      </w:r>
    </w:p>
    <w:p>
      <w:pPr>
        <w:spacing w:after="80"/>
      </w:pPr>
      <w:r>
        <w:rPr>
          <w:rFonts w:ascii="Times New Roman" w:cs="Times New Roman" w:eastAsia="Times New Roman" w:hAnsi="Times New Roman"/>
        </w:rPr>
        <w:t xml:space="preserve">3. Digital and Computer Vision Pipeline</w:t>
      </w:r>
    </w:p>
    <w:p>
      <w:pPr>
        <w:spacing w:after="80"/>
      </w:pPr>
      <w:r>
        <w:rPr>
          <w:rFonts w:ascii="Times New Roman" w:cs="Times New Roman" w:eastAsia="Times New Roman" w:hAnsi="Times New Roman"/>
        </w:rPr>
        <w:t xml:space="preserve">4. Spectrophotometric Ground-Truth Calibration</w:t>
      </w:r>
    </w:p>
    <w:p>
      <w:pPr>
        <w:spacing w:after="80"/>
      </w:pPr>
      <w:r>
        <w:rPr>
          <w:rFonts w:ascii="Times New Roman" w:cs="Times New Roman" w:eastAsia="Times New Roman" w:hAnsi="Times New Roman"/>
        </w:rPr>
        <w:t xml:space="preserve">5. The Circular Economy Loop</w:t>
      </w:r>
    </w:p>
    <w:p>
      <w:pPr>
        <w:spacing w:after="80"/>
      </w:pPr>
      <w:r>
        <w:rPr>
          <w:rFonts w:ascii="Times New Roman" w:cs="Times New Roman" w:eastAsia="Times New Roman" w:hAnsi="Times New Roman"/>
        </w:rPr>
        <w:t xml:space="preserve">6. Target Users, Scalability, and Future Scope</w:t>
      </w:r>
    </w:p>
    <w:p>
      <w:pPr>
        <w:pStyle w:val="Heading1"/>
        <w:pageBreakBefore/>
      </w:pPr>
      <w:r>
        <w:rPr>
          <w:rFonts w:ascii="Times New Roman" w:cs="Times New Roman" w:eastAsia="Times New Roman" w:hAnsi="Times New Roman"/>
        </w:rPr>
        <w:t xml:space="preserve">Abstract</w:t>
      </w:r>
    </w:p>
    <w:p>
      <w:pPr>
        <w:pStyle w:val="Heading2"/>
      </w:pPr>
      <w:r>
        <w:rPr>
          <w:rFonts w:ascii="Times New Roman" w:cs="Times New Roman" w:eastAsia="Times New Roman" w:hAnsi="Times New Roman"/>
        </w:rPr>
        <w:t xml:space="preserve">Background and Motivation</w:t>
      </w:r>
    </w:p>
    <w:p>
      <w:pPr>
        <w:spacing w:after="140" w:line="276"/>
        <w:jc w:val="both"/>
      </w:pPr>
      <w:r>
        <w:rPr>
          <w:rFonts w:ascii="Times New Roman" w:cs="Times New Roman" w:eastAsia="Times New Roman" w:hAnsi="Times New Roman"/>
        </w:rPr>
        <w:t xml:space="preserve">Hydrogen sulfide (H₂S) is among the most dangerous gases encountered at work. It is a routine hazard in oil refineries, sewers, wastewater and biogas plants, mines, tanneries and paper mills. At higher concentrations it causes olfactory fatigue, so the natural odour warning disappears as the danger grows.</w:t>
      </w:r>
    </w:p>
    <w:p>
      <w:pPr>
        <w:spacing w:after="140" w:line="276"/>
        <w:jc w:val="both"/>
      </w:pPr>
      <w:r>
        <w:rPr>
          <w:rFonts w:ascii="Times New Roman" w:cs="Times New Roman" w:eastAsia="Times New Roman" w:hAnsi="Times New Roman"/>
        </w:rPr>
        <w:t xml:space="preserve">The problem is sharpest in refinery sour-service areas classified as ATEX or PESO Zone 0, where an explosive atmosphere is present continuously or for long periods. Electronic detectors there are prohibited or need costly intrinsic-safety certification. Even certified units depend on batteries and periodic calibration, so they are purchased in small numbers and shared. A reading then describes whoever last carried the instrument and not each worker exposed, and contract crews are frequently left unprotected. Existing passive colorimetric badges avoid these constraints, but the wearer must judge a colour change by eye against a printed ladder, which varies with observer and lighting and leaves no digital record.</w:t>
      </w:r>
    </w:p>
    <w:p>
      <w:pPr>
        <w:pStyle w:val="Heading2"/>
      </w:pPr>
      <w:r>
        <w:rPr>
          <w:rFonts w:ascii="Times New Roman" w:cs="Times New Roman" w:eastAsia="Times New Roman" w:hAnsi="Times New Roman"/>
        </w:rPr>
        <w:t xml:space="preserve">Proposed Solution</w:t>
      </w:r>
    </w:p>
    <w:p>
      <w:pPr>
        <w:spacing w:after="140" w:line="276"/>
        <w:jc w:val="both"/>
      </w:pPr>
      <w:r>
        <w:rPr>
          <w:rFonts w:ascii="Times New Roman" w:cs="Times New Roman" w:eastAsia="Times New Roman" w:hAnsi="Times New Roman"/>
        </w:rPr>
        <w:t xml:space="preserve">This paper presents an intrinsically safe, battery-free wristband dosimeter coupled to an offline smartphone quantification application. The badge contains no battery, circuitry or radio, and therefore no electrical ignition source. It reports cumulative exposure and not only an instantaneous alarm. It complements electronic peak detectors, which remain the right tool for acute spikes, and extends coverage to workers who are currently unmeasured.</w:t>
      </w:r>
    </w:p>
    <w:p>
      <w:pPr>
        <w:spacing w:after="140" w:line="276"/>
        <w:jc w:val="both"/>
      </w:pPr>
      <w:r>
        <w:rPr>
          <w:rFonts w:ascii="Times New Roman" w:cs="Times New Roman" w:eastAsia="Times New Roman" w:hAnsi="Times New Roman"/>
        </w:rPr>
        <w:t xml:space="preserve">The solution combines five elements: a diffusion-controlled, tool-free refillable badge; a copper(II) sulfate sensing chemistry that replaces lead acetate; built-in expiry indicators that confirm the strip is chemically valid before use; a computer-vision application that converts a photograph of the badge into a temperature-corrected dose and refuses to guess when data quality is poor; and a multi-worker mapping function that turns individual readings into an area map of higher H₂S concentration.</w:t>
      </w:r>
    </w:p>
    <w:p>
      <w:pPr>
        <w:pStyle w:val="Heading2"/>
      </w:pPr>
      <w:r>
        <w:rPr>
          <w:rFonts w:ascii="Times New Roman" w:cs="Times New Roman" w:eastAsia="Times New Roman" w:hAnsi="Times New Roman"/>
        </w:rPr>
        <w:t xml:space="preserve">Hardware and Gas Transport</w:t>
      </w:r>
    </w:p>
    <w:p>
      <w:pPr>
        <w:spacing w:after="140" w:line="276"/>
        <w:jc w:val="both"/>
      </w:pPr>
      <w:r>
        <w:rPr>
          <w:rFonts w:ascii="Times New Roman" w:cs="Times New Roman" w:eastAsia="Times New Roman" w:hAnsi="Times New Roman"/>
        </w:rPr>
        <w:t xml:space="preserve">The badge is a flat 30 × 40 mm unit worn on a strap. A 10 × 20 mm central window exposes the sensing paper. Four 8 × 8 mm ArUco fiducial markers (DICT_4X4_50) occupy the corners to maximise the geometric baseline, and twelve 4 × 4 mm reference colour patches surround the window. The stack comprises a hollow upper lid, an ePTFE membrane, a diamond-mesh lower lid, the treated paper, and a base case with strap rods. Both lids open on a single hinge pin, so a worker can replace the membrane and paper in seconds without tools. The body is specified in medical-grade silicone, with conductive filler and surface-resistance testing before Zone 0 deployment to control static charge.</w:t>
      </w:r>
    </w:p>
    <w:p>
      <w:pPr>
        <w:spacing w:after="140" w:line="276"/>
        <w:jc w:val="both"/>
      </w:pPr>
      <w:r>
        <w:rPr>
          <w:rFonts w:ascii="Times New Roman" w:cs="Times New Roman" w:eastAsia="Times New Roman" w:hAnsi="Times New Roman"/>
        </w:rPr>
        <w:t xml:space="preserve">Analyte reaches the paper only through an expanded PTFE membrane with a nominal pore size of 0.2 µm. Hydrogen sulfide molecules are more than two orders of magnitude smaller than these pores and diffuse through freely, whereas liquid water, sweat and particulates are excluded by pore size and the polymer's low surface energy. Transport follows Fick's first law, and because the copper reaction consumes arriving gas almost instantly, the paper acts as a near-perfect sink, so captured mass is proportional to the exposure integral in ppm·hr.</w:t>
      </w:r>
    </w:p>
    <w:p>
      <w:pPr>
        <w:pStyle w:val="Heading2"/>
      </w:pPr>
      <w:r>
        <w:rPr>
          <w:rFonts w:ascii="Times New Roman" w:cs="Times New Roman" w:eastAsia="Times New Roman" w:hAnsi="Times New Roman"/>
        </w:rPr>
        <w:t xml:space="preserve">Chemical Substrate</w:t>
      </w:r>
    </w:p>
    <w:p>
      <w:pPr>
        <w:spacing w:after="140" w:line="276"/>
        <w:jc w:val="both"/>
      </w:pPr>
      <w:r>
        <w:rPr>
          <w:rFonts w:ascii="Times New Roman" w:cs="Times New Roman" w:eastAsia="Times New Roman" w:hAnsi="Times New Roman"/>
        </w:rPr>
        <w:t xml:space="preserve">The sensing element is Whatman Grade 1 cellulose, chosen for its uniform pore structure and even capillary saturation. It is impregnated with copper(II) sulfate pentahydrate, which replaces classical lead acetate and so removes a neurotoxic heavy metal and its hazardous-waste burden. On exposure, hydrogen sulfide dissolves in the moist film and precipitates copper(II) sulfide:</w:t>
      </w:r>
    </w:p>
    <w:p>
      <w:pPr>
        <w:spacing w:after="160" w:before="80"/>
        <w:jc w:val="center"/>
      </w:pPr>
      <w:r>
        <w:rPr>
          <w:rFonts w:ascii="Times New Roman" w:cs="Times New Roman" w:eastAsia="Times New Roman" w:hAnsi="Times New Roman"/>
          <w:i/>
          <w:iCs/>
        </w:rPr>
        <w:t xml:space="preserve">CuSO₄ + H₂S → CuS↓ + H₂SO₄</w:t>
      </w:r>
    </w:p>
    <w:p>
      <w:pPr>
        <w:spacing w:after="140" w:line="276"/>
        <w:jc w:val="both"/>
      </w:pPr>
      <w:r>
        <w:rPr>
          <w:rFonts w:ascii="Times New Roman" w:cs="Times New Roman" w:eastAsia="Times New Roman" w:hAnsi="Times New Roman"/>
        </w:rPr>
        <w:t xml:space="preserve">Copper sulfide is extremely insoluble, dark and strongly absorbing, so the reaction goes to completion and does not reverse in the field. The pad's darkness therefore records cumulative dose, which makes the badge a dosimeter and not a transient detector. Glycerol at 5% acts as a non-volatile humectant, a "moist trap" that maintains a thin hydration layer across dry and humid conditions. Dilute acid conditions the solution to about pH 4, suppressing hydroxide formation and slow oxidation so that the unexposed baseline stays reliable.</w:t>
      </w:r>
    </w:p>
    <w:p>
      <w:pPr>
        <w:pStyle w:val="Heading2"/>
      </w:pPr>
      <w:r>
        <w:rPr>
          <w:rFonts w:ascii="Times New Roman" w:cs="Times New Roman" w:eastAsia="Times New Roman" w:hAnsi="Times New Roman"/>
        </w:rPr>
        <w:t xml:space="preserve">Expiry Indicators and Disposability</w:t>
      </w:r>
    </w:p>
    <w:p>
      <w:pPr>
        <w:spacing w:after="140" w:line="276"/>
        <w:jc w:val="both"/>
      </w:pPr>
      <w:r>
        <w:rPr>
          <w:rFonts w:ascii="Times New Roman" w:cs="Times New Roman" w:eastAsia="Times New Roman" w:hAnsi="Times New Roman"/>
        </w:rPr>
        <w:t xml:space="preserve">Each band carries a built-in expiry indicator so that a strip is known to be chemically valid before it is worn. Cobalt chloride detects moisture: it is blue when dry and pink when hydrated, revealing a strip exposed to humid air. Bromocresol green detects acid: it is yellow in acidic conditions and blue near neutral, revealing a strip whose acid conditioning has drifted. A strip showing the expected colours is fit for use; any other colour means it should be discarded. The band and its consumables are designed for easy disposal and contain no lead; spent paper can alternatively return to the regeneration loop below.</w:t>
      </w:r>
    </w:p>
    <w:p>
      <w:pPr>
        <w:pStyle w:val="Heading2"/>
      </w:pPr>
      <w:r>
        <w:rPr>
          <w:rFonts w:ascii="Times New Roman" w:cs="Times New Roman" w:eastAsia="Times New Roman" w:hAnsi="Times New Roman"/>
        </w:rPr>
        <w:t xml:space="preserve">Computer Vision Pipeline</w:t>
      </w:r>
    </w:p>
    <w:p>
      <w:pPr>
        <w:spacing w:after="140" w:line="276"/>
        <w:jc w:val="both"/>
      </w:pPr>
      <w:r>
        <w:rPr>
          <w:rFonts w:ascii="Times New Roman" w:cs="Times New Roman" w:eastAsia="Times New Roman" w:hAnsi="Times New Roman"/>
        </w:rPr>
        <w:t xml:space="preserve">Quantification is performed by a native Kotlin Android application using the OpenCV 4.x Java wrapper. All image processing runs locally on the phone, and no photographs are sent to a server. Four decoupled stages follow a fail-loudly rule: if any quality gate fails, the app refuses to output a reading and tells the operator what to correct.</w:t>
      </w:r>
    </w:p>
    <w:p>
      <w:pPr>
        <w:spacing w:after="140" w:line="276"/>
        <w:jc w:val="both"/>
      </w:pPr>
      <w:r>
        <w:rPr>
          <w:rFonts w:ascii="Times New Roman" w:cs="Times New Roman" w:eastAsia="Times New Roman" w:hAnsi="Times New Roman"/>
        </w:rPr>
        <w:t xml:space="preserve">Rectification locates all four ArUco fiducials to sub-pixel accuracy, solves a planar homography from the known millimetre geometry of the badge, and warps the frame into a canonical front-on view; reprojection error is the first gate. Sampling averages each reference patch and the sensing pad with a 20% trimmed mean on linearised pixel values, so specular glare and hot pixels fall in the discarded tails. Normalization applies a quadratic flat-field model for uneven lighting and a ridge-regularised, root-polynomial colour correction matrix that maps camera colours to sRGB using the twelve patches as targets, with a leave-one-out residual gate. This stage is classical regression, not machine learning, and is therefore auditable.</w:t>
      </w:r>
    </w:p>
    <w:p>
      <w:pPr>
        <w:spacing w:after="140" w:line="276"/>
        <w:jc w:val="both"/>
      </w:pPr>
      <w:r>
        <w:rPr>
          <w:rFonts w:ascii="Times New Roman" w:cs="Times New Roman" w:eastAsia="Times New Roman" w:hAnsi="Times New Roman"/>
        </w:rPr>
        <w:t xml:space="preserve">Dosimetry converts the corrected colour to CIELAB. The lightness change ΔL*, referenced to the unexposed substrate patches in the same frame, is the primary observable. It is signed, which lets brightening artefacts be distinguished from true darkening, whereas CIEDE2000 merges lightness, chroma and hue into one scalar. Chroma and hue are retained as secondary information so that unexpected colour trajectories are flagged and not converted into dose. The choice of ΔL* is provisional pending ground-truth testing.</w:t>
      </w:r>
    </w:p>
    <w:p>
      <w:pPr>
        <w:pStyle w:val="Heading2"/>
      </w:pPr>
      <w:r>
        <w:rPr>
          <w:rFonts w:ascii="Times New Roman" w:cs="Times New Roman" w:eastAsia="Times New Roman" w:hAnsi="Times New Roman"/>
        </w:rPr>
        <w:t xml:space="preserve">Temperature Compensation</w:t>
      </w:r>
    </w:p>
    <w:p>
      <w:pPr>
        <w:spacing w:after="140" w:line="276"/>
        <w:jc w:val="both"/>
      </w:pPr>
      <w:r>
        <w:rPr>
          <w:rFonts w:ascii="Times New Roman" w:cs="Times New Roman" w:eastAsia="Times New Roman" w:hAnsi="Times New Roman"/>
        </w:rPr>
        <w:t xml:space="preserve">Temperature changes gas diffusivity, reaction conditions and the water held by the humectant film, so the same dose can darken the pad slightly differently at different temperatures. The application therefore uses temperature data from the surroundings to account for temperature-based disturbances. A correction term, normalised to the calibration temperature, is applied to the dose estimate, with its form set by chamber data collected at several temperatures.</w:t>
      </w:r>
    </w:p>
    <w:p>
      <w:pPr>
        <w:pStyle w:val="Heading2"/>
      </w:pPr>
      <w:r>
        <w:rPr>
          <w:rFonts w:ascii="Times New Roman" w:cs="Times New Roman" w:eastAsia="Times New Roman" w:hAnsi="Times New Roman"/>
        </w:rPr>
        <w:t xml:space="preserve">Calibration Strategy</w:t>
      </w:r>
    </w:p>
    <w:p>
      <w:pPr>
        <w:spacing w:after="140" w:line="276"/>
        <w:jc w:val="both"/>
      </w:pPr>
      <w:r>
        <w:rPr>
          <w:rFonts w:ascii="Times New Roman" w:cs="Times New Roman" w:eastAsia="Times New Roman" w:hAnsi="Times New Roman"/>
        </w:rPr>
        <w:t xml:space="preserve">The dose model is currently provisional. Calibration will use a sealed acrylic exposure chamber supplied with certified hydrogen sulfide, with an independent reference analyser recording true concentration. The test matrix will span roughly 1 to 50 ppm, several humidity and temperature levels, and concentration–time combinations that test whether response depends on their product alone. Exposed pads will be measured on a UV-Vis spectrophotometer, with the Kubelka–Munk function linearising reflectance. These measurements will be linked to the phone-derived ΔL* and fitted to dose with a low-order polynomial, with cross-validation, monotonicity checks and prediction intervals. Only the Kotlin configuration data changes when real coefficients replace the placeholders.</w:t>
      </w:r>
    </w:p>
    <w:p>
      <w:pPr>
        <w:pStyle w:val="Heading2"/>
      </w:pPr>
      <w:r>
        <w:rPr>
          <w:rFonts w:ascii="Times New Roman" w:cs="Times New Roman" w:eastAsia="Times New Roman" w:hAnsi="Times New Roman"/>
        </w:rPr>
        <w:t xml:space="preserve">Exposure Reporting and Short-Term Limits</w:t>
      </w:r>
    </w:p>
    <w:p>
      <w:pPr>
        <w:spacing w:after="140" w:line="276"/>
        <w:jc w:val="both"/>
      </w:pPr>
      <w:r>
        <w:rPr>
          <w:rFonts w:ascii="Times New Roman" w:cs="Times New Roman" w:eastAsia="Times New Roman" w:hAnsi="Times New Roman"/>
        </w:rPr>
        <w:t xml:space="preserve">The app reports cumulative dose in ppm·hr and the 8-hour time-weighted average, with thresholds configurable to the applicable ACGIH, OSHA or NIOSH reference. A single end-of-shift scan cannot show whether a dose arose from steady low exposure or one brief peak, so the short-term exposure limit is declared undeterminable in that case. Series scanning at entry, mid-shift and exit divides the shift into intervals of known dose, and any 15-minute window within an interval cannot exceed that interval's dose divided by a quarter hour. Where this bound falls below the limit, compliance is demonstrated; otherwise the result is reported as indeterminate and not as a breach.</w:t>
      </w:r>
    </w:p>
    <w:p>
      <w:pPr>
        <w:pStyle w:val="Heading2"/>
      </w:pPr>
      <w:r>
        <w:rPr>
          <w:rFonts w:ascii="Times New Roman" w:cs="Times New Roman" w:eastAsia="Times New Roman" w:hAnsi="Times New Roman"/>
        </w:rPr>
        <w:t xml:space="preserve">Multi-Worker Exposure Mapping</w:t>
      </w:r>
    </w:p>
    <w:p>
      <w:pPr>
        <w:spacing w:after="140" w:line="276"/>
        <w:jc w:val="both"/>
      </w:pPr>
      <w:r>
        <w:rPr>
          <w:rFonts w:ascii="Times New Roman" w:cs="Times New Roman" w:eastAsia="Times New Roman" w:hAnsi="Times New Roman"/>
        </w:rPr>
        <w:t xml:space="preserve">Because every worker carries a badge, the application combines many personal readings into a picture of the site. It calibrates results from different workers against one another so that they share a common scale, and uses them to generate a map highlighting areas with higher H₂S concentration. Its detail is limited by scan frequency.</w:t>
      </w:r>
    </w:p>
    <w:p>
      <w:pPr>
        <w:pStyle w:val="Heading2"/>
      </w:pPr>
      <w:r>
        <w:rPr>
          <w:rFonts w:ascii="Times New Roman" w:cs="Times New Roman" w:eastAsia="Times New Roman" w:hAnsi="Times New Roman"/>
        </w:rPr>
        <w:t xml:space="preserve">Circular Economy</w:t>
      </w:r>
    </w:p>
    <w:p>
      <w:pPr>
        <w:spacing w:after="140" w:line="276"/>
        <w:jc w:val="both"/>
      </w:pPr>
      <w:r>
        <w:rPr>
          <w:rFonts w:ascii="Times New Roman" w:cs="Times New Roman" w:eastAsia="Times New Roman" w:hAnsi="Times New Roman"/>
        </w:rPr>
        <w:t xml:space="preserve">After the final scan, spent paper strips can be placed in a corrosion-resistant bath of 30% w/w hydrogen peroxide, which oxidises the sulfide fully to sulfate:</w:t>
      </w:r>
    </w:p>
    <w:p>
      <w:pPr>
        <w:spacing w:after="160" w:before="80"/>
        <w:jc w:val="center"/>
      </w:pPr>
      <w:r>
        <w:rPr>
          <w:rFonts w:ascii="Times New Roman" w:cs="Times New Roman" w:eastAsia="Times New Roman" w:hAnsi="Times New Roman"/>
          <w:i/>
          <w:iCs/>
        </w:rPr>
        <w:t xml:space="preserve">CuS + 4H₂O₂ → CuSO₄ + 4H₂O</w:t>
      </w:r>
    </w:p>
    <w:p>
      <w:pPr>
        <w:spacing w:after="140" w:line="276"/>
        <w:jc w:val="both"/>
      </w:pPr>
      <w:r>
        <w:rPr>
          <w:rFonts w:ascii="Times New Roman" w:cs="Times New Roman" w:eastAsia="Times New Roman" w:hAnsi="Times New Roman"/>
        </w:rPr>
        <w:t xml:space="preserve">The black pads bleach back to pale blue, and the principal reaction yields only dissolved copper sulfate and water. Peroxide decomposition, incomplete oxidation and cellulose damage need practical controls. The recovered solution is analysed, topped up, re-spiked with glycerol and acid, and used to impregnate fresh strips.</w:t>
      </w:r>
    </w:p>
    <w:p>
      <w:pPr>
        <w:pStyle w:val="Heading2"/>
      </w:pPr>
      <w:r>
        <w:rPr>
          <w:rFonts w:ascii="Times New Roman" w:cs="Times New Roman" w:eastAsia="Times New Roman" w:hAnsi="Times New Roman"/>
        </w:rPr>
        <w:t xml:space="preserve">Impact and Outlook</w:t>
      </w:r>
    </w:p>
    <w:p>
      <w:pPr>
        <w:spacing w:after="140" w:line="276"/>
        <w:jc w:val="both"/>
      </w:pPr>
      <w:r>
        <w:rPr>
          <w:rFonts w:ascii="Times New Roman" w:cs="Times New Roman" w:eastAsia="Times New Roman" w:hAnsi="Times New Roman"/>
        </w:rPr>
        <w:t xml:space="preserve">Because consumables are inexpensive and the badge needs no charging or calibration hardware, one badge per worker becomes feasible, including for temporary staff. Every scan produces a time-stamped personal exposure record. Planned extensions include per-worker exposure-history logging and threshold warnings pushed to safety officers' dashboards. Chamber calibration is the key milestone before measured accuracy can be claimed.</w:t>
      </w:r>
    </w:p>
    <w:p>
      <w:pPr>
        <w:spacing w:after="140" w:line="276"/>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hydrogen sulfide, passive dosimeter, ATEX Zone 0, colorimetry, CIELAB, computer vision, expiry indicator, temperature compensation, exposure mapping, circular economy</w:t>
      </w:r>
    </w:p>
    <w:p>
      <w:pPr>
        <w:pStyle w:val="Heading1"/>
        <w:pageBreakBefore/>
      </w:pPr>
      <w:r>
        <w:rPr>
          <w:rFonts w:ascii="Times New Roman" w:cs="Times New Roman" w:eastAsia="Times New Roman" w:hAnsi="Times New Roman"/>
        </w:rPr>
        <w:t xml:space="preserve">Chapter 1: Hardware Architecture and Physical Design</w:t>
      </w:r>
    </w:p>
    <w:p>
      <w:pPr>
        <w:pStyle w:val="Heading2"/>
      </w:pPr>
      <w:r>
        <w:rPr>
          <w:rFonts w:ascii="Times New Roman" w:cs="Times New Roman" w:eastAsia="Times New Roman" w:hAnsi="Times New Roman"/>
        </w:rPr>
        <w:t xml:space="preserve">1.1 Intrinsic Safety in Zone 0 Environments</w:t>
      </w:r>
    </w:p>
    <w:p>
      <w:pPr>
        <w:spacing w:after="140" w:line="276"/>
        <w:jc w:val="both"/>
      </w:pPr>
      <w:r>
        <w:rPr>
          <w:rFonts w:ascii="Times New Roman" w:cs="Times New Roman" w:eastAsia="Times New Roman" w:hAnsi="Times New Roman"/>
        </w:rPr>
        <w:t xml:space="preserve">Hydrogen sulfide is acutely toxic, causes olfactory fatigue at elevated concentrations, and often coexists with flammable hydrocarbon vapours. In ATEX Zone 0 and equivalent PESO-classified areas, an explosive atmosphere is present continuously or for long periods, so any ignition source, whether spark, hot surface or electrostatic discharge, is unacceptable. Electronic dosimeters must carry Ex ia intrinsic-safety certification, which limits stored energy, raises unit cost, and still demands batteries and periodic calibration.</w:t>
      </w:r>
    </w:p>
    <w:p>
      <w:pPr>
        <w:spacing w:after="140" w:line="276"/>
        <w:jc w:val="both"/>
      </w:pPr>
      <w:r>
        <w:rPr>
          <w:rFonts w:ascii="Times New Roman" w:cs="Times New Roman" w:eastAsia="Times New Roman" w:hAnsi="Times New Roman"/>
        </w:rPr>
        <w:t xml:space="preserve">The present design pursues inherent safety through elimination rather than mitigation. With no battery, circuitry or radio, the badge holds no electrical energy capable of igniting a mixture. All computation is displaced to a smartphone used in a safe area, such as an entry or exit kiosk. The compliance argument thus shifts from certifying energy-limited circuits to demonstrating the absence of ignition mechanisms, namely non-metallic construction and controlled electrostatic behaviour.</w:t>
      </w:r>
    </w:p>
    <w:p>
      <w:pPr>
        <w:pStyle w:val="Heading2"/>
      </w:pPr>
      <w:r>
        <w:rPr>
          <w:rFonts w:ascii="Times New Roman" w:cs="Times New Roman" w:eastAsia="Times New Roman" w:hAnsi="Times New Roman"/>
        </w:rPr>
        <w:t xml:space="preserve">1.2 Material Science of the Chassis</w:t>
      </w:r>
    </w:p>
    <w:p>
      <w:pPr>
        <w:spacing w:after="140" w:line="276"/>
        <w:jc w:val="both"/>
      </w:pPr>
      <w:r>
        <w:rPr>
          <w:rFonts w:ascii="Times New Roman" w:cs="Times New Roman" w:eastAsia="Times New Roman" w:hAnsi="Times New Roman"/>
        </w:rPr>
        <w:t xml:space="preserve">The chassis is specified in medical-grade silicone elastomer, a polydimethylsiloxane network whose Si–O backbone resists ozone, ultraviolet radiation and thermal cycling. A Shore A hardness of 50–70 balances wearer comfort against the dimensional stability needed by the hinge and strap-rod features. Because additive manufacturing of silicone is still maturing, the 3D-printed element may serve as master geometry or mould from which parts are cast, preserving rapid design iteration.</w:t>
      </w:r>
    </w:p>
    <w:p>
      <w:pPr>
        <w:spacing w:after="140" w:line="276"/>
        <w:jc w:val="both"/>
      </w:pPr>
      <w:r>
        <w:rPr>
          <w:rFonts w:ascii="Times New Roman" w:cs="Times New Roman" w:eastAsia="Times New Roman" w:hAnsi="Times New Roman"/>
        </w:rPr>
        <w:t xml:space="preserve">Two limitations require verification. Silicone swells moderately in aromatic hydrocarbons, so exposure should be limited and the consumables treated as disposable. Unfilled silicone is also a strong insulator that can accumulate charge, so conductive filler loading should achieve a surface resistance below the 10⁹ Ω threshold commonly cited in IEC 60079-0 guidance, confirmed by testing before Zone 0 deployment.</w:t>
      </w:r>
    </w:p>
    <w:p>
      <w:pPr>
        <w:pStyle w:val="Heading2"/>
      </w:pPr>
      <w:r>
        <w:rPr>
          <w:rFonts w:ascii="Times New Roman" w:cs="Times New Roman" w:eastAsia="Times New Roman" w:hAnsi="Times New Roman"/>
        </w:rPr>
        <w:t xml:space="preserve">1.3 The 30 × 40 mm V2 Badge</w:t>
      </w:r>
    </w:p>
    <w:p>
      <w:pPr>
        <w:spacing w:after="140" w:line="276"/>
        <w:jc w:val="both"/>
      </w:pPr>
      <w:r>
        <w:rPr>
          <w:rFonts w:ascii="Times New Roman" w:cs="Times New Roman" w:eastAsia="Times New Roman" w:hAnsi="Times New Roman"/>
        </w:rPr>
        <w:t xml:space="preserve">The V2 badge is a portrait-oriented 30 × 40 mm planar substrate. At its centre, a 10 × 20 mm sensing window exposes CuSO₄·5H₂O-impregnated Whatman Grade 1 paper beneath the membrane stack. Four 8 × 8 mm ArUco markers (DICT_4X4_50, IDs 0–3) occupy the extreme corners; maximising their separation lengthens the homography baseline and reduces the sensitivity of rectification to sub-pixel corner error. Twelve 4 × 4 mm reference patches (four neutrals, six chromatic anchors, two substrate-matched) form a cross around the window, so illumination gradients are sampled adjacent to the pad and not extrapolated from a distant target.</w:t>
      </w:r>
    </w:p>
    <w:p>
      <w:pPr>
        <w:spacing w:after="140" w:line="276"/>
        <w:jc w:val="both"/>
      </w:pPr>
      <w:r>
        <w:rPr>
          <w:rFonts w:ascii="Times New Roman" w:cs="Times New Roman" w:eastAsia="Times New Roman" w:hAnsi="Times New Roman"/>
        </w:rPr>
        <w:t xml:space="preserve">The stack, outside to inside, is a hollow upper lid, ePTFE membrane, diamond-mesh lower lid, treated paper and a hollow base case with strap rods. The hollow lid preserves an unobstructed optical path to the paper, and the mesh supports the membrane without occluding the diffusion area.</w:t>
      </w:r>
    </w:p>
    <w:p>
      <w:pPr>
        <w:pStyle w:val="Heading2"/>
      </w:pPr>
      <w:r>
        <w:rPr>
          <w:rFonts w:ascii="Times New Roman" w:cs="Times New Roman" w:eastAsia="Times New Roman" w:hAnsi="Times New Roman"/>
        </w:rPr>
        <w:t xml:space="preserve">1.4 Fluid Dynamics and Fickian Mass Transfer through the ePTFE Membrane</w:t>
      </w:r>
    </w:p>
    <w:p>
      <w:pPr>
        <w:spacing w:after="140" w:line="276"/>
        <w:jc w:val="both"/>
      </w:pPr>
      <w:r>
        <w:rPr>
          <w:rFonts w:ascii="Times New Roman" w:cs="Times New Roman" w:eastAsia="Times New Roman" w:hAnsi="Times New Roman"/>
        </w:rPr>
        <w:t xml:space="preserve">Analyte transport is purely diffusive, with no pump or forced convection. The membrane is expanded PTFE with a nominal 0.2 µm pore size and a node-and-fibril microstructure, with typical porosity of 70–85% and thickness of tens of micrometres. At 1 atm and 25 °C the mean free path of air is approximately 68 nm, giving a Knudsen number near 0.3 for a 0.2 µm pore, so transport lies in the transition regime between molecular and continuum diffusion. Steady-state flux follows Fick's first law:</w:t>
      </w:r>
    </w:p>
    <w:p>
      <w:pPr>
        <w:spacing w:after="160" w:before="80"/>
        <w:jc w:val="center"/>
      </w:pPr>
      <w:r>
        <w:rPr>
          <w:rFonts w:ascii="Times New Roman" w:cs="Times New Roman" w:eastAsia="Times New Roman" w:hAnsi="Times New Roman"/>
          <w:i/>
          <w:iCs/>
        </w:rPr>
        <w:t xml:space="preserve">J = −D_eff (ΔC / L), with D_eff = D_air · ε / τ</w:t>
      </w:r>
    </w:p>
    <w:p>
      <w:pPr>
        <w:spacing w:after="140" w:line="276"/>
        <w:jc w:val="both"/>
      </w:pPr>
      <w:r>
        <w:rPr>
          <w:rFonts w:ascii="Times New Roman" w:cs="Times New Roman" w:eastAsia="Times New Roman" w:hAnsi="Times New Roman"/>
        </w:rPr>
        <w:t xml:space="preserve">where ε is porosity and τ is tortuosity. The badge's sampling rate, Q = D_eff·A / L, is thus a geometric constant of the stack. Uptake rate scales with ambient concentration, and the integrated captured mass scales with ∫C dt, the cumulative dose in ppm·hr. Because the CuSO₄ reaction is rapid and irreversible, the paper acts as a near-perfect sink that holds the surface concentration near zero and preserves diffusion-limited kinetics. The membrane also damps convective gusts, so the diffusion barrier, and not variable wind speed, governs uptake.</w:t>
      </w:r>
    </w:p>
    <w:p>
      <w:pPr>
        <w:spacing w:after="140" w:line="276"/>
        <w:jc w:val="both"/>
      </w:pPr>
      <w:r>
        <w:rPr>
          <w:rFonts w:ascii="Times New Roman" w:cs="Times New Roman" w:eastAsia="Times New Roman" w:hAnsi="Times New Roman"/>
        </w:rPr>
        <w:t xml:space="preserve">Hydrophobicity governs liquid rejection. PTFE has a low surface energy (about 18 mN/m), and water contact angles on ePTFE exceed 110°. The Young–Laplace relation gives the liquid entry pressure for an idealised cylindrical pore:</w:t>
      </w:r>
    </w:p>
    <w:p>
      <w:pPr>
        <w:spacing w:after="160" w:before="80"/>
        <w:jc w:val="center"/>
      </w:pPr>
      <w:r>
        <w:rPr>
          <w:rFonts w:ascii="Times New Roman" w:cs="Times New Roman" w:eastAsia="Times New Roman" w:hAnsi="Times New Roman"/>
          <w:i/>
          <w:iCs/>
        </w:rPr>
        <w:t xml:space="preserve">ΔP = −4γ cosθ / d</w:t>
      </w:r>
    </w:p>
    <w:p>
      <w:pPr>
        <w:spacing w:after="140" w:line="276"/>
        <w:jc w:val="both"/>
      </w:pPr>
      <w:r>
        <w:rPr>
          <w:rFonts w:ascii="Times New Roman" w:cs="Times New Roman" w:eastAsia="Times New Roman" w:hAnsi="Times New Roman"/>
        </w:rPr>
        <w:t xml:space="preserve">For water (γ ≈ 72 mN/m), θ ≈ 120° and d = 0.2 µm, ΔP is approximately 7 bar, far above any pressure exerted by sweat or splash. Sweat surfactants lower γ and oils can wet PTFE, so the true margin is smaller, which is one reason the membrane is a replaceable consumable. Particulates larger than 0.2 µm are excluded by sieving, while the fibril network captures finer aerosols. H₂S molecules (kinetic diameter about 0.36 nm) are more than two orders of magnitude smaller than the pores and pass unimpeded. Keeping dust, mists and liquid water from the paper prevents optical fouling that would bias the lightness (L*) measurement, and leaching of the glycerol and copper salt.</w:t>
      </w:r>
    </w:p>
    <w:p>
      <w:pPr>
        <w:pStyle w:val="Heading2"/>
      </w:pPr>
      <w:r>
        <w:rPr>
          <w:rFonts w:ascii="Times New Roman" w:cs="Times New Roman" w:eastAsia="Times New Roman" w:hAnsi="Times New Roman"/>
        </w:rPr>
        <w:t xml:space="preserve">1.5 The Tool-Free Hinge-Pin Refill Mechanism</w:t>
      </w:r>
    </w:p>
    <w:p>
      <w:pPr>
        <w:spacing w:after="140" w:line="276"/>
        <w:jc w:val="both"/>
      </w:pPr>
      <w:r>
        <w:rPr>
          <w:rFonts w:ascii="Times New Roman" w:cs="Times New Roman" w:eastAsia="Times New Roman" w:hAnsi="Times New Roman"/>
        </w:rPr>
        <w:t xml:space="preserve">Both lids articulate about a single hinge pin passing through interleaved knuckles on the lids and base, giving a book-style opening. A polymer pin seated by interference or snap-fit eliminates loose fasteners and tools. A compliant lip on the free edge closes the upper lid onto the base with a compressive seal, clamping the membrane peripherally against the mesh so that the only gas path is through the pore network. To refill, the operator opens the lids, discards the spent membrane and paper, seats a fresh strip and membrane in recessed locating pockets, and closes the assembly in seconds. The elastomer tolerates repeated opening cycles, and every component remains non-metallic, preserving Zone 0 compatibility. The invariant sensing-window geometry keeps the optical reference frame unchanged between refills.</w:t>
      </w:r>
    </w:p>
    <w:p>
      <w:pPr>
        <w:pStyle w:val="Heading2"/>
      </w:pPr>
      <w:r>
        <w:rPr>
          <w:rFonts w:ascii="Times New Roman" w:cs="Times New Roman" w:eastAsia="Times New Roman" w:hAnsi="Times New Roman"/>
        </w:rPr>
        <w:t xml:space="preserve">1.6 Expiry Indicators and Disposability</w:t>
      </w:r>
    </w:p>
    <w:p>
      <w:pPr>
        <w:spacing w:after="140" w:line="276"/>
        <w:jc w:val="both"/>
      </w:pPr>
      <w:r>
        <w:rPr>
          <w:rFonts w:ascii="Times New Roman" w:cs="Times New Roman" w:eastAsia="Times New Roman" w:hAnsi="Times New Roman"/>
        </w:rPr>
        <w:t xml:space="preserve">A refillable badge is only trustworthy if each fresh strip is known to be chemically valid. The band therefore carries an expiry indicator that lets the worker confirm validity before use. It relies on two dyes with distinct roles.</w:t>
      </w:r>
    </w:p>
    <w:p>
      <w:pPr>
        <w:pStyle w:val="ListParagraph"/>
        <w:numPr>
          <w:ilvl w:val="0"/>
          <w:numId w:val="2"/>
        </w:numPr>
        <w:spacing w:after="80"/>
        <w:jc w:val="both"/>
      </w:pPr>
      <w:r>
        <w:rPr>
          <w:rFonts w:ascii="Times New Roman" w:cs="Times New Roman" w:eastAsia="Times New Roman" w:hAnsi="Times New Roman"/>
          <w:b/>
          <w:bCs/>
        </w:rPr>
        <w:t xml:space="preserve">Cobalt chloride (moisture detection).</w:t>
      </w:r>
      <w:r>
        <w:rPr>
          <w:rFonts w:ascii="Times New Roman" w:cs="Times New Roman" w:eastAsia="Times New Roman" w:hAnsi="Times New Roman"/>
        </w:rPr>
        <w:t xml:space="preserve"> Cobalt chloride is blue when dry and pink when hydrated. A pink indicator shows that the strip has taken up water, for example through a damaged pouch or prolonged exposure to humid air, and that the hydration state of the pad may no longer match specification.</w:t>
      </w:r>
    </w:p>
    <w:p>
      <w:pPr>
        <w:pStyle w:val="ListParagraph"/>
        <w:numPr>
          <w:ilvl w:val="0"/>
          <w:numId w:val="2"/>
        </w:numPr>
        <w:spacing w:after="80"/>
        <w:jc w:val="both"/>
      </w:pPr>
      <w:r>
        <w:rPr>
          <w:rFonts w:ascii="Times New Roman" w:cs="Times New Roman" w:eastAsia="Times New Roman" w:hAnsi="Times New Roman"/>
          <w:b/>
          <w:bCs/>
        </w:rPr>
        <w:t xml:space="preserve">Bromocresol green (acid detection).</w:t>
      </w:r>
      <w:r>
        <w:rPr>
          <w:rFonts w:ascii="Times New Roman" w:cs="Times New Roman" w:eastAsia="Times New Roman" w:hAnsi="Times New Roman"/>
        </w:rPr>
        <w:t xml:space="preserve"> Bromocresol green is a pH indicator that is yellow in acidic conditions and blue near neutral, with its transition at roughly pH 3.8–5.4. Because the strip is conditioned to about pH 4 (Chapter 2), the dye reports whether the acid conditioning is intact. A shift toward blue indicates that the strip has drifted from specification.</w:t>
      </w:r>
    </w:p>
    <w:p>
      <w:pPr>
        <w:spacing w:after="140" w:line="276"/>
        <w:jc w:val="both"/>
      </w:pPr>
      <w:r>
        <w:rPr>
          <w:rFonts w:ascii="Times New Roman" w:cs="Times New Roman" w:eastAsia="Times New Roman" w:hAnsi="Times New Roman"/>
        </w:rPr>
        <w:t xml:space="preserve">A strip showing the expected colours is chemically valid. Any other colour means the strip should be discarded and replaced before the badge is worn. This check supplements the software gates of Chapter 3, which assess a scan after exposure, by screening the strip before exposure begins.</w:t>
      </w:r>
    </w:p>
    <w:p>
      <w:pPr>
        <w:spacing w:after="140" w:line="276"/>
        <w:jc w:val="both"/>
      </w:pPr>
      <w:r>
        <w:rPr>
          <w:rFonts w:ascii="Times New Roman" w:cs="Times New Roman" w:eastAsia="Times New Roman" w:hAnsi="Times New Roman"/>
        </w:rPr>
        <w:t xml:space="preserve">The product is also designed for easy disposal. The consumables are a paper strip and a membrane, they contain no lead, and the silicone body is reused across refills. Spent strips can be discarded or collected for the regeneration loop of Chapter 5.</w:t>
      </w:r>
    </w:p>
    <w:p>
      <w:pPr>
        <w:pStyle w:val="Heading1"/>
        <w:pageBreakBefore/>
      </w:pPr>
      <w:r>
        <w:rPr>
          <w:rFonts w:ascii="Times New Roman" w:cs="Times New Roman" w:eastAsia="Times New Roman" w:hAnsi="Times New Roman"/>
        </w:rPr>
        <w:t xml:space="preserve">Chapter 2: Chemical Substrate Engineering</w:t>
      </w:r>
    </w:p>
    <w:p>
      <w:pPr>
        <w:pStyle w:val="Heading2"/>
      </w:pPr>
      <w:r>
        <w:rPr>
          <w:rFonts w:ascii="Times New Roman" w:cs="Times New Roman" w:eastAsia="Times New Roman" w:hAnsi="Times New Roman"/>
        </w:rPr>
        <w:t xml:space="preserve">2.1 Transition from Lead Acetate to Copper(II) Sulfate</w:t>
      </w:r>
    </w:p>
    <w:p>
      <w:pPr>
        <w:spacing w:after="140" w:line="276"/>
        <w:jc w:val="both"/>
      </w:pPr>
      <w:r>
        <w:rPr>
          <w:rFonts w:ascii="Times New Roman" w:cs="Times New Roman" w:eastAsia="Times New Roman" w:hAnsi="Times New Roman"/>
        </w:rPr>
        <w:t xml:space="preserve">Lead(II) acetate paper has long served as the classical qualitative test for hydrogen sulfide, forming brown-black lead sulfide:</w:t>
      </w:r>
    </w:p>
    <w:p>
      <w:pPr>
        <w:spacing w:after="160" w:before="80"/>
        <w:jc w:val="center"/>
      </w:pPr>
      <w:r>
        <w:rPr>
          <w:rFonts w:ascii="Times New Roman" w:cs="Times New Roman" w:eastAsia="Times New Roman" w:hAnsi="Times New Roman"/>
          <w:i/>
          <w:iCs/>
        </w:rPr>
        <w:t xml:space="preserve">Pb(CH₃COO)₂ + H₂S → PbS↓ + 2CH₃COOH</w:t>
      </w:r>
    </w:p>
    <w:p>
      <w:pPr>
        <w:spacing w:after="140" w:line="276"/>
        <w:jc w:val="both"/>
      </w:pPr>
      <w:r>
        <w:rPr>
          <w:rFonts w:ascii="Times New Roman" w:cs="Times New Roman" w:eastAsia="Times New Roman" w:hAnsi="Times New Roman"/>
        </w:rPr>
        <w:t xml:space="preserve">Its analytical performance is adequate, but the reagent is a reproductive toxicant and a cumulative neurotoxin. A badge worn by thousands of temporary workers would generate lead-contaminated consumables, bringing handling restrictions, skin-contact risk and regulated hazardous-waste disposal. Copper(II) sulfate pentahydrate is a markedly safer alternative. It is inexpensive, water-soluble and widely available in laboratory grade. Its toxicity is moderate and primarily aquatic, and the copper in spent pads can be recovered (Chapter 5). Both metal sulfides are extremely insoluble and dark, but the copper system has a pale-blue unexposed state that gives high contrast against the black product, which suits a lightness-based readout.</w:t>
      </w:r>
    </w:p>
    <w:p>
      <w:pPr>
        <w:pStyle w:val="Heading2"/>
      </w:pPr>
      <w:r>
        <w:rPr>
          <w:rFonts w:ascii="Times New Roman" w:cs="Times New Roman" w:eastAsia="Times New Roman" w:hAnsi="Times New Roman"/>
        </w:rPr>
        <w:t xml:space="preserve">2.2 Reaction Thermodynamics</w:t>
      </w:r>
    </w:p>
    <w:p>
      <w:pPr>
        <w:spacing w:after="140" w:line="276"/>
        <w:jc w:val="both"/>
      </w:pPr>
      <w:r>
        <w:rPr>
          <w:rFonts w:ascii="Times New Roman" w:cs="Times New Roman" w:eastAsia="Times New Roman" w:hAnsi="Times New Roman"/>
        </w:rPr>
        <w:t xml:space="preserve">In aqueous medium the copper salt is fully dissociated, and the cupric ion is present as the hexaaqua complex responsible for the pale-blue colour:</w:t>
      </w:r>
    </w:p>
    <w:p>
      <w:pPr>
        <w:spacing w:after="160" w:before="80"/>
        <w:jc w:val="center"/>
      </w:pPr>
      <w:r>
        <w:rPr>
          <w:rFonts w:ascii="Times New Roman" w:cs="Times New Roman" w:eastAsia="Times New Roman" w:hAnsi="Times New Roman"/>
          <w:i/>
          <w:iCs/>
        </w:rPr>
        <w:t xml:space="preserve">CuSO₄·5H₂O → Cu²⁺(aq) + SO₄²⁻(aq) + 5H₂O</w:t>
      </w:r>
    </w:p>
    <w:p>
      <w:pPr>
        <w:spacing w:after="140" w:line="276"/>
        <w:jc w:val="both"/>
      </w:pPr>
      <w:r>
        <w:rPr>
          <w:rFonts w:ascii="Times New Roman" w:cs="Times New Roman" w:eastAsia="Times New Roman" w:hAnsi="Times New Roman"/>
        </w:rPr>
        <w:t xml:space="preserve">Gaseous hydrogen sulfide first dissolves into the moist film on the cellulose and ionises as a weak diprotic acid:</w:t>
      </w:r>
    </w:p>
    <w:p>
      <w:pPr>
        <w:spacing w:after="160" w:before="80"/>
        <w:jc w:val="center"/>
      </w:pPr>
      <w:r>
        <w:rPr>
          <w:rFonts w:ascii="Times New Roman" w:cs="Times New Roman" w:eastAsia="Times New Roman" w:hAnsi="Times New Roman"/>
          <w:i/>
          <w:iCs/>
        </w:rPr>
        <w:t xml:space="preserve">H₂S(g) ⇌ H₂S(aq) ⇌ H⁺ + HS⁻ ⇌ 2H⁺ + S²⁻</w:t>
      </w:r>
    </w:p>
    <w:p>
      <w:pPr>
        <w:spacing w:after="140" w:line="276"/>
        <w:jc w:val="both"/>
      </w:pPr>
      <w:r>
        <w:rPr>
          <w:rFonts w:ascii="Times New Roman" w:cs="Times New Roman" w:eastAsia="Times New Roman" w:hAnsi="Times New Roman"/>
        </w:rPr>
        <w:t xml:space="preserve">Precipitation then proceeds through the net ionic reaction and the overall molecular equation:</w:t>
      </w:r>
    </w:p>
    <w:p>
      <w:pPr>
        <w:spacing w:after="160" w:before="80"/>
        <w:jc w:val="center"/>
      </w:pPr>
      <w:r>
        <w:rPr>
          <w:rFonts w:ascii="Times New Roman" w:cs="Times New Roman" w:eastAsia="Times New Roman" w:hAnsi="Times New Roman"/>
          <w:i/>
          <w:iCs/>
        </w:rPr>
        <w:t xml:space="preserve">Cu²⁺(aq) + H₂S(aq) → CuS(s)↓ + 2H⁺(aq)</w:t>
      </w:r>
    </w:p>
    <w:p>
      <w:pPr>
        <w:spacing w:after="160" w:before="80"/>
        <w:jc w:val="center"/>
      </w:pPr>
      <w:r>
        <w:rPr>
          <w:rFonts w:ascii="Times New Roman" w:cs="Times New Roman" w:eastAsia="Times New Roman" w:hAnsi="Times New Roman"/>
          <w:i/>
          <w:iCs/>
        </w:rPr>
        <w:t xml:space="preserve">CuSO₄ + H₂S → CuS↓ + H₂SO₄</w:t>
      </w:r>
    </w:p>
    <w:p>
      <w:pPr>
        <w:spacing w:after="140" w:line="276"/>
        <w:jc w:val="both"/>
      </w:pPr>
      <w:r>
        <w:rPr>
          <w:rFonts w:ascii="Times New Roman" w:cs="Times New Roman" w:eastAsia="Times New Roman" w:hAnsi="Times New Roman"/>
        </w:rPr>
        <w:t xml:space="preserve">The driving force is the extraordinary insolubility of covellite, CuS, with Ksp on the order of 10⁻³⁶ at 25 °C (literature values vary by several orders of magnitude). For the net reaction, K = Ka₁Ka₂ / Ksp, which is many orders of magnitude greater than one for any literature combination of these constants. The reaction therefore proceeds essentially to completion for any detectable sulfide flux, and reverse dissolution is negligible under ambient conditions. Acid generation is stoichiometric: each mole of H₂S captured releases two moles of protons. This progressive acidification is one reason pH conditioning matters (Section 2.6), and it is also why the pad is a single-shift consumable.</w:t>
      </w:r>
    </w:p>
    <w:p>
      <w:pPr>
        <w:pStyle w:val="Heading2"/>
      </w:pPr>
      <w:r>
        <w:rPr>
          <w:rFonts w:ascii="Times New Roman" w:cs="Times New Roman" w:eastAsia="Times New Roman" w:hAnsi="Times New Roman"/>
        </w:rPr>
        <w:t xml:space="preserve">2.3 Irreversible Kinetics</w:t>
      </w:r>
    </w:p>
    <w:p>
      <w:pPr>
        <w:spacing w:after="140" w:line="276"/>
        <w:jc w:val="both"/>
      </w:pPr>
      <w:r>
        <w:rPr>
          <w:rFonts w:ascii="Times New Roman" w:cs="Times New Roman" w:eastAsia="Times New Roman" w:hAnsi="Times New Roman"/>
        </w:rPr>
        <w:t xml:space="preserve">The rate-limiting stage is not the chemistry but the transport of H₂S to the reactive surface, as established in Chapter 1. Cu²⁺ is present in large stoichiometric excess relative to the sulfide captured during a shift, so the effective rate law is pseudo-first-order in sulfide and the surface concentration of dissolved H₂S is held near zero. The paper therefore acts as a perfect sink, and mass uptake is proportional to the time integral of ambient concentration:</w:t>
      </w:r>
    </w:p>
    <w:p>
      <w:pPr>
        <w:spacing w:after="160" w:before="80"/>
        <w:jc w:val="center"/>
      </w:pPr>
      <w:r>
        <w:rPr>
          <w:rFonts w:ascii="Times New Roman" w:cs="Times New Roman" w:eastAsia="Times New Roman" w:hAnsi="Times New Roman"/>
          <w:i/>
          <w:iCs/>
        </w:rPr>
        <w:t xml:space="preserve">m(t) = Q ∫₀ᵗ C(τ) dτ</w:t>
      </w:r>
    </w:p>
    <w:p>
      <w:pPr>
        <w:spacing w:after="140" w:line="276"/>
        <w:jc w:val="both"/>
      </w:pPr>
      <w:r>
        <w:rPr>
          <w:rFonts w:ascii="Times New Roman" w:cs="Times New Roman" w:eastAsia="Times New Roman" w:hAnsi="Times New Roman"/>
        </w:rPr>
        <w:t xml:space="preserve">Because CuS does not redissolve and does not revert thermally, the optical state encodes history and not the instantaneous level. Two further considerations apply. Very high exposures could coat reactive sites, so the copper loading must retain substantial capacity for the response to stay monotonic over the working range. Also, mercaptans compete with H₂S by forming copper thiolates, and this cross-sensitivity should be characterised during chamber calibration (Chapter 4).</w:t>
      </w:r>
    </w:p>
    <w:p>
      <w:pPr>
        <w:pStyle w:val="Heading2"/>
      </w:pPr>
      <w:r>
        <w:rPr>
          <w:rFonts w:ascii="Times New Roman" w:cs="Times New Roman" w:eastAsia="Times New Roman" w:hAnsi="Times New Roman"/>
        </w:rPr>
        <w:t xml:space="preserve">2.4 Role of Whatman Grade 1 Paper and Capillary Saturation</w:t>
      </w:r>
    </w:p>
    <w:p>
      <w:pPr>
        <w:spacing w:after="140" w:line="276"/>
        <w:jc w:val="both"/>
      </w:pPr>
      <w:r>
        <w:rPr>
          <w:rFonts w:ascii="Times New Roman" w:cs="Times New Roman" w:eastAsia="Times New Roman" w:hAnsi="Times New Roman"/>
        </w:rPr>
        <w:t xml:space="preserve">Whatman Grade 1 is a medium-flow cellulose paper of roughly 180 µm thickness, with a nominal particle retention of about 11 µm and a basis weight of about 87 g/m². It is made from high-purity cotton linters, and its fibre network offers a narrow, reproducible pore-size distribution, the property that determines wicking behaviour.</w:t>
      </w:r>
    </w:p>
    <w:p>
      <w:pPr>
        <w:spacing w:after="140" w:line="276"/>
        <w:jc w:val="both"/>
      </w:pPr>
      <w:r>
        <w:rPr>
          <w:rFonts w:ascii="Times New Roman" w:cs="Times New Roman" w:eastAsia="Times New Roman" w:hAnsi="Times New Roman"/>
        </w:rPr>
        <w:t xml:space="preserve">Impregnation relies on capillary action, described by the Washburn relation:</w:t>
      </w:r>
    </w:p>
    <w:p>
      <w:pPr>
        <w:spacing w:after="160" w:before="80"/>
        <w:jc w:val="center"/>
      </w:pPr>
      <w:r>
        <w:rPr>
          <w:rFonts w:ascii="Times New Roman" w:cs="Times New Roman" w:eastAsia="Times New Roman" w:hAnsi="Times New Roman"/>
          <w:i/>
          <w:iCs/>
        </w:rPr>
        <w:t xml:space="preserve">L² = (γ r cosθ / 2η) · t</w:t>
      </w:r>
    </w:p>
    <w:p>
      <w:pPr>
        <w:spacing w:after="140" w:line="276"/>
        <w:jc w:val="both"/>
      </w:pPr>
      <w:r>
        <w:rPr>
          <w:rFonts w:ascii="Times New Roman" w:cs="Times New Roman" w:eastAsia="Times New Roman" w:hAnsi="Times New Roman"/>
        </w:rPr>
        <w:t xml:space="preserve">Hydrophilic cellulose draws the aqueous solution into the pores rapidly and uniformly, so a short immersion produces homogeneous saturation. Uniform loading gives each unit area of pad an equal reagent inventory, whereas variable loading would produce patchy colour development and bias the sampling of the region of interest. Cellulose is also tolerant of dilute acid, and its hydroxyl groups weakly coordinate Cu²⁺, limiting migration after drying. After immersion the strips are blotted to remove surface excess and conditioned under controlled humidity, not oven-dried to completion, in order to retain the humectant film.</w:t>
      </w:r>
    </w:p>
    <w:p>
      <w:pPr>
        <w:pStyle w:val="Heading2"/>
      </w:pPr>
      <w:r>
        <w:rPr>
          <w:rFonts w:ascii="Times New Roman" w:cs="Times New Roman" w:eastAsia="Times New Roman" w:hAnsi="Times New Roman"/>
        </w:rPr>
        <w:t xml:space="preserve">2.5 Glycerol as a "Moist Trap"</w:t>
      </w:r>
    </w:p>
    <w:p>
      <w:pPr>
        <w:spacing w:after="140" w:line="276"/>
        <w:jc w:val="both"/>
      </w:pPr>
      <w:r>
        <w:rPr>
          <w:rFonts w:ascii="Times New Roman" w:cs="Times New Roman" w:eastAsia="Times New Roman" w:hAnsi="Times New Roman"/>
        </w:rPr>
        <w:t xml:space="preserve">H₂S must dissolve before it can react, so the sensing film requires water. In a dry environment a bare salt-impregnated paper would effloresce and lose its aqueous layer, and the reaction would slow. In saturated air, conversely, condensation could dilute the reagent and wash copper from the fibres. The response would then drift with weather and not with dose.</w:t>
      </w:r>
    </w:p>
    <w:p>
      <w:pPr>
        <w:spacing w:after="140" w:line="276"/>
        <w:jc w:val="both"/>
      </w:pPr>
      <w:r>
        <w:rPr>
          <w:rFonts w:ascii="Times New Roman" w:cs="Times New Roman" w:eastAsia="Times New Roman" w:hAnsi="Times New Roman"/>
        </w:rPr>
        <w:t xml:space="preserve">Glycerol (propane-1,2,3-triol) at 5% is added as a non-volatile humectant. Its three hydroxyl groups hydrogen-bond water, giving a very low vapour pressure and hygroscopic equilibrium with ambient humidity. The paper retains a thin, persistent hydration layer across a wide range of relative humidity, the "moist trap" in which gas is absorbed and Cu²⁺ remains mobile. Because the layer changes only modestly with humidity, reaction conditions stay roughly constant. Long-term compatibility of glycerol, a mild reductant, with Cu²⁺ should be confirmed in shelf-life studies.</w:t>
      </w:r>
    </w:p>
    <w:p>
      <w:pPr>
        <w:pStyle w:val="Heading2"/>
      </w:pPr>
      <w:r>
        <w:rPr>
          <w:rFonts w:ascii="Times New Roman" w:cs="Times New Roman" w:eastAsia="Times New Roman" w:hAnsi="Times New Roman"/>
        </w:rPr>
        <w:t xml:space="preserve">2.6 pH Conditioning and Suppression of Baseline Oxidation</w:t>
      </w:r>
    </w:p>
    <w:p>
      <w:pPr>
        <w:spacing w:after="140" w:line="276"/>
        <w:jc w:val="both"/>
      </w:pPr>
      <w:r>
        <w:rPr>
          <w:rFonts w:ascii="Times New Roman" w:cs="Times New Roman" w:eastAsia="Times New Roman" w:hAnsi="Times New Roman"/>
        </w:rPr>
        <w:t xml:space="preserve">Neutral or alkaline copper solutions are prone to hydrolysis:</w:t>
      </w:r>
    </w:p>
    <w:p>
      <w:pPr>
        <w:spacing w:after="160" w:before="80"/>
        <w:jc w:val="center"/>
      </w:pPr>
      <w:r>
        <w:rPr>
          <w:rFonts w:ascii="Times New Roman" w:cs="Times New Roman" w:eastAsia="Times New Roman" w:hAnsi="Times New Roman"/>
          <w:i/>
          <w:iCs/>
        </w:rPr>
        <w:t xml:space="preserve">Cu²⁺ + 2OH⁻ → Cu(OH)₂↓</w:t>
      </w:r>
    </w:p>
    <w:p>
      <w:pPr>
        <w:spacing w:after="140" w:line="276"/>
        <w:jc w:val="both"/>
      </w:pPr>
      <w:r>
        <w:rPr>
          <w:rFonts w:ascii="Times New Roman" w:cs="Times New Roman" w:eastAsia="Times New Roman" w:hAnsi="Times New Roman"/>
        </w:rPr>
        <w:t xml:space="preserve">Basic copper salts would produce a greenish or turbid baseline and consume reagent. Dilute acid is therefore used to hold the impregnating solution near pH 4.0, where Cu²⁺ remains soluble and the pad stays pale blue. Acidity also limits slow copper-catalysed oxidation of cellulose and glycerol and adventitious reduction to red-brown Cu₂O:</w:t>
      </w:r>
    </w:p>
    <w:p>
      <w:pPr>
        <w:spacing w:after="160" w:before="80"/>
        <w:jc w:val="center"/>
      </w:pPr>
      <w:r>
        <w:rPr>
          <w:rFonts w:ascii="Times New Roman" w:cs="Times New Roman" w:eastAsia="Times New Roman" w:hAnsi="Times New Roman"/>
          <w:i/>
          <w:iCs/>
        </w:rPr>
        <w:t xml:space="preserve">2Cu²⁺ + 2OH⁻ + RCHO → Cu₂O↓ + RCOOH + H₂O</w:t>
      </w:r>
    </w:p>
    <w:p>
      <w:pPr>
        <w:spacing w:after="140" w:line="276"/>
        <w:jc w:val="both"/>
      </w:pPr>
      <w:r>
        <w:rPr>
          <w:rFonts w:ascii="Times New Roman" w:cs="Times New Roman" w:eastAsia="Times New Roman" w:hAnsi="Times New Roman"/>
        </w:rPr>
        <w:t xml:space="preserve">Such drift would register as spurious lightness loss and corrupt the L* baseline. A pH near 4 is a deliberate compromise: it is safely below the hydrolysis threshold but not so acidic as to hydrolyse cellulose during storage, and the precipitation equilibrium still lies strongly to the right. Whether a weak-acid buffer is added to absorb the protons released during exposure remains a formulation option, provided it does not complex copper. The pH of each strip is later verified in the field by the bromocresol green indicator (Section 1.6).</w:t>
      </w:r>
    </w:p>
    <w:p>
      <w:pPr>
        <w:pStyle w:val="Heading2"/>
      </w:pPr>
      <w:r>
        <w:rPr>
          <w:rFonts w:ascii="Times New Roman" w:cs="Times New Roman" w:eastAsia="Times New Roman" w:hAnsi="Times New Roman"/>
        </w:rPr>
        <w:t xml:space="preserve">2.7 Summary</w:t>
      </w:r>
    </w:p>
    <w:p>
      <w:pPr>
        <w:spacing w:after="140" w:line="276"/>
        <w:jc w:val="both"/>
      </w:pPr>
      <w:r>
        <w:rPr>
          <w:rFonts w:ascii="Times New Roman" w:cs="Times New Roman" w:eastAsia="Times New Roman" w:hAnsi="Times New Roman"/>
        </w:rPr>
        <w:t xml:space="preserve">The formulation joins a thermodynamically irreversible sink reaction with three layers of control: uniform capillary loading, humidity-stabilising hydration and a conditioned pH. Together they ensure that darkening is a faithful, monotonic function of integrated exposure, and the built-in indicators confirm that these conditions still hold when a strip is issued.</w:t>
      </w:r>
    </w:p>
    <w:p>
      <w:pPr>
        <w:pStyle w:val="Heading1"/>
        <w:pageBreakBefore/>
      </w:pPr>
      <w:r>
        <w:rPr>
          <w:rFonts w:ascii="Times New Roman" w:cs="Times New Roman" w:eastAsia="Times New Roman" w:hAnsi="Times New Roman"/>
        </w:rPr>
        <w:t xml:space="preserve">Chapter 3: Digital and Computer Vision Pipeline</w:t>
      </w:r>
    </w:p>
    <w:p>
      <w:pPr>
        <w:pStyle w:val="Heading2"/>
      </w:pPr>
      <w:r>
        <w:rPr>
          <w:rFonts w:ascii="Times New Roman" w:cs="Times New Roman" w:eastAsia="Times New Roman" w:hAnsi="Times New Roman"/>
        </w:rPr>
        <w:t xml:space="preserve">3.1 Architectural Principles</w:t>
      </w:r>
    </w:p>
    <w:p>
      <w:pPr>
        <w:spacing w:after="140" w:line="276"/>
        <w:jc w:val="both"/>
      </w:pPr>
      <w:r>
        <w:rPr>
          <w:rFonts w:ascii="Times New Roman" w:cs="Times New Roman" w:eastAsia="Times New Roman" w:hAnsi="Times New Roman"/>
        </w:rPr>
        <w:t xml:space="preserve">The intelligence layer is a native Android application written in Kotlin. It captures camera frames and processes them through the standard OpenCV 4.x Java wrapper, without relying on C++ JNI. The pipeline is decoupled into sequential stages (rectification, sampling, normalization and dosimetry) exchanging typed intermediate results. Empirical calibration data is isolated in the Kotlin configuration module, so refining it after chamber testing requires no heavy pipeline changes.</w:t>
      </w:r>
    </w:p>
    <w:p>
      <w:pPr>
        <w:spacing w:after="140" w:line="276"/>
        <w:jc w:val="both"/>
      </w:pPr>
      <w:r>
        <w:rPr>
          <w:rFonts w:ascii="Times New Roman" w:cs="Times New Roman" w:eastAsia="Times New Roman" w:hAnsi="Times New Roman"/>
        </w:rPr>
        <w:t xml:space="preserve">The governing rule is to fail loudly. Each stage can return a rejection with an operator instruction, and no dose is reported unless every upstream gate has passed. All image processing runs strictly locally on the phone, and no photographs are transmitted to a server.</w:t>
      </w:r>
    </w:p>
    <w:p>
      <w:pPr>
        <w:pStyle w:val="Heading2"/>
      </w:pPr>
      <w:r>
        <w:rPr>
          <w:rFonts w:ascii="Times New Roman" w:cs="Times New Roman" w:eastAsia="Times New Roman" w:hAnsi="Times New Roman"/>
        </w:rPr>
        <w:t xml:space="preserve">3.2 Stage 1: Rectification</w:t>
      </w:r>
    </w:p>
    <w:p>
      <w:pPr>
        <w:spacing w:after="140" w:line="276"/>
        <w:jc w:val="both"/>
      </w:pPr>
      <w:r>
        <w:rPr>
          <w:rFonts w:ascii="Times New Roman" w:cs="Times New Roman" w:eastAsia="Times New Roman" w:hAnsi="Times New Roman"/>
        </w:rPr>
        <w:t xml:space="preserve">The initial high-resolution frame is scaled into the pipeline using OpenCV's INTER_AREA interpolation where scaling is required. This area-based resampling reduces aliasing and preserves the boundaries of the printed patches better than nearest-neighbour decimation. The ArUco detector, configured for DICT_4X4_50, searches for square contours, rectifies each candidate and decodes its payload. The pipeline requires all four markers (IDs 0–3) and rejects the frame otherwise. Corner positions are refined to sub-pixel accuracy, which is critical because the markers are only 8 mm wide.</w:t>
      </w:r>
    </w:p>
    <w:p>
      <w:pPr>
        <w:spacing w:after="140" w:line="276"/>
        <w:jc w:val="both"/>
      </w:pPr>
      <w:r>
        <w:rPr>
          <w:rFonts w:ascii="Times New Roman" w:cs="Times New Roman" w:eastAsia="Times New Roman" w:hAnsi="Times New Roman"/>
          <w:b/>
          <w:bCs/>
        </w:rPr>
        <w:t xml:space="preserve">Homography.</w:t>
      </w:r>
      <w:r>
        <w:rPr>
          <w:rFonts w:ascii="Times New Roman" w:cs="Times New Roman" w:eastAsia="Times New Roman" w:hAnsi="Times New Roman"/>
        </w:rPr>
        <w:t xml:space="preserve"> The badge is planar, so the mapping from physical coordinates (X, Y) in millimetres to image pixels (u, v) is a projective transform. In homogeneous coordinates:</w:t>
      </w:r>
    </w:p>
    <w:p>
      <w:pPr>
        <w:spacing w:after="160" w:before="80"/>
        <w:jc w:val="center"/>
      </w:pPr>
      <w:r>
        <w:rPr>
          <w:rFonts w:ascii="Times New Roman" w:cs="Times New Roman" w:eastAsia="Times New Roman" w:hAnsi="Times New Roman"/>
          <w:i/>
          <w:iCs/>
        </w:rPr>
        <w:t xml:space="preserve">s·[u, v, 1]ᵀ = H·[X, Y, 1]ᵀ</w:t>
      </w:r>
    </w:p>
    <w:p>
      <w:pPr>
        <w:spacing w:after="140" w:line="276"/>
        <w:jc w:val="both"/>
      </w:pPr>
      <w:r>
        <w:rPr>
          <w:rFonts w:ascii="Times New Roman" w:cs="Times New Roman" w:eastAsia="Times New Roman" w:hAnsi="Times New Roman"/>
        </w:rPr>
        <w:t xml:space="preserve">H has eight degrees of freedom, with the scale fixed by h₃₃ = 1. Eliminating s gives two equations per correspondence:</w:t>
      </w:r>
    </w:p>
    <w:p>
      <w:pPr>
        <w:spacing w:after="160" w:before="80"/>
        <w:jc w:val="center"/>
      </w:pPr>
      <w:r>
        <w:rPr>
          <w:rFonts w:ascii="Times New Roman" w:cs="Times New Roman" w:eastAsia="Times New Roman" w:hAnsi="Times New Roman"/>
          <w:i/>
          <w:iCs/>
        </w:rPr>
        <w:t xml:space="preserve">u = (h₁₁X + h₁₂Y + h₁₃) / (h₃₁X + h₃₂Y + 1)</w:t>
      </w:r>
    </w:p>
    <w:p>
      <w:pPr>
        <w:spacing w:after="160" w:before="80"/>
        <w:jc w:val="center"/>
      </w:pPr>
      <w:r>
        <w:rPr>
          <w:rFonts w:ascii="Times New Roman" w:cs="Times New Roman" w:eastAsia="Times New Roman" w:hAnsi="Times New Roman"/>
          <w:i/>
          <w:iCs/>
        </w:rPr>
        <w:t xml:space="preserve">v = (h₂₁X + h₂₂Y + h₂₃) / (h₃₁X + h₃₂Y + 1)</w:t>
      </w:r>
    </w:p>
    <w:p>
      <w:pPr>
        <w:spacing w:after="140" w:line="276"/>
        <w:jc w:val="both"/>
      </w:pPr>
      <w:r>
        <w:rPr>
          <w:rFonts w:ascii="Times New Roman" w:cs="Times New Roman" w:eastAsia="Times New Roman" w:hAnsi="Times New Roman"/>
        </w:rPr>
        <w:t xml:space="preserve">Each marker provides four corners, so two markers would already supply the eight correspondences needed, but the application requires all four for robust detection and geometric validation. It solves the system with OpenCV's findHomography using standard least squares (method 0), without RANSAC or explicit coordinate pre-normalization. Because no outlier rejection is applied, a mis-localised corner degrades the fit directly, which emphasises the need for robust marker detection. The reprojection RMSE is the first quality gate; a large value indicates a non-planar badge (for example a bent strap) or an occluded marker. Imgproc.warpPerspective then resamples the frame into a canonical, fronto-parallel image at a fixed pixels-per-millimetre scale, so every region of interest (ROI) sits at a known pixel address.</w:t>
      </w:r>
    </w:p>
    <w:p>
      <w:pPr>
        <w:pStyle w:val="Heading2"/>
      </w:pPr>
      <w:r>
        <w:rPr>
          <w:rFonts w:ascii="Times New Roman" w:cs="Times New Roman" w:eastAsia="Times New Roman" w:hAnsi="Times New Roman"/>
        </w:rPr>
        <w:t xml:space="preserve">3.3 Stage 2: Sampling</w:t>
      </w:r>
    </w:p>
    <w:p>
      <w:pPr>
        <w:spacing w:after="140" w:line="276"/>
        <w:jc w:val="both"/>
      </w:pPr>
      <w:r>
        <w:rPr>
          <w:rFonts w:ascii="Times New Roman" w:cs="Times New Roman" w:eastAsia="Times New Roman" w:hAnsi="Times New Roman"/>
        </w:rPr>
        <w:t xml:space="preserve">ROIs for the twelve reference patches and the 10 × 20 mm pad are computed from the badge specification and inset from their boundaries to avoid edge bleed. Within each ROI the pipeline computes a 20% trimmed mean per channel: the lowest and highest tails are discarded and only the central pixels averaged. Specular highlights from the membrane and hot pixels sit in the upper tail, and shadows or dead pixels in the lower tail. The estimator has a breakdown point of 20%, so contamination of up to a fifth of the pixels cannot shift it arbitrarily, and it retains most of the statistical efficiency of the ordinary mean for Gaussian sensor noise, which a strict median would not. Sampling occurs on linearised values after inverse sRGB gamma removal, because averaging gamma-encoded values is not photometrically meaningful.</w:t>
      </w:r>
    </w:p>
    <w:p>
      <w:pPr>
        <w:pStyle w:val="Heading2"/>
      </w:pPr>
      <w:r>
        <w:rPr>
          <w:rFonts w:ascii="Times New Roman" w:cs="Times New Roman" w:eastAsia="Times New Roman" w:hAnsi="Times New Roman"/>
        </w:rPr>
        <w:t xml:space="preserve">3.4 Stage 3: Normalization</w:t>
      </w:r>
    </w:p>
    <w:p>
      <w:pPr>
        <w:spacing w:after="140" w:line="276"/>
        <w:jc w:val="both"/>
      </w:pPr>
      <w:r>
        <w:rPr>
          <w:rFonts w:ascii="Times New Roman" w:cs="Times New Roman" w:eastAsia="Times New Roman" w:hAnsi="Times New Roman"/>
        </w:rPr>
        <w:t xml:space="preserve">This stage is classical regression, not machine learning, which makes it deterministic and auditable.</w:t>
      </w:r>
    </w:p>
    <w:p>
      <w:pPr>
        <w:spacing w:after="140" w:line="276"/>
        <w:jc w:val="both"/>
      </w:pPr>
      <w:r>
        <w:rPr>
          <w:rFonts w:ascii="Times New Roman" w:cs="Times New Roman" w:eastAsia="Times New Roman" w:hAnsi="Times New Roman"/>
          <w:b/>
          <w:bCs/>
        </w:rPr>
        <w:t xml:space="preserve">Flat-field correction.</w:t>
      </w:r>
      <w:r>
        <w:rPr>
          <w:rFonts w:ascii="Times New Roman" w:cs="Times New Roman" w:eastAsia="Times New Roman" w:hAnsi="Times New Roman"/>
        </w:rPr>
        <w:t xml:space="preserve"> Illumination across even a 30 × 40 mm badge varies with lamp geometry, wrist shadows and lens vignetting. A quadratic surface is fitted to the luminance of the white-field probe points and substrate-matched patches:</w:t>
      </w:r>
    </w:p>
    <w:p>
      <w:pPr>
        <w:spacing w:after="160" w:before="80"/>
        <w:jc w:val="center"/>
      </w:pPr>
      <w:r>
        <w:rPr>
          <w:rFonts w:ascii="Times New Roman" w:cs="Times New Roman" w:eastAsia="Times New Roman" w:hAnsi="Times New Roman"/>
          <w:i/>
          <w:iCs/>
        </w:rPr>
        <w:t xml:space="preserve">I(x, y) = a₀ + a₁x + a₂y + a₃x² + a₄xy + a₅y²</w:t>
      </w:r>
    </w:p>
    <w:p>
      <w:pPr>
        <w:spacing w:after="140" w:line="276"/>
        <w:jc w:val="both"/>
      </w:pPr>
      <w:r>
        <w:rPr>
          <w:rFonts w:ascii="Times New Roman" w:cs="Times New Roman" w:eastAsia="Times New Roman" w:hAnsi="Times New Roman"/>
        </w:rPr>
        <w:t xml:space="preserve">Six coefficients are estimated by least squares, and each ROI is divided by the normalised surface value at its centre. The surface is evaluated at the pad, which lies inside the ring of reference patches, so the correction is an interpolation and not an extrapolation.</w:t>
      </w:r>
    </w:p>
    <w:p>
      <w:pPr>
        <w:spacing w:after="140" w:line="276"/>
        <w:jc w:val="both"/>
      </w:pPr>
      <w:r>
        <w:rPr>
          <w:rFonts w:ascii="Times New Roman" w:cs="Times New Roman" w:eastAsia="Times New Roman" w:hAnsi="Times New Roman"/>
          <w:b/>
          <w:bCs/>
        </w:rPr>
        <w:t xml:space="preserve">Colour Correction Matrix (CCM).</w:t>
      </w:r>
      <w:r>
        <w:rPr>
          <w:rFonts w:ascii="Times New Roman" w:cs="Times New Roman" w:eastAsia="Times New Roman" w:hAnsi="Times New Roman"/>
        </w:rPr>
        <w:t xml:space="preserve"> Camera RGB is mapped to sRGB using the twelve reference patches as calibration targets. The model is c_sRGB = M · φ(c_cam), where φ is the root-polynomial "root6" expansion (R, G, B, √RG, √GB, √RB). Root polynomials are homogeneous of degree one, so they remain exact under exposure scaling. With only twelve targets and up to six features, overfitting is a real risk, so a ridge penalty is applied:</w:t>
      </w:r>
    </w:p>
    <w:p>
      <w:pPr>
        <w:spacing w:after="160" w:before="80"/>
        <w:jc w:val="center"/>
      </w:pPr>
      <w:r>
        <w:rPr>
          <w:rFonts w:ascii="Times New Roman" w:cs="Times New Roman" w:eastAsia="Times New Roman" w:hAnsi="Times New Roman"/>
          <w:i/>
          <w:iCs/>
        </w:rPr>
        <w:t xml:space="preserve">M = argmin ‖Y − MΦ‖² + λ‖M‖²</w:t>
      </w:r>
    </w:p>
    <w:p>
      <w:pPr>
        <w:spacing w:after="140" w:line="276"/>
        <w:jc w:val="both"/>
      </w:pPr>
      <w:r>
        <w:rPr>
          <w:rFonts w:ascii="Times New Roman" w:cs="Times New Roman" w:eastAsia="Times New Roman" w:hAnsi="Times New Roman"/>
        </w:rPr>
        <w:t xml:space="preserve">The penalty keeps the normal equations well-conditioned. The solver uses SVD-based robust least squares, with Median Absolute Deviation (MAD) identifying and dropping outlying patches. If too few patches remain for a stable fit, the engine falls back to a von Kries grey-world correction.</w:t>
      </w:r>
    </w:p>
    <w:p>
      <w:pPr>
        <w:spacing w:after="140" w:line="276"/>
        <w:jc w:val="both"/>
      </w:pPr>
      <w:r>
        <w:rPr>
          <w:rFonts w:ascii="Times New Roman" w:cs="Times New Roman" w:eastAsia="Times New Roman" w:hAnsi="Times New Roman"/>
          <w:b/>
          <w:bCs/>
        </w:rPr>
        <w:t xml:space="preserve">Quality gating.</w:t>
      </w:r>
      <w:r>
        <w:rPr>
          <w:rFonts w:ascii="Times New Roman" w:cs="Times New Roman" w:eastAsia="Times New Roman" w:hAnsi="Times New Roman"/>
        </w:rPr>
        <w:t xml:space="preserve"> A leave-one-out residual (looResiduals) is computed by refitting the model once per patch, omitting that patch and measuring the error on it. This estimates out-of-sample accuracy, which a training residual would overstate.</w:t>
      </w:r>
    </w:p>
    <w:p>
      <w:pPr>
        <w:pStyle w:val="Heading2"/>
      </w:pPr>
      <w:r>
        <w:rPr>
          <w:rFonts w:ascii="Times New Roman" w:cs="Times New Roman" w:eastAsia="Times New Roman" w:hAnsi="Times New Roman"/>
        </w:rPr>
        <w:t xml:space="preserve">3.5 Stage 4: Dosimetry</w:t>
      </w:r>
    </w:p>
    <w:p>
      <w:pPr>
        <w:spacing w:after="140" w:line="276"/>
        <w:jc w:val="both"/>
      </w:pPr>
      <w:r>
        <w:rPr>
          <w:rFonts w:ascii="Times New Roman" w:cs="Times New Roman" w:eastAsia="Times New Roman" w:hAnsi="Times New Roman"/>
        </w:rPr>
        <w:t xml:space="preserve">Corrected sRGB is linearised and converted through XYZ (D65) to CIELAB. The pad's lightness change, ΔL* = L*₀ − L*, is the primary optical observable. It is referenced against the unexposed substrate patches measured in the same frame, so the baseline comes from the same image and not from a separate reference photograph.</w:t>
      </w:r>
    </w:p>
    <w:p>
      <w:pPr>
        <w:spacing w:after="140" w:line="276"/>
        <w:jc w:val="both"/>
      </w:pPr>
      <w:r>
        <w:rPr>
          <w:rFonts w:ascii="Times New Roman" w:cs="Times New Roman" w:eastAsia="Times New Roman" w:hAnsi="Times New Roman"/>
          <w:b/>
          <w:bCs/>
        </w:rPr>
        <w:t xml:space="preserve">Why ΔL* rather than CIEDE2000?** ΔE00 is a scalar distance combining lightness, chroma and hue difference</w:t>
      </w:r>
    </w:p>
    <w:p>
      <w:pPr>
        <w:spacing w:after="160" w:before="80"/>
        <w:jc w:val="center"/>
      </w:pPr>
      <w:r>
        <w:rPr>
          <w:rFonts w:ascii="Times New Roman" w:cs="Times New Roman" w:eastAsia="Times New Roman" w:hAnsi="Times New Roman"/>
          <w:i/>
          <w:iCs/>
        </w:rPr>
        <w:t xml:space="preserve">ΔE00 = √[(ΔL′/k_L S_L)² + (ΔC′/k_C S_C)² + (ΔH′/k_H S_H)² + R_T (ΔC′/k_C S_C)(ΔH′/k_H S_H)]</w:t>
      </w:r>
    </w:p>
    <w:p>
      <w:pPr>
        <w:spacing w:after="140" w:line="276"/>
        <w:jc w:val="both"/>
      </w:pPr>
      <w:r>
        <w:rPr>
          <w:rFonts w:ascii="Times New Roman" w:cs="Times New Roman" w:eastAsia="Times New Roman" w:hAnsi="Times New Roman"/>
        </w:rPr>
        <w:t xml:space="preserve">In this pipeline ΔL* is the primary observable, and chroma and hue are retained as secondary response-quality information, for three reasons.</w:t>
      </w:r>
    </w:p>
    <w:p>
      <w:pPr>
        <w:pStyle w:val="ListParagraph"/>
        <w:numPr>
          <w:ilvl w:val="0"/>
          <w:numId w:val="2"/>
        </w:numPr>
        <w:spacing w:after="80"/>
        <w:jc w:val="both"/>
      </w:pPr>
      <w:r>
        <w:rPr>
          <w:rFonts w:ascii="Times New Roman" w:cs="Times New Roman" w:eastAsia="Times New Roman" w:hAnsi="Times New Roman"/>
          <w:b/>
          <w:bCs/>
        </w:rPr>
        <w:t xml:space="preserve">Interpretability:</w:t>
      </w:r>
      <w:r>
        <w:rPr>
          <w:rFonts w:ascii="Times New Roman" w:cs="Times New Roman" w:eastAsia="Times New Roman" w:hAnsi="Times New Roman"/>
        </w:rPr>
        <w:t xml:space="preserve"> ΔL* directly represents the change in CIELAB lightness relative to the unexposed baseline, giving a simple signed observable for calibration.</w:t>
      </w:r>
    </w:p>
    <w:p>
      <w:pPr>
        <w:pStyle w:val="ListParagraph"/>
        <w:numPr>
          <w:ilvl w:val="0"/>
          <w:numId w:val="2"/>
        </w:numPr>
        <w:spacing w:after="80"/>
        <w:jc w:val="both"/>
      </w:pPr>
      <w:r>
        <w:rPr>
          <w:rFonts w:ascii="Times New Roman" w:cs="Times New Roman" w:eastAsia="Times New Roman" w:hAnsi="Times New Roman"/>
          <w:b/>
          <w:bCs/>
        </w:rPr>
        <w:t xml:space="preserve">Separation of roles:</w:t>
      </w:r>
      <w:r>
        <w:rPr>
          <w:rFonts w:ascii="Times New Roman" w:cs="Times New Roman" w:eastAsia="Times New Roman" w:hAnsi="Times New Roman"/>
        </w:rPr>
        <w:t xml:space="preserve"> ΔE00 merges lightness, chroma and hue into one scalar, whereas retaining chromatic information separately lets it serve response-quality checks without becoming the dose variable.</w:t>
      </w:r>
    </w:p>
    <w:p>
      <w:pPr>
        <w:pStyle w:val="ListParagraph"/>
        <w:numPr>
          <w:ilvl w:val="0"/>
          <w:numId w:val="2"/>
        </w:numPr>
        <w:spacing w:after="80"/>
        <w:jc w:val="both"/>
      </w:pPr>
      <w:r>
        <w:rPr>
          <w:rFonts w:ascii="Times New Roman" w:cs="Times New Roman" w:eastAsia="Times New Roman" w:hAnsi="Times New Roman"/>
          <w:b/>
          <w:bCs/>
        </w:rPr>
        <w:t xml:space="preserve">Directionality:</w:t>
      </w:r>
      <w:r>
        <w:rPr>
          <w:rFonts w:ascii="Times New Roman" w:cs="Times New Roman" w:eastAsia="Times New Roman" w:hAnsi="Times New Roman"/>
        </w:rPr>
        <w:t xml:space="preserve"> ΔL* is signed, so the pipeline can distinguish darkening from brightening artefacts and reject physically inconsistent responses.</w:t>
      </w:r>
    </w:p>
    <w:p>
      <w:pPr>
        <w:spacing w:after="140" w:line="276"/>
        <w:jc w:val="both"/>
      </w:pPr>
      <w:r>
        <w:rPr>
          <w:rFonts w:ascii="Times New Roman" w:cs="Times New Roman" w:eastAsia="Times New Roman" w:hAnsi="Times New Roman"/>
        </w:rPr>
        <w:t xml:space="preserve">The selection of ΔL* is provisional and will be evaluated against the spectrophotometric and gaseous-H₂S calibration data of Chapter 4.</w:t>
      </w:r>
    </w:p>
    <w:p>
      <w:pPr>
        <w:spacing w:after="140" w:line="276"/>
        <w:jc w:val="both"/>
      </w:pPr>
      <w:r>
        <w:rPr>
          <w:rFonts w:ascii="Times New Roman" w:cs="Times New Roman" w:eastAsia="Times New Roman" w:hAnsi="Times New Roman"/>
          <w:b/>
          <w:bCs/>
        </w:rPr>
        <w:t xml:space="preserve">Chemical response integrity.</w:t>
      </w:r>
      <w:r>
        <w:rPr>
          <w:rFonts w:ascii="Times New Roman" w:cs="Times New Roman" w:eastAsia="Times New Roman" w:hAnsi="Times New Roman"/>
        </w:rPr>
        <w:t xml:space="preserve"> The measured (a*, b*) values are retained as secondary response-quality information. Unexpected colour trajectories are flagged for review and not converted directly into dose.</w:t>
      </w:r>
    </w:p>
    <w:p>
      <w:pPr>
        <w:pStyle w:val="Heading2"/>
      </w:pPr>
      <w:r>
        <w:rPr>
          <w:rFonts w:ascii="Times New Roman" w:cs="Times New Roman" w:eastAsia="Times New Roman" w:hAnsi="Times New Roman"/>
        </w:rPr>
        <w:t xml:space="preserve">3.6 Temperature Compensation</w:t>
      </w:r>
    </w:p>
    <w:p>
      <w:pPr>
        <w:spacing w:after="140" w:line="276"/>
        <w:jc w:val="both"/>
      </w:pPr>
      <w:r>
        <w:rPr>
          <w:rFonts w:ascii="Times New Roman" w:cs="Times New Roman" w:eastAsia="Times New Roman" w:hAnsi="Times New Roman"/>
        </w:rPr>
        <w:t xml:space="preserve">Temperature is an environmental disturbance that acts on the badge between issue and scan. Gas diffusivity rises with temperature, which changes the sampling rate Q of Chapter 1; reaction conditions shift; and the equilibrium water content of the glycerol film changes with it. The same dose can therefore produce slightly different darkening at different temperatures.</w:t>
      </w:r>
    </w:p>
    <w:p>
      <w:pPr>
        <w:spacing w:after="140" w:line="276"/>
        <w:jc w:val="both"/>
      </w:pPr>
      <w:r>
        <w:rPr>
          <w:rFonts w:ascii="Times New Roman" w:cs="Times New Roman" w:eastAsia="Times New Roman" w:hAnsi="Times New Roman"/>
        </w:rPr>
        <w:t xml:space="preserve">The application accounts for this using temperature data from the surroundings. The dose model takes the form</w:t>
      </w:r>
    </w:p>
    <w:p>
      <w:pPr>
        <w:spacing w:after="160" w:before="80"/>
        <w:jc w:val="center"/>
      </w:pPr>
      <w:r>
        <w:rPr>
          <w:rFonts w:ascii="Times New Roman" w:cs="Times New Roman" w:eastAsia="Times New Roman" w:hAnsi="Times New Roman"/>
          <w:i/>
          <w:iCs/>
        </w:rPr>
        <w:t xml:space="preserve">D = P(ΔL*) · k(T)</w:t>
      </w:r>
    </w:p>
    <w:p>
      <w:pPr>
        <w:spacing w:after="140" w:line="276"/>
        <w:jc w:val="both"/>
      </w:pPr>
      <w:r>
        <w:rPr>
          <w:rFonts w:ascii="Times New Roman" w:cs="Times New Roman" w:eastAsia="Times New Roman" w:hAnsi="Times New Roman"/>
        </w:rPr>
        <w:t xml:space="preserve">where P is the calibration polynomial of Chapter 4, T is the ambient temperature, and k(T) is a correction factor normalised to 1 at the calibration temperature. The functional form and coefficients of k(T) are not assumed. They are fitted from chamber exposures at several temperatures (Chapter 4) and stored in the same versioned configuration file as the dose polynomial, so adding or refining temperature correction does not alter the pipeline code. In keeping with the fail-loudly principle, a scan whose temperature falls outside the calibrated range should be flagged and not silently extrapolated.</w:t>
      </w:r>
    </w:p>
    <w:p>
      <w:pPr>
        <w:pStyle w:val="Heading2"/>
      </w:pPr>
      <w:r>
        <w:rPr>
          <w:rFonts w:ascii="Times New Roman" w:cs="Times New Roman" w:eastAsia="Times New Roman" w:hAnsi="Times New Roman"/>
        </w:rPr>
        <w:t xml:space="preserve">3.7 Output</w:t>
      </w:r>
    </w:p>
    <w:p>
      <w:pPr>
        <w:spacing w:after="140" w:line="276"/>
        <w:jc w:val="both"/>
      </w:pPr>
      <w:r>
        <w:rPr>
          <w:rFonts w:ascii="Times New Roman" w:cs="Times New Roman" w:eastAsia="Times New Roman" w:hAnsi="Times New Roman"/>
        </w:rPr>
        <w:t xml:space="preserve">A provisional calibration model maps ΔL* to estimated cumulative exposure (ppm·hr), corrected for temperature as above, and the app derives the 8-hour TWA from it. These estimates remain experimental until controlled gaseous-H₂S calibration establishes the final coefficient set and valid operating range. A single end-of-shift passive measurement cannot determine short-term peak exposure or STEL compliance, so stelDeterminable remains false for a single scan.</w:t>
      </w:r>
    </w:p>
    <w:p>
      <w:pPr>
        <w:pStyle w:val="Heading1"/>
        <w:pageBreakBefore/>
      </w:pPr>
      <w:r>
        <w:rPr>
          <w:rFonts w:ascii="Times New Roman" w:cs="Times New Roman" w:eastAsia="Times New Roman" w:hAnsi="Times New Roman"/>
        </w:rPr>
        <w:t xml:space="preserve">Chapter 4: Spectrophotometric Ground-Truth Calibration</w:t>
      </w:r>
    </w:p>
    <w:p>
      <w:pPr>
        <w:pStyle w:val="Heading2"/>
      </w:pPr>
      <w:r>
        <w:rPr>
          <w:rFonts w:ascii="Times New Roman" w:cs="Times New Roman" w:eastAsia="Times New Roman" w:hAnsi="Times New Roman"/>
        </w:rPr>
        <w:t xml:space="preserve">4.1 Purpose and Scope</w:t>
      </w:r>
    </w:p>
    <w:p>
      <w:pPr>
        <w:spacing w:after="140" w:line="276"/>
        <w:jc w:val="both"/>
      </w:pPr>
      <w:r>
        <w:rPr>
          <w:rFonts w:ascii="Times New Roman" w:cs="Times New Roman" w:eastAsia="Times New Roman" w:hAnsi="Times New Roman"/>
        </w:rPr>
        <w:t xml:space="preserve">The software pipeline of Chapter 3 is functionally complete but empirically uncalibrated, and its dose model currently holds placeholder coefficients in the Kotlin configuration module. This chapter defines the laboratory protocol that replaces them. The mapping from optical state to cumulative dose is a property of the chemistry and membrane stack, so it must be established against an independent physical standard, a solid-state UV-Vis spectrophotometer, and not inferred from the smartphone itself. Preliminary tests with liquid sulfide confirmed progressive darkening of strips, but liquid-phase dosing does not reproduce gas-phase diffusion through the membrane and is not a valid calibration.</w:t>
      </w:r>
    </w:p>
    <w:p>
      <w:pPr>
        <w:pStyle w:val="Heading2"/>
      </w:pPr>
      <w:r>
        <w:rPr>
          <w:rFonts w:ascii="Times New Roman" w:cs="Times New Roman" w:eastAsia="Times New Roman" w:hAnsi="Times New Roman"/>
        </w:rPr>
        <w:t xml:space="preserve">4.2 The Sealed Acrylic Exposure Chamber</w:t>
      </w:r>
    </w:p>
    <w:p>
      <w:pPr>
        <w:spacing w:after="140" w:line="276"/>
        <w:jc w:val="both"/>
      </w:pPr>
      <w:r>
        <w:rPr>
          <w:rFonts w:ascii="Times New Roman" w:cs="Times New Roman" w:eastAsia="Times New Roman" w:hAnsi="Times New Roman"/>
        </w:rPr>
        <w:t xml:space="preserve">Exposures are performed in a sealed acrylic (PMMA) chamber, chosen for optical transparency, machinability and low H₂S sorption relative to elastomers. Wetted surfaces are ideally fluoropolymer-lined or pre-conditioned at the test concentration, because sulfide adsorbs onto surfaces. The specification includes:</w:t>
      </w:r>
    </w:p>
    <w:p>
      <w:pPr>
        <w:pStyle w:val="ListParagraph"/>
        <w:numPr>
          <w:ilvl w:val="0"/>
          <w:numId w:val="2"/>
        </w:numPr>
        <w:spacing w:after="80"/>
        <w:jc w:val="both"/>
      </w:pPr>
      <w:r>
        <w:rPr>
          <w:rFonts w:ascii="Times New Roman" w:cs="Times New Roman" w:eastAsia="Times New Roman" w:hAnsi="Times New Roman"/>
          <w:b/>
          <w:bCs/>
        </w:rPr>
        <w:t xml:space="preserve">Mixing:</w:t>
      </w:r>
      <w:r>
        <w:rPr>
          <w:rFonts w:ascii="Times New Roman" w:cs="Times New Roman" w:eastAsia="Times New Roman" w:hAnsi="Times New Roman"/>
        </w:rPr>
        <w:t xml:space="preserve"> a small fan keeps concentration spatially uniform, with wind speed at the badge face held low and reported.</w:t>
      </w:r>
    </w:p>
    <w:p>
      <w:pPr>
        <w:pStyle w:val="ListParagraph"/>
        <w:numPr>
          <w:ilvl w:val="0"/>
          <w:numId w:val="2"/>
        </w:numPr>
        <w:spacing w:after="80"/>
        <w:jc w:val="both"/>
      </w:pPr>
      <w:r>
        <w:rPr>
          <w:rFonts w:ascii="Times New Roman" w:cs="Times New Roman" w:eastAsia="Times New Roman" w:hAnsi="Times New Roman"/>
          <w:b/>
          <w:bCs/>
        </w:rPr>
        <w:t xml:space="preserve">Badge fixtures:</w:t>
      </w:r>
      <w:r>
        <w:rPr>
          <w:rFonts w:ascii="Times New Roman" w:cs="Times New Roman" w:eastAsia="Times New Roman" w:hAnsi="Times New Roman"/>
        </w:rPr>
        <w:t xml:space="preserve"> a rack presenting prototype badges in the wrist-worn orientation, with ports for timed extraction so that removing one unit does not disturb the others.</w:t>
      </w:r>
    </w:p>
    <w:p>
      <w:pPr>
        <w:pStyle w:val="ListParagraph"/>
        <w:numPr>
          <w:ilvl w:val="0"/>
          <w:numId w:val="2"/>
        </w:numPr>
        <w:spacing w:after="80"/>
        <w:jc w:val="both"/>
      </w:pPr>
      <w:r>
        <w:rPr>
          <w:rFonts w:ascii="Times New Roman" w:cs="Times New Roman" w:eastAsia="Times New Roman" w:hAnsi="Times New Roman"/>
          <w:b/>
          <w:bCs/>
        </w:rPr>
        <w:t xml:space="preserve">Environmental control:</w:t>
      </w:r>
      <w:r>
        <w:rPr>
          <w:rFonts w:ascii="Times New Roman" w:cs="Times New Roman" w:eastAsia="Times New Roman" w:hAnsi="Times New Roman"/>
        </w:rPr>
        <w:t xml:space="preserve"> humidity set by saturated salt solutions or a humidity generator, with calibration repeated at low, mid and high humidity (for example 20, 50 and 85% RH) to verify the glycerol humectant's stabilising effect. Temperature is held at 25 ± 1 °C for the reference runs and then deliberately varied across a set of levels to characterise the temperature correction of Section 3.6.</w:t>
      </w:r>
    </w:p>
    <w:p>
      <w:pPr>
        <w:pStyle w:val="ListParagraph"/>
        <w:numPr>
          <w:ilvl w:val="0"/>
          <w:numId w:val="2"/>
        </w:numPr>
        <w:spacing w:after="80"/>
        <w:jc w:val="both"/>
      </w:pPr>
      <w:r>
        <w:rPr>
          <w:rFonts w:ascii="Times New Roman" w:cs="Times New Roman" w:eastAsia="Times New Roman" w:hAnsi="Times New Roman"/>
          <w:b/>
          <w:bCs/>
        </w:rPr>
        <w:t xml:space="preserve">Reference monitoring:</w:t>
      </w:r>
      <w:r>
        <w:rPr>
          <w:rFonts w:ascii="Times New Roman" w:cs="Times New Roman" w:eastAsia="Times New Roman" w:hAnsi="Times New Roman"/>
        </w:rPr>
        <w:t xml:space="preserve"> an independent traceable analyser, such as a pulsed-fluorescence or electrochemical H₂S sensor, records the true concentration C(t) continuously, because the nominal generated value is never taken as truth.</w:t>
      </w:r>
    </w:p>
    <w:p>
      <w:pPr>
        <w:spacing w:after="140" w:line="276"/>
        <w:jc w:val="both"/>
      </w:pPr>
      <w:r>
        <w:rPr>
          <w:rFonts w:ascii="Times New Roman" w:cs="Times New Roman" w:eastAsia="Times New Roman" w:hAnsi="Times New Roman"/>
        </w:rPr>
        <w:t xml:space="preserve">All work is conducted in a ventilated laboratory with a personal H₂S monitor in use and scrubbed exhaust.</w:t>
      </w:r>
    </w:p>
    <w:p>
      <w:pPr>
        <w:pStyle w:val="Heading2"/>
      </w:pPr>
      <w:r>
        <w:rPr>
          <w:rFonts w:ascii="Times New Roman" w:cs="Times New Roman" w:eastAsia="Times New Roman" w:hAnsi="Times New Roman"/>
        </w:rPr>
        <w:t xml:space="preserve">4.3 Generation of Trace H₂S and the Test Matrix</w:t>
      </w:r>
    </w:p>
    <w:p>
      <w:pPr>
        <w:spacing w:after="140" w:line="276"/>
        <w:jc w:val="both"/>
      </w:pPr>
      <w:r>
        <w:rPr>
          <w:rFonts w:ascii="Times New Roman" w:cs="Times New Roman" w:eastAsia="Times New Roman" w:hAnsi="Times New Roman"/>
        </w:rPr>
        <w:t xml:space="preserve">Certified H₂S in nitrogen, metered through mass-flow controllers and diluted with humidified zero air, is the preferred source. Permeation tubes are an alternative. In-situ generation by acidifying sodium sulfide:</w:t>
      </w:r>
    </w:p>
    <w:p>
      <w:pPr>
        <w:spacing w:after="160" w:before="80"/>
        <w:jc w:val="center"/>
      </w:pPr>
      <w:r>
        <w:rPr>
          <w:rFonts w:ascii="Times New Roman" w:cs="Times New Roman" w:eastAsia="Times New Roman" w:hAnsi="Times New Roman"/>
          <w:i/>
          <w:iCs/>
        </w:rPr>
        <w:t xml:space="preserve">Na₂S + 2HCl → 2NaCl + H₂S↑</w:t>
      </w:r>
    </w:p>
    <w:p>
      <w:pPr>
        <w:spacing w:after="140" w:line="276"/>
        <w:jc w:val="both"/>
      </w:pPr>
      <w:r>
        <w:rPr>
          <w:rFonts w:ascii="Times New Roman" w:cs="Times New Roman" w:eastAsia="Times New Roman" w:hAnsi="Times New Roman"/>
        </w:rPr>
        <w:t xml:space="preserve">is possible for small volumes but yields poorly controlled concentrations and is not recommended for primary calibration.</w:t>
      </w:r>
    </w:p>
    <w:p>
      <w:pPr>
        <w:spacing w:after="140" w:line="276"/>
        <w:jc w:val="both"/>
      </w:pPr>
      <w:r>
        <w:rPr>
          <w:rFonts w:ascii="Times New Roman" w:cs="Times New Roman" w:eastAsia="Times New Roman" w:hAnsi="Times New Roman"/>
        </w:rPr>
        <w:t xml:space="preserve">The matrix spans roughly 1 to 50 ppm, covering the 1 ppm ACGIH TWA region toward higher excursions, with durations from minutes to a full 8–12 hour shift. Crucially, it decouples concentration from time: equal ppm·hr values are reached at different combinations (for example 5 ppm for 4 hr and 20 ppm for 1 hr), which tests the central dosimetric assumption of reciprocity, that response depends on ∫C dt alone. Deviations at high concentration, where surface saturation or acid accumulation could alter behaviour, bound the valid range of the final model. Cross-sensitivity runs with mercaptans, and blanks in clean air, are included. The dose assigned to each badge is computed from the reference trace:</w:t>
      </w:r>
    </w:p>
    <w:p>
      <w:pPr>
        <w:spacing w:after="160" w:before="80"/>
        <w:jc w:val="center"/>
      </w:pPr>
      <w:r>
        <w:rPr>
          <w:rFonts w:ascii="Times New Roman" w:cs="Times New Roman" w:eastAsia="Times New Roman" w:hAnsi="Times New Roman"/>
          <w:i/>
          <w:iCs/>
        </w:rPr>
        <w:t xml:space="preserve">D = ∫₀ᵗ C_ref(τ) dτ ≈ Σ C_ref,i · Δt_i (ppm·hr)</w:t>
      </w:r>
    </w:p>
    <w:p>
      <w:pPr>
        <w:pStyle w:val="Heading2"/>
      </w:pPr>
      <w:r>
        <w:rPr>
          <w:rFonts w:ascii="Times New Roman" w:cs="Times New Roman" w:eastAsia="Times New Roman" w:hAnsi="Times New Roman"/>
        </w:rPr>
        <w:t xml:space="preserve">4.4 Spectrophotometric Measurement</w:t>
      </w:r>
    </w:p>
    <w:p>
      <w:pPr>
        <w:spacing w:after="140" w:line="276"/>
        <w:jc w:val="both"/>
      </w:pPr>
      <w:r>
        <w:rPr>
          <w:rFonts w:ascii="Times New Roman" w:cs="Times New Roman" w:eastAsia="Times New Roman" w:hAnsi="Times New Roman"/>
        </w:rPr>
        <w:t xml:space="preserve">Exposed pads are extracted at timed intervals, sealed against further reaction and measured promptly on a UV-Vis spectrophotometer with an integrating sphere. Diffuse reflectance R(λ) is recorded from about 380 to 780 nm against a certified white reference, at several positions per pad, with unexposed pads from the same batch supplying R₀(λ). Because paper is strongly scattering, absorbance computed as −log R is not linear in absorber amount. The Kubelka–Munk function treats the sample as an absorbing and scattering layer:</w:t>
      </w:r>
    </w:p>
    <w:p>
      <w:pPr>
        <w:spacing w:after="160" w:before="80"/>
        <w:jc w:val="center"/>
      </w:pPr>
      <w:r>
        <w:rPr>
          <w:rFonts w:ascii="Times New Roman" w:cs="Times New Roman" w:eastAsia="Times New Roman" w:hAnsi="Times New Roman"/>
          <w:i/>
          <w:iCs/>
        </w:rPr>
        <w:t xml:space="preserve">F(R∞) = (1 − R∞)² / (2R∞) = K / S</w:t>
      </w:r>
    </w:p>
    <w:p>
      <w:pPr>
        <w:spacing w:after="140" w:line="276"/>
        <w:jc w:val="both"/>
      </w:pPr>
      <w:r>
        <w:rPr>
          <w:rFonts w:ascii="Times New Roman" w:cs="Times New Roman" w:eastAsia="Times New Roman" w:hAnsi="Times New Roman"/>
        </w:rPr>
        <w:t xml:space="preserve">Because absorbing CuS accumulates while the scattering of the cellulose is essentially unchanged, K rises with CuS content and F(R∞) rises monotonically with captured sulfide:</w:t>
      </w:r>
    </w:p>
    <w:p>
      <w:pPr>
        <w:spacing w:after="160" w:before="80"/>
        <w:jc w:val="center"/>
      </w:pPr>
      <w:r>
        <w:rPr>
          <w:rFonts w:ascii="Times New Roman" w:cs="Times New Roman" w:eastAsia="Times New Roman" w:hAnsi="Times New Roman"/>
          <w:i/>
          <w:iCs/>
        </w:rPr>
        <w:t xml:space="preserve">ΔF = F(R) − F(R₀) = ε′ · n_CuS ∝ D</w:t>
      </w:r>
    </w:p>
    <w:p>
      <w:pPr>
        <w:spacing w:after="140" w:line="276"/>
        <w:jc w:val="both"/>
      </w:pPr>
      <w:r>
        <w:rPr>
          <w:rFonts w:ascii="Times New Roman" w:cs="Times New Roman" w:eastAsia="Times New Roman" w:hAnsi="Times New Roman"/>
        </w:rPr>
        <w:t xml:space="preserve">Optical thickness is checked by measuring pads over black and white backings, with a finite-layer correction if they disagree, and departure from linearity at high dose is characterised in the data.</w:t>
      </w:r>
    </w:p>
    <w:p>
      <w:pPr>
        <w:pStyle w:val="Heading2"/>
      </w:pPr>
      <w:r>
        <w:rPr>
          <w:rFonts w:ascii="Times New Roman" w:cs="Times New Roman" w:eastAsia="Times New Roman" w:hAnsi="Times New Roman"/>
        </w:rPr>
        <w:t xml:space="preserve">4.5 Bridging Spectra to the Smartphone Observable</w:t>
      </w:r>
    </w:p>
    <w:p>
      <w:pPr>
        <w:spacing w:after="140" w:line="276"/>
        <w:jc w:val="both"/>
      </w:pPr>
      <w:r>
        <w:rPr>
          <w:rFonts w:ascii="Times New Roman" w:cs="Times New Roman" w:eastAsia="Times New Roman" w:hAnsi="Times New Roman"/>
        </w:rPr>
        <w:t xml:space="preserve">The app does not measure F(R). It estimates ΔL* from a corrected camera image, so the calibration must link the two. From each spectrum the CIE L* is computed under D65 and the 2° observer, and ΔL* is derived against R₀. A parallel set of the same pads is photographed with the production app under several lighting conditions and phone models, with the full Chapter 3 pipeline applied. Agreement between spectrophotometric and app-derived L* verifies the CCM and flat-field stages end to end and quantifies the app's uncertainty, which sets the reported confidence bounds. The same paired data is used to test ΔL* against alternatives such as ΔE00, and the choice is confirmed or revised on the evidence.</w:t>
      </w:r>
    </w:p>
    <w:p>
      <w:pPr>
        <w:pStyle w:val="Heading2"/>
      </w:pPr>
      <w:r>
        <w:rPr>
          <w:rFonts w:ascii="Times New Roman" w:cs="Times New Roman" w:eastAsia="Times New Roman" w:hAnsi="Times New Roman"/>
        </w:rPr>
        <w:t xml:space="preserve">4.6 Regression and Coefficient Generation</w:t>
      </w:r>
    </w:p>
    <w:p>
      <w:pPr>
        <w:spacing w:after="140" w:line="276"/>
        <w:jc w:val="both"/>
      </w:pPr>
      <w:r>
        <w:rPr>
          <w:rFonts w:ascii="Times New Roman" w:cs="Times New Roman" w:eastAsia="Times New Roman" w:hAnsi="Times New Roman"/>
        </w:rPr>
        <w:t xml:space="preserve">With paired data (ΔL*ᵢ, Dᵢ), the dose model is fitted as a low-order polynomial:</w:t>
      </w:r>
    </w:p>
    <w:p>
      <w:pPr>
        <w:spacing w:after="160" w:before="80"/>
        <w:jc w:val="center"/>
      </w:pPr>
      <w:r>
        <w:rPr>
          <w:rFonts w:ascii="Times New Roman" w:cs="Times New Roman" w:eastAsia="Times New Roman" w:hAnsi="Times New Roman"/>
          <w:i/>
          <w:iCs/>
        </w:rPr>
        <w:t xml:space="preserve">D = c₀ + c₁x + c₂x² + c₃x³, where x = ΔL*</w:t>
      </w:r>
    </w:p>
    <w:p>
      <w:pPr>
        <w:spacing w:after="140" w:line="276"/>
        <w:jc w:val="both"/>
      </w:pPr>
      <w:r>
        <w:rPr>
          <w:rFonts w:ascii="Times New Roman" w:cs="Times New Roman" w:eastAsia="Times New Roman" w:hAnsi="Times New Roman"/>
        </w:rPr>
        <w:t xml:space="preserve">Dose is the dependent variable because it is what the app must predict. Polynomial order is chosen by k-fold cross-validation and information criteria, and monotonicity is enforced by checking dD/dx &gt; 0 over the valid range, since a non-monotonic fit would assign two doses to one colour. The fit is tested on held-out badges from independent batches to expose batch-to-batch variability, and prediction intervals are computed. Residuals against humidity, temperature and concentration reveal environmental dependence: temperature residuals are used to fit the factor k(T) of Section 3.6, and remaining humidity dependence would need a correction term or a tightened operating envelope. The validity range in ΔL*, ppm·hr and temperature is recorded, and the app rejects scans outside it as out of calibration.</w:t>
      </w:r>
    </w:p>
    <w:p>
      <w:pPr>
        <w:pStyle w:val="Heading2"/>
      </w:pPr>
      <w:r>
        <w:rPr>
          <w:rFonts w:ascii="Times New Roman" w:cs="Times New Roman" w:eastAsia="Times New Roman" w:hAnsi="Times New Roman"/>
        </w:rPr>
        <w:t xml:space="preserve">4.7 Deployment into the Decoupled Architecture</w:t>
      </w:r>
    </w:p>
    <w:p>
      <w:pPr>
        <w:spacing w:after="140" w:line="276"/>
        <w:jc w:val="both"/>
      </w:pPr>
      <w:r>
        <w:rPr>
          <w:rFonts w:ascii="Times New Roman" w:cs="Times New Roman" w:eastAsia="Times New Roman" w:hAnsi="Times New Roman"/>
        </w:rPr>
        <w:t xml:space="preserve">The final output is a small versioned coefficient file containing c₀ to c₃, the temperature-correction parameters, validity bounds, prediction-interval parameters, the reference colour-trajectory points used for the response-quality check, and calibration metadata (batch, date, chamber conditions). Because the pipeline reads these as data, replacing the placeholder requires no change to rectification, sampling, normalization or dosimetry code. Recalibration for a new paper lot or reagent batch is likewise a file update.</w:t>
      </w:r>
    </w:p>
    <w:p>
      <w:pPr>
        <w:pStyle w:val="Heading1"/>
        <w:pageBreakBefore/>
      </w:pPr>
      <w:r>
        <w:rPr>
          <w:rFonts w:ascii="Times New Roman" w:cs="Times New Roman" w:eastAsia="Times New Roman" w:hAnsi="Times New Roman"/>
        </w:rPr>
        <w:t xml:space="preserve">Chapter 5: The Circular Economy Loop</w:t>
      </w:r>
    </w:p>
    <w:p>
      <w:pPr>
        <w:pStyle w:val="Heading2"/>
      </w:pPr>
      <w:r>
        <w:rPr>
          <w:rFonts w:ascii="Times New Roman" w:cs="Times New Roman" w:eastAsia="Times New Roman" w:hAnsi="Times New Roman"/>
        </w:rPr>
        <w:t xml:space="preserve">5.1 Rationale</w:t>
      </w:r>
    </w:p>
    <w:p>
      <w:pPr>
        <w:spacing w:after="140" w:line="276"/>
        <w:jc w:val="both"/>
      </w:pPr>
      <w:r>
        <w:rPr>
          <w:rFonts w:ascii="Times New Roman" w:cs="Times New Roman" w:eastAsia="Times New Roman" w:hAnsi="Times New Roman"/>
        </w:rPr>
        <w:t xml:space="preserve">Within the wristband, CuS is stable and therefore a faithful memory of dose. Outside it, in a controlled industrial setting, the same compound can be driven back to its precursor. The loop separates two timescales: permanence while the badge is worn, and regeneration afterwards. Regeneration is an option alongside simple disposal of spent strips (Section 1.6), and it is what allows the active reagents to be reused.</w:t>
      </w:r>
    </w:p>
    <w:p>
      <w:pPr>
        <w:pStyle w:val="Heading2"/>
      </w:pPr>
      <w:r>
        <w:rPr>
          <w:rFonts w:ascii="Times New Roman" w:cs="Times New Roman" w:eastAsia="Times New Roman" w:hAnsi="Times New Roman"/>
        </w:rPr>
        <w:t xml:space="preserve">5.2 Collection and Bath Chemistry</w:t>
      </w:r>
    </w:p>
    <w:p>
      <w:pPr>
        <w:spacing w:after="140" w:line="276"/>
        <w:jc w:val="both"/>
      </w:pPr>
      <w:r>
        <w:rPr>
          <w:rFonts w:ascii="Times New Roman" w:cs="Times New Roman" w:eastAsia="Times New Roman" w:hAnsi="Times New Roman"/>
        </w:rPr>
        <w:t xml:space="preserve">After the final scan has been logged, spent paper strips are removed from the badges and collected at a central station. Membranes are handled separately (Section 5.6). The strips are loaded into a corrosion-resistant bath of polyethylene, polypropylene or PTFE-lined construction, never metal, containing 30% w/w hydrogen peroxide. At that strength the solution is about 9–10 mol/L in H₂O₂, a very large stoichiometric excess over the micromoles of sulfide held in each pad. The excess drives oxidation fully to sulfate and outcompetes peroxide decomposition.</w:t>
      </w:r>
    </w:p>
    <w:p>
      <w:pPr>
        <w:pStyle w:val="Heading2"/>
      </w:pPr>
      <w:r>
        <w:rPr>
          <w:rFonts w:ascii="Times New Roman" w:cs="Times New Roman" w:eastAsia="Times New Roman" w:hAnsi="Times New Roman"/>
        </w:rPr>
        <w:t xml:space="preserve">5.3 Redox Chemistry and Thermodynamics</w:t>
      </w:r>
    </w:p>
    <w:p>
      <w:pPr>
        <w:spacing w:after="140" w:line="276"/>
        <w:jc w:val="both"/>
      </w:pPr>
      <w:r>
        <w:rPr>
          <w:rFonts w:ascii="Times New Roman" w:cs="Times New Roman" w:eastAsia="Times New Roman" w:hAnsi="Times New Roman"/>
        </w:rPr>
        <w:t xml:space="preserve">The sulfide in CuS is oxidised through the full eight-electron change from S(−II) to S(+VI):</w:t>
      </w:r>
    </w:p>
    <w:p>
      <w:pPr>
        <w:spacing w:after="160" w:before="80"/>
        <w:jc w:val="center"/>
      </w:pPr>
      <w:r>
        <w:rPr>
          <w:rFonts w:ascii="Times New Roman" w:cs="Times New Roman" w:eastAsia="Times New Roman" w:hAnsi="Times New Roman"/>
          <w:i/>
          <w:iCs/>
        </w:rPr>
        <w:t xml:space="preserve">S²⁻ + 4H₂O → SO₄²⁻ + 8H⁺ + 8e⁻</w:t>
      </w:r>
    </w:p>
    <w:p>
      <w:pPr>
        <w:spacing w:after="160" w:before="80"/>
        <w:jc w:val="center"/>
      </w:pPr>
      <w:r>
        <w:rPr>
          <w:rFonts w:ascii="Times New Roman" w:cs="Times New Roman" w:eastAsia="Times New Roman" w:hAnsi="Times New Roman"/>
          <w:i/>
          <w:iCs/>
        </w:rPr>
        <w:t xml:space="preserve">4H₂O₂ + 8H⁺ + 8e⁻ → 8H₂O</w:t>
      </w:r>
    </w:p>
    <w:p>
      <w:pPr>
        <w:spacing w:after="140" w:line="276"/>
        <w:jc w:val="both"/>
      </w:pPr>
      <w:r>
        <w:rPr>
          <w:rFonts w:ascii="Times New Roman" w:cs="Times New Roman" w:eastAsia="Times New Roman" w:hAnsi="Times New Roman"/>
        </w:rPr>
        <w:t xml:space="preserve">Summing the half-reactions gives the net ionic equation, and for the solid sulfide the overall reversal is:</w:t>
      </w:r>
    </w:p>
    <w:p>
      <w:pPr>
        <w:spacing w:after="160" w:before="80"/>
        <w:jc w:val="center"/>
      </w:pPr>
      <w:r>
        <w:rPr>
          <w:rFonts w:ascii="Times New Roman" w:cs="Times New Roman" w:eastAsia="Times New Roman" w:hAnsi="Times New Roman"/>
          <w:i/>
          <w:iCs/>
        </w:rPr>
        <w:t xml:space="preserve">S²⁻ + 4H₂O₂ → SO₄²⁻ + 4H₂O</w:t>
      </w:r>
    </w:p>
    <w:p>
      <w:pPr>
        <w:spacing w:after="160" w:before="80"/>
        <w:jc w:val="center"/>
      </w:pPr>
      <w:r>
        <w:rPr>
          <w:rFonts w:ascii="Times New Roman" w:cs="Times New Roman" w:eastAsia="Times New Roman" w:hAnsi="Times New Roman"/>
          <w:i/>
          <w:iCs/>
        </w:rPr>
        <w:t xml:space="preserve">CuS(s) + 4H₂O₂(aq) → CuSO₄(aq) + 4H₂O(l)</w:t>
      </w:r>
    </w:p>
    <w:p>
      <w:pPr>
        <w:spacing w:after="140" w:line="276"/>
        <w:jc w:val="both"/>
      </w:pPr>
      <w:r>
        <w:rPr>
          <w:rFonts w:ascii="Times New Roman" w:cs="Times New Roman" w:eastAsia="Times New Roman" w:hAnsi="Times New Roman"/>
        </w:rPr>
        <w:t xml:space="preserve">Using standard formation data (ΔfG° of roughly −53.6 kJ/mol for CuS, −134.1 for H₂O₂(aq), +65.5 for Cu²⁺(aq), −744.5 for SO₄²⁻(aq) and −237.1 for H₂O(l)), the reaction free energy is approximately ΔG° ≈ −1.04 × 10³ kJ/mol. Tabulated values vary between sources, but the reaction is enormously favourable and strongly exothermic. Precipitation is favoured under reducing, sulfide-rich conditions and oxidation when a strong oxidant is supplied, so the two reactions do not contradict each other.</w:t>
      </w:r>
    </w:p>
    <w:p>
      <w:pPr>
        <w:pStyle w:val="Heading2"/>
      </w:pPr>
      <w:r>
        <w:rPr>
          <w:rFonts w:ascii="Times New Roman" w:cs="Times New Roman" w:eastAsia="Times New Roman" w:hAnsi="Times New Roman"/>
        </w:rPr>
        <w:t xml:space="preserve">5.4 Bleaching and Practical Complications</w:t>
      </w:r>
    </w:p>
    <w:p>
      <w:pPr>
        <w:spacing w:after="140" w:line="276"/>
        <w:jc w:val="both"/>
      </w:pPr>
      <w:r>
        <w:rPr>
          <w:rFonts w:ascii="Times New Roman" w:cs="Times New Roman" w:eastAsia="Times New Roman" w:hAnsi="Times New Roman"/>
        </w:rPr>
        <w:t xml:space="preserve">As oxidation proceeds, the brown-black solid dissolves and Cu²⁺ returns to solution as the pale-blue hexaaqua complex. Completion is verified optically: the same lightness metric used in the field app, L*, is measured on the bleached strips and must return to the baseline of fresh substrate within tolerance. Three complications need engineering control, which is why "water as the only by-product" holds for the main stoichiometry and not for the bath as a whole.</w:t>
      </w:r>
    </w:p>
    <w:p>
      <w:pPr>
        <w:pStyle w:val="ListParagraph"/>
        <w:numPr>
          <w:ilvl w:val="0"/>
          <w:numId w:val="2"/>
        </w:numPr>
        <w:spacing w:after="80"/>
        <w:jc w:val="both"/>
      </w:pPr>
      <w:r>
        <w:rPr>
          <w:rFonts w:ascii="Times New Roman" w:cs="Times New Roman" w:eastAsia="Times New Roman" w:hAnsi="Times New Roman"/>
          <w:b/>
          <w:bCs/>
        </w:rPr>
        <w:t xml:space="preserve">Catalytic peroxide decomposition.</w:t>
      </w:r>
      <w:r>
        <w:rPr>
          <w:rFonts w:ascii="Times New Roman" w:cs="Times New Roman" w:eastAsia="Times New Roman" w:hAnsi="Times New Roman"/>
        </w:rPr>
        <w:t xml:space="preserve"> Copper(II) catalyses 2H₂O₂ → 2H₂O + O₂↑, consuming oxidant and releasing oxygen and heat. The bath therefore requires temperature control, venting and additions in measured steps.</w:t>
      </w:r>
    </w:p>
    <w:p>
      <w:pPr>
        <w:pStyle w:val="ListParagraph"/>
        <w:numPr>
          <w:ilvl w:val="0"/>
          <w:numId w:val="2"/>
        </w:numPr>
        <w:spacing w:after="80"/>
        <w:jc w:val="both"/>
      </w:pPr>
      <w:r>
        <w:rPr>
          <w:rFonts w:ascii="Times New Roman" w:cs="Times New Roman" w:eastAsia="Times New Roman" w:hAnsi="Times New Roman"/>
          <w:b/>
          <w:bCs/>
        </w:rPr>
        <w:t xml:space="preserve">Incomplete oxidation.</w:t>
      </w:r>
      <w:r>
        <w:rPr>
          <w:rFonts w:ascii="Times New Roman" w:cs="Times New Roman" w:eastAsia="Times New Roman" w:hAnsi="Times New Roman"/>
        </w:rPr>
        <w:t xml:space="preserve"> Where peroxide is limiting or the bath is cold, sulfide can stop at elemental sulfur, thiosulfate or sulfite. A large excess and adequate residence time push the system to sulfate, and a residual-peroxide test confirms that excess remains.</w:t>
      </w:r>
    </w:p>
    <w:p>
      <w:pPr>
        <w:pStyle w:val="ListParagraph"/>
        <w:numPr>
          <w:ilvl w:val="0"/>
          <w:numId w:val="2"/>
        </w:numPr>
        <w:spacing w:after="80"/>
        <w:jc w:val="both"/>
      </w:pPr>
      <w:r>
        <w:rPr>
          <w:rFonts w:ascii="Times New Roman" w:cs="Times New Roman" w:eastAsia="Times New Roman" w:hAnsi="Times New Roman"/>
          <w:b/>
          <w:bCs/>
        </w:rPr>
        <w:t xml:space="preserve">Cellulose attack.</w:t>
      </w:r>
      <w:r>
        <w:rPr>
          <w:rFonts w:ascii="Times New Roman" w:cs="Times New Roman" w:eastAsia="Times New Roman" w:hAnsi="Times New Roman"/>
        </w:rPr>
        <w:t xml:space="preserve"> Peroxide with Cu²⁺ generates hydroxyl radicals through Fenton-type chemistry and can depolymerise cellulose and oxidise glycerol. Contact time is kept to the minimum needed for bleaching, which also limits how many cycles a strip can survive.</w:t>
      </w:r>
    </w:p>
    <w:p>
      <w:pPr>
        <w:pStyle w:val="Heading2"/>
      </w:pPr>
      <w:r>
        <w:rPr>
          <w:rFonts w:ascii="Times New Roman" w:cs="Times New Roman" w:eastAsia="Times New Roman" w:hAnsi="Times New Roman"/>
        </w:rPr>
        <w:t xml:space="preserve">5.5 Reformulation of the Impregnation Solution</w:t>
      </w:r>
    </w:p>
    <w:p>
      <w:pPr>
        <w:spacing w:after="140" w:line="276"/>
        <w:jc w:val="both"/>
      </w:pPr>
      <w:r>
        <w:rPr>
          <w:rFonts w:ascii="Times New Roman" w:cs="Times New Roman" w:eastAsia="Times New Roman" w:hAnsi="Times New Roman"/>
        </w:rPr>
        <w:t xml:space="preserve">Once bleaching is complete the strips are removed and the solution is treated as a recovered copper sulfate stock. Residual peroxide is eliminated before reformulation, because it would oxidise the glycerol, by holding the solution until decomposition completes or by catalytic decomposition, and a peroxide test strip verifies the endpoint. The stock is analysed by UV-Vis absorbance or iodometric titration of Cu²⁺, adjusted with make-up CuSO₄·5H₂O or dilution to the concentration specified in Chapter 2, and re-spiked with glycerol to 5% and dilute acid to restore pH to about 4.0. Fresh Whatman Grade 1 strips are immersed in the restored solution, blotted, conditioned and cut to size. Each batch carries a lot record, and a reformulated batch is verified against the calibration coefficient file before release (Chapter 4). The expiry indicators of Section 1.6 give a further check that regenerated strips meet the moisture and acid specification before use.</w:t>
      </w:r>
    </w:p>
    <w:p>
      <w:pPr>
        <w:pStyle w:val="Heading2"/>
      </w:pPr>
      <w:r>
        <w:rPr>
          <w:rFonts w:ascii="Times New Roman" w:cs="Times New Roman" w:eastAsia="Times New Roman" w:hAnsi="Times New Roman"/>
        </w:rPr>
        <w:t xml:space="preserve">5.6 Mass Balance and the Limits of "Zero Waste"</w:t>
      </w:r>
    </w:p>
    <w:p>
      <w:pPr>
        <w:spacing w:after="140" w:line="276"/>
        <w:jc w:val="both"/>
      </w:pPr>
      <w:r>
        <w:rPr>
          <w:rFonts w:ascii="Times New Roman" w:cs="Times New Roman" w:eastAsia="Times New Roman" w:hAnsi="Times New Roman"/>
        </w:rPr>
        <w:t xml:space="preserve">The loop closes the principal material streams: copper, sulfate and water are recovered and reused, and no lead enters the system. The sulfur captured from the atmosphere ends as sulfate, the counter-ion already present, so a modest accumulation is managed through a small bleed or concentration adjustment of the stock. The claim should be stated precisely, because residual streams remain:</w:t>
      </w:r>
    </w:p>
    <w:p>
      <w:pPr>
        <w:pStyle w:val="ListParagraph"/>
        <w:numPr>
          <w:ilvl w:val="0"/>
          <w:numId w:val="2"/>
        </w:numPr>
        <w:spacing w:after="80"/>
        <w:jc w:val="both"/>
      </w:pPr>
      <w:r>
        <w:rPr>
          <w:rFonts w:ascii="Times New Roman" w:cs="Times New Roman" w:eastAsia="Times New Roman" w:hAnsi="Times New Roman"/>
          <w:b/>
          <w:bCs/>
        </w:rPr>
        <w:t xml:space="preserve">Spent ePTFE membranes and worn paper:</w:t>
      </w:r>
      <w:r>
        <w:rPr>
          <w:rFonts w:ascii="Times New Roman" w:cs="Times New Roman" w:eastAsia="Times New Roman" w:hAnsi="Times New Roman"/>
        </w:rPr>
        <w:t xml:space="preserve"> low in mass and suitable for ordinary disposal or fluoropolymer recycling after rinsing.</w:t>
      </w:r>
    </w:p>
    <w:p>
      <w:pPr>
        <w:pStyle w:val="ListParagraph"/>
        <w:numPr>
          <w:ilvl w:val="0"/>
          <w:numId w:val="2"/>
        </w:numPr>
        <w:spacing w:after="80"/>
        <w:jc w:val="both"/>
      </w:pPr>
      <w:r>
        <w:rPr>
          <w:rFonts w:ascii="Times New Roman" w:cs="Times New Roman" w:eastAsia="Times New Roman" w:hAnsi="Times New Roman"/>
          <w:b/>
          <w:bCs/>
        </w:rPr>
        <w:t xml:space="preserve">Rinse water and drag-out:</w:t>
      </w:r>
      <w:r>
        <w:rPr>
          <w:rFonts w:ascii="Times New Roman" w:cs="Times New Roman" w:eastAsia="Times New Roman" w:hAnsi="Times New Roman"/>
        </w:rPr>
        <w:t xml:space="preserve"> captured and returned to the stock, since copper is aquatic-toxic.</w:t>
      </w:r>
    </w:p>
    <w:p>
      <w:pPr>
        <w:pStyle w:val="ListParagraph"/>
        <w:numPr>
          <w:ilvl w:val="0"/>
          <w:numId w:val="2"/>
        </w:numPr>
        <w:spacing w:after="80"/>
        <w:jc w:val="both"/>
      </w:pPr>
      <w:r>
        <w:rPr>
          <w:rFonts w:ascii="Times New Roman" w:cs="Times New Roman" w:eastAsia="Times New Roman" w:hAnsi="Times New Roman"/>
          <w:b/>
          <w:bCs/>
        </w:rPr>
        <w:t xml:space="preserve">Eventual solution purge:</w:t>
      </w:r>
      <w:r>
        <w:rPr>
          <w:rFonts w:ascii="Times New Roman" w:cs="Times New Roman" w:eastAsia="Times New Roman" w:hAnsi="Times New Roman"/>
        </w:rPr>
        <w:t xml:space="preserve"> after prolonged recycling, trace contaminants build up, and a periodic purge is treated by copper recovery before effluent is released.</w:t>
      </w:r>
    </w:p>
    <w:p>
      <w:pPr>
        <w:spacing w:after="140" w:line="276"/>
        <w:jc w:val="both"/>
      </w:pPr>
      <w:r>
        <w:rPr>
          <w:rFonts w:ascii="Times New Roman" w:cs="Times New Roman" w:eastAsia="Times New Roman" w:hAnsi="Times New Roman"/>
        </w:rPr>
        <w:t xml:space="preserve">On this basis, hazardous waste is reduced to near zero and the process is an effectively closed loop at the level of the active reagents.</w:t>
      </w:r>
    </w:p>
    <w:p>
      <w:pPr>
        <w:pStyle w:val="Heading1"/>
        <w:pageBreakBefore/>
      </w:pPr>
      <w:r>
        <w:rPr>
          <w:rFonts w:ascii="Times New Roman" w:cs="Times New Roman" w:eastAsia="Times New Roman" w:hAnsi="Times New Roman"/>
        </w:rPr>
        <w:t xml:space="preserve">Chapter 6: Target Users, Scalability, and Future Scope</w:t>
      </w:r>
    </w:p>
    <w:p>
      <w:pPr>
        <w:pStyle w:val="Heading2"/>
      </w:pPr>
      <w:r>
        <w:rPr>
          <w:rFonts w:ascii="Times New Roman" w:cs="Times New Roman" w:eastAsia="Times New Roman" w:hAnsi="Times New Roman"/>
        </w:rPr>
        <w:t xml:space="preserve">6.1 Target User Populations</w:t>
      </w:r>
    </w:p>
    <w:p>
      <w:pPr>
        <w:spacing w:after="140" w:line="276"/>
        <w:jc w:val="both"/>
      </w:pPr>
      <w:r>
        <w:rPr>
          <w:rFonts w:ascii="Times New Roman" w:cs="Times New Roman" w:eastAsia="Times New Roman" w:hAnsi="Times New Roman"/>
        </w:rPr>
        <w:t xml:space="preserve">The principal user groups are:</w:t>
      </w:r>
    </w:p>
    <w:p>
      <w:pPr>
        <w:pStyle w:val="ListParagraph"/>
        <w:numPr>
          <w:ilvl w:val="0"/>
          <w:numId w:val="2"/>
        </w:numPr>
        <w:spacing w:after="80"/>
        <w:jc w:val="both"/>
      </w:pPr>
      <w:r>
        <w:rPr>
          <w:rFonts w:ascii="Times New Roman" w:cs="Times New Roman" w:eastAsia="Times New Roman" w:hAnsi="Times New Roman"/>
          <w:b/>
          <w:bCs/>
        </w:rPr>
        <w:t xml:space="preserve">Sanitation and sewer workers</w:t>
      </w:r>
      <w:r>
        <w:rPr>
          <w:rFonts w:ascii="Times New Roman" w:cs="Times New Roman" w:eastAsia="Times New Roman" w:hAnsi="Times New Roman"/>
        </w:rPr>
        <w:t xml:space="preserve">, who enter confined spaces where H₂S accumulates unpredictably.</w:t>
      </w:r>
    </w:p>
    <w:p>
      <w:pPr>
        <w:pStyle w:val="ListParagraph"/>
        <w:numPr>
          <w:ilvl w:val="0"/>
          <w:numId w:val="2"/>
        </w:numPr>
        <w:spacing w:after="80"/>
        <w:jc w:val="both"/>
      </w:pPr>
      <w:r>
        <w:rPr>
          <w:rFonts w:ascii="Times New Roman" w:cs="Times New Roman" w:eastAsia="Times New Roman" w:hAnsi="Times New Roman"/>
          <w:b/>
          <w:bCs/>
        </w:rPr>
        <w:t xml:space="preserve">Wastewater treatment and biogas plant operators</w:t>
      </w:r>
      <w:r>
        <w:rPr>
          <w:rFonts w:ascii="Times New Roman" w:cs="Times New Roman" w:eastAsia="Times New Roman" w:hAnsi="Times New Roman"/>
        </w:rPr>
        <w:t xml:space="preserve">, exposed during maintenance of digesters, sumps and gas-handling equipment.</w:t>
      </w:r>
    </w:p>
    <w:p>
      <w:pPr>
        <w:pStyle w:val="ListParagraph"/>
        <w:numPr>
          <w:ilvl w:val="0"/>
          <w:numId w:val="2"/>
        </w:numPr>
        <w:spacing w:after="80"/>
        <w:jc w:val="both"/>
      </w:pPr>
      <w:r>
        <w:rPr>
          <w:rFonts w:ascii="Times New Roman" w:cs="Times New Roman" w:eastAsia="Times New Roman" w:hAnsi="Times New Roman"/>
          <w:b/>
          <w:bCs/>
        </w:rPr>
        <w:t xml:space="preserve">Oil and gas refinery personnel</w:t>
      </w:r>
      <w:r>
        <w:rPr>
          <w:rFonts w:ascii="Times New Roman" w:cs="Times New Roman" w:eastAsia="Times New Roman" w:hAnsi="Times New Roman"/>
        </w:rPr>
        <w:t xml:space="preserve">, especially in sour-service units where electronic instruments face severe restrictions.</w:t>
      </w:r>
    </w:p>
    <w:p>
      <w:pPr>
        <w:pStyle w:val="ListParagraph"/>
        <w:numPr>
          <w:ilvl w:val="0"/>
          <w:numId w:val="2"/>
        </w:numPr>
        <w:spacing w:after="80"/>
        <w:jc w:val="both"/>
      </w:pPr>
      <w:r>
        <w:rPr>
          <w:rFonts w:ascii="Times New Roman" w:cs="Times New Roman" w:eastAsia="Times New Roman" w:hAnsi="Times New Roman"/>
          <w:b/>
          <w:bCs/>
        </w:rPr>
        <w:t xml:space="preserve">Mining, tannery, leather and paper-industry workers</w:t>
      </w:r>
      <w:r>
        <w:rPr>
          <w:rFonts w:ascii="Times New Roman" w:cs="Times New Roman" w:eastAsia="Times New Roman" w:hAnsi="Times New Roman"/>
        </w:rPr>
        <w:t xml:space="preserve">, where sulfide chemistry and decaying organic material are intrinsic to the process.</w:t>
      </w:r>
    </w:p>
    <w:p>
      <w:pPr>
        <w:spacing w:after="140" w:line="276"/>
        <w:jc w:val="both"/>
      </w:pPr>
      <w:r>
        <w:rPr>
          <w:rFonts w:ascii="Times New Roman" w:cs="Times New Roman" w:eastAsia="Times New Roman" w:hAnsi="Times New Roman"/>
        </w:rPr>
        <w:t xml:space="preserve">These sectors share a large, often contract-based workforce and intermittent exposure that is poorly documented.</w:t>
      </w:r>
    </w:p>
    <w:p>
      <w:pPr>
        <w:pStyle w:val="Heading2"/>
      </w:pPr>
      <w:r>
        <w:rPr>
          <w:rFonts w:ascii="Times New Roman" w:cs="Times New Roman" w:eastAsia="Times New Roman" w:hAnsi="Times New Roman"/>
        </w:rPr>
        <w:t xml:space="preserve">6.2 Limitations of Shared Electronic Gas Detectors</w:t>
      </w:r>
    </w:p>
    <w:p>
      <w:pPr>
        <w:spacing w:after="140" w:line="276"/>
        <w:jc w:val="both"/>
      </w:pPr>
      <w:r>
        <w:rPr>
          <w:rFonts w:ascii="Times New Roman" w:cs="Times New Roman" w:eastAsia="Times New Roman" w:hAnsi="Times New Roman"/>
        </w:rPr>
        <w:t xml:space="preserve">Electronic detectors are indispensable for instantaneous alarms, and nothing in this work disputes that. As the sole exposure-management tool for a large workforce, however, they have structural weaknesses. Certified intrinsically safe units are expensive, so organisations buy a few and share them, and a shared instrument records the exposure of whoever last carried it. Electrochemical sensors need bump testing, calibration and battery charging, and a missed calibration or flat battery produces a protective device that protects nobody. A detector samples only where it is carried or placed, and in Zone 0 every instrument must hold the appropriate Ex certification, which narrows the choice of devices and raises their price.</w:t>
      </w:r>
    </w:p>
    <w:p>
      <w:pPr>
        <w:pStyle w:val="Heading2"/>
      </w:pPr>
      <w:r>
        <w:rPr>
          <w:rFonts w:ascii="Times New Roman" w:cs="Times New Roman" w:eastAsia="Times New Roman" w:hAnsi="Times New Roman"/>
        </w:rPr>
        <w:t xml:space="preserve">6.3 Scalability of the Passive Wearable</w:t>
      </w:r>
    </w:p>
    <w:p>
      <w:pPr>
        <w:spacing w:after="140" w:line="276"/>
        <w:jc w:val="both"/>
      </w:pPr>
      <w:r>
        <w:rPr>
          <w:rFonts w:ascii="Times New Roman" w:cs="Times New Roman" w:eastAsia="Times New Roman" w:hAnsi="Times New Roman"/>
        </w:rPr>
        <w:t xml:space="preserve">The proposed badge inverts these constraints. Its consumables are a paper strip, a membrane and a small quantity of recovered reagent, which makes </w:t>
      </w:r>
      <w:r>
        <w:rPr>
          <w:rFonts w:ascii="Times New Roman" w:cs="Times New Roman" w:eastAsia="Times New Roman" w:hAnsi="Times New Roman"/>
          <w:b/>
          <w:bCs/>
        </w:rPr>
        <w:t xml:space="preserve">one badge per person</w:t>
      </w:r>
      <w:r>
        <w:rPr>
          <w:rFonts w:ascii="Times New Roman" w:cs="Times New Roman" w:eastAsia="Times New Roman" w:hAnsi="Times New Roman"/>
        </w:rPr>
        <w:t xml:space="preserve"> feasible, including for short-term contractors, and turns exposure monitoring from a shared resource into a personal one.</w:t>
      </w:r>
    </w:p>
    <w:p>
      <w:pPr>
        <w:pStyle w:val="ListParagraph"/>
        <w:numPr>
          <w:ilvl w:val="0"/>
          <w:numId w:val="2"/>
        </w:numPr>
        <w:spacing w:after="80"/>
        <w:jc w:val="both"/>
      </w:pPr>
      <w:r>
        <w:rPr>
          <w:rFonts w:ascii="Times New Roman" w:cs="Times New Roman" w:eastAsia="Times New Roman" w:hAnsi="Times New Roman"/>
          <w:b/>
          <w:bCs/>
        </w:rPr>
        <w:t xml:space="preserve">Zero upkeep:</w:t>
      </w:r>
      <w:r>
        <w:rPr>
          <w:rFonts w:ascii="Times New Roman" w:cs="Times New Roman" w:eastAsia="Times New Roman" w:hAnsi="Times New Roman"/>
        </w:rPr>
        <w:t xml:space="preserve"> no charging, no field calibration hardware, no technical training. Calibration resides in the app's configuration module (Chapter 4).</w:t>
      </w:r>
    </w:p>
    <w:p>
      <w:pPr>
        <w:pStyle w:val="ListParagraph"/>
        <w:numPr>
          <w:ilvl w:val="0"/>
          <w:numId w:val="2"/>
        </w:numPr>
        <w:spacing w:after="80"/>
        <w:jc w:val="both"/>
      </w:pPr>
      <w:r>
        <w:rPr>
          <w:rFonts w:ascii="Times New Roman" w:cs="Times New Roman" w:eastAsia="Times New Roman" w:hAnsi="Times New Roman"/>
          <w:b/>
          <w:bCs/>
        </w:rPr>
        <w:t xml:space="preserve">Intrinsic safety by elimination:</w:t>
      </w:r>
      <w:r>
        <w:rPr>
          <w:rFonts w:ascii="Times New Roman" w:cs="Times New Roman" w:eastAsia="Times New Roman" w:hAnsi="Times New Roman"/>
        </w:rPr>
        <w:t xml:space="preserve"> no stored electrical energy, so deployment in the most restricted zones avoids the certification costs of active instruments.</w:t>
      </w:r>
    </w:p>
    <w:p>
      <w:pPr>
        <w:pStyle w:val="ListParagraph"/>
        <w:numPr>
          <w:ilvl w:val="0"/>
          <w:numId w:val="2"/>
        </w:numPr>
        <w:spacing w:after="80"/>
        <w:jc w:val="both"/>
      </w:pPr>
      <w:r>
        <w:rPr>
          <w:rFonts w:ascii="Times New Roman" w:cs="Times New Roman" w:eastAsia="Times New Roman" w:hAnsi="Times New Roman"/>
          <w:b/>
          <w:bCs/>
        </w:rPr>
        <w:t xml:space="preserve">Verified strips:</w:t>
      </w:r>
      <w:r>
        <w:rPr>
          <w:rFonts w:ascii="Times New Roman" w:cs="Times New Roman" w:eastAsia="Times New Roman" w:hAnsi="Times New Roman"/>
        </w:rPr>
        <w:t xml:space="preserve"> the expiry indicators let a worker confirm before use that a strip is chemically valid.</w:t>
      </w:r>
    </w:p>
    <w:p>
      <w:pPr>
        <w:pStyle w:val="ListParagraph"/>
        <w:numPr>
          <w:ilvl w:val="0"/>
          <w:numId w:val="2"/>
        </w:numPr>
        <w:spacing w:after="80"/>
        <w:jc w:val="both"/>
      </w:pPr>
      <w:r>
        <w:rPr>
          <w:rFonts w:ascii="Times New Roman" w:cs="Times New Roman" w:eastAsia="Times New Roman" w:hAnsi="Times New Roman"/>
          <w:b/>
          <w:bCs/>
        </w:rPr>
        <w:t xml:space="preserve">Easy disposal:</w:t>
      </w:r>
      <w:r>
        <w:rPr>
          <w:rFonts w:ascii="Times New Roman" w:cs="Times New Roman" w:eastAsia="Times New Roman" w:hAnsi="Times New Roman"/>
        </w:rPr>
        <w:t xml:space="preserve"> lead-free consumables that can be discarded or returned to the regeneration loop.</w:t>
      </w:r>
    </w:p>
    <w:p>
      <w:pPr>
        <w:pStyle w:val="ListParagraph"/>
        <w:numPr>
          <w:ilvl w:val="0"/>
          <w:numId w:val="2"/>
        </w:numPr>
        <w:spacing w:after="80"/>
        <w:jc w:val="both"/>
      </w:pPr>
      <w:r>
        <w:rPr>
          <w:rFonts w:ascii="Times New Roman" w:cs="Times New Roman" w:eastAsia="Times New Roman" w:hAnsi="Times New Roman"/>
          <w:b/>
          <w:bCs/>
        </w:rPr>
        <w:t xml:space="preserve">Agile manufacturing:</w:t>
      </w:r>
      <w:r>
        <w:rPr>
          <w:rFonts w:ascii="Times New Roman" w:cs="Times New Roman" w:eastAsia="Times New Roman" w:hAnsi="Times New Roman"/>
        </w:rPr>
        <w:t xml:space="preserve"> the 3D-printed or cast body is quickly modified to suit new wrist sizes, strap types or site requirements.</w:t>
      </w:r>
    </w:p>
    <w:p>
      <w:pPr>
        <w:pStyle w:val="ListParagraph"/>
        <w:numPr>
          <w:ilvl w:val="0"/>
          <w:numId w:val="2"/>
        </w:numPr>
        <w:spacing w:after="80"/>
        <w:jc w:val="both"/>
      </w:pPr>
      <w:r>
        <w:rPr>
          <w:rFonts w:ascii="Times New Roman" w:cs="Times New Roman" w:eastAsia="Times New Roman" w:hAnsi="Times New Roman"/>
          <w:b/>
          <w:bCs/>
        </w:rPr>
        <w:t xml:space="preserve">Traceability:</w:t>
      </w:r>
      <w:r>
        <w:rPr>
          <w:rFonts w:ascii="Times New Roman" w:cs="Times New Roman" w:eastAsia="Times New Roman" w:hAnsi="Times New Roman"/>
        </w:rPr>
        <w:t xml:space="preserve"> every scan creates a time-stamped personal record, supporting rotation, rest and medical-surveillance decisions.</w:t>
      </w:r>
    </w:p>
    <w:p>
      <w:pPr>
        <w:spacing w:after="140" w:line="276"/>
        <w:jc w:val="both"/>
      </w:pPr>
      <w:r>
        <w:rPr>
          <w:rFonts w:ascii="Times New Roman" w:cs="Times New Roman" w:eastAsia="Times New Roman" w:hAnsi="Times New Roman"/>
        </w:rPr>
        <w:t xml:space="preserve">The design is explicitly complementary. A badge records integrated dose after the fact and is not a real-time alarm, so electronic peak detectors remain necessary for immediate warning.</w:t>
      </w:r>
    </w:p>
    <w:p>
      <w:pPr>
        <w:pStyle w:val="Heading2"/>
      </w:pPr>
      <w:r>
        <w:rPr>
          <w:rFonts w:ascii="Times New Roman" w:cs="Times New Roman" w:eastAsia="Times New Roman" w:hAnsi="Times New Roman"/>
        </w:rPr>
        <w:t xml:space="preserve">6.4 Shift Time-Weighted Average Reporting</w:t>
      </w:r>
    </w:p>
    <w:p>
      <w:pPr>
        <w:spacing w:after="140" w:line="276"/>
        <w:jc w:val="both"/>
      </w:pPr>
      <w:r>
        <w:rPr>
          <w:rFonts w:ascii="Times New Roman" w:cs="Times New Roman" w:eastAsia="Times New Roman" w:hAnsi="Times New Roman"/>
        </w:rPr>
        <w:t xml:space="preserve">Occupational limits are written in terms of averaged concentration. The ACGIH, OSHA and NIOSH reference values differ, so the app is configurable by jurisdiction and policy. The 8-hour TWA is:</w:t>
      </w:r>
    </w:p>
    <w:p>
      <w:pPr>
        <w:spacing w:after="160" w:before="80"/>
        <w:jc w:val="center"/>
      </w:pPr>
      <w:r>
        <w:rPr>
          <w:rFonts w:ascii="Times New Roman" w:cs="Times New Roman" w:eastAsia="Times New Roman" w:hAnsi="Times New Roman"/>
          <w:i/>
          <w:iCs/>
        </w:rPr>
        <w:t xml:space="preserve">TWA₈ = (1/8 hr) ∫₀ᵀ C(t) dt = D / 8 hr</w:t>
      </w:r>
    </w:p>
    <w:p>
      <w:pPr>
        <w:spacing w:after="140" w:line="276"/>
        <w:jc w:val="both"/>
      </w:pPr>
      <w:r>
        <w:rPr>
          <w:rFonts w:ascii="Times New Roman" w:cs="Times New Roman" w:eastAsia="Times New Roman" w:hAnsi="Times New Roman"/>
        </w:rPr>
        <w:t xml:space="preserve">where D is the temperature-corrected cumulative dose from the calibration model, which remains provisional until chamber calibration fixes its coefficients. Wear time is taken from the time-stamped entry and exit scans. The verdict (SAFE, ACTION, WARNING or CRITICAL) results from comparing these quantities with configured thresholds. The reported dose carries the prediction interval from calibration, and the verdict is based on the conservative bound and not the point estimate.</w:t>
      </w:r>
    </w:p>
    <w:p>
      <w:pPr>
        <w:pStyle w:val="Heading2"/>
      </w:pPr>
      <w:r>
        <w:rPr>
          <w:rFonts w:ascii="Times New Roman" w:cs="Times New Roman" w:eastAsia="Times New Roman" w:hAnsi="Times New Roman"/>
        </w:rPr>
        <w:t xml:space="preserve">6.5 The STEL Problem and Series Scanning</w:t>
      </w:r>
    </w:p>
    <w:p>
      <w:pPr>
        <w:spacing w:after="140" w:line="276"/>
        <w:jc w:val="both"/>
      </w:pPr>
      <w:r>
        <w:rPr>
          <w:rFonts w:ascii="Times New Roman" w:cs="Times New Roman" w:eastAsia="Times New Roman" w:hAnsi="Times New Roman"/>
        </w:rPr>
        <w:t xml:space="preserve">A Short-Term Exposure Limit constrains the average over a short window, typically 15 minutes. A single end-of-shift scan observes only the sum of the whole interval, and a steady low concentration and a brief intense excursion can produce an identical final colour. The system therefore sets </w:t>
      </w:r>
      <w:r>
        <w:rPr>
          <w:rFonts w:ascii="Times New Roman" w:cs="Times New Roman" w:eastAsia="Times New Roman" w:hAnsi="Times New Roman"/>
          <w:b/>
          <w:bCs/>
        </w:rPr>
        <w:t xml:space="preserve">stelDeterminable = false</w:t>
      </w:r>
      <w:r>
        <w:rPr>
          <w:rFonts w:ascii="Times New Roman" w:cs="Times New Roman" w:eastAsia="Times New Roman" w:hAnsi="Times New Roman"/>
        </w:rPr>
        <w:t xml:space="preserve"> for any single-scan record and does not infer a STEL from it, in keeping with the fail-loudly rule.</w:t>
      </w:r>
    </w:p>
    <w:p>
      <w:pPr>
        <w:spacing w:after="140" w:line="276"/>
        <w:jc w:val="both"/>
      </w:pPr>
      <w:r>
        <w:rPr>
          <w:rFonts w:ascii="Times New Roman" w:cs="Times New Roman" w:eastAsia="Times New Roman" w:hAnsi="Times New Roman"/>
        </w:rPr>
        <w:t xml:space="preserve">Dose is additive, so scans at times t₀ &lt; t₁ &lt; … &lt; tₙ yield interval doses:</w:t>
      </w:r>
    </w:p>
    <w:p>
      <w:pPr>
        <w:spacing w:after="160" w:before="80"/>
        <w:jc w:val="center"/>
      </w:pPr>
      <w:r>
        <w:rPr>
          <w:rFonts w:ascii="Times New Roman" w:cs="Times New Roman" w:eastAsia="Times New Roman" w:hAnsi="Times New Roman"/>
          <w:i/>
          <w:iCs/>
        </w:rPr>
        <w:t xml:space="preserve">ΔDᵢ = D(tᵢ) − D(tᵢ₋₁),   C̄ᵢ = ΔDᵢ / (tᵢ − tᵢ₋₁)</w:t>
      </w:r>
    </w:p>
    <w:p>
      <w:pPr>
        <w:spacing w:after="140" w:line="276"/>
        <w:jc w:val="both"/>
      </w:pPr>
      <w:r>
        <w:rPr>
          <w:rFonts w:ascii="Times New Roman" w:cs="Times New Roman" w:eastAsia="Times New Roman" w:hAnsi="Times New Roman"/>
        </w:rPr>
        <w:t xml:space="preserve">Entry, mid-shift and exit scans therefore partition the shift. A 15-minute window lying inside interval i cannot exceed the interval's total dose divided by 0.25 hr:</w:t>
      </w:r>
    </w:p>
    <w:p>
      <w:pPr>
        <w:spacing w:after="160" w:before="80"/>
        <w:jc w:val="center"/>
      </w:pPr>
      <w:r>
        <w:rPr>
          <w:rFonts w:ascii="Times New Roman" w:cs="Times New Roman" w:eastAsia="Times New Roman" w:hAnsi="Times New Roman"/>
          <w:i/>
          <w:iCs/>
        </w:rPr>
        <w:t xml:space="preserve">C̄_window,max ≤ ΔDᵢ / 0.25 hr</w:t>
      </w:r>
    </w:p>
    <w:p>
      <w:pPr>
        <w:spacing w:after="140" w:line="276"/>
        <w:jc w:val="both"/>
      </w:pPr>
      <w:r>
        <w:rPr>
          <w:rFonts w:ascii="Times New Roman" w:cs="Times New Roman" w:eastAsia="Times New Roman" w:hAnsi="Times New Roman"/>
        </w:rPr>
        <w:t xml:space="preserve">This is a worst-case bound that assumes the entire interval dose fell in one quarter-hour. When it lies below the STEL limit, compliance is demonstrated for that interval. When it lies above, the result is classed as </w:t>
      </w:r>
      <w:r>
        <w:rPr>
          <w:rFonts w:ascii="Times New Roman" w:cs="Times New Roman" w:eastAsia="Times New Roman" w:hAnsi="Times New Roman"/>
          <w:b/>
          <w:bCs/>
        </w:rPr>
        <w:t xml:space="preserve">indeterminate</w:t>
      </w:r>
      <w:r>
        <w:rPr>
          <w:rFonts w:ascii="Times New Roman" w:cs="Times New Roman" w:eastAsia="Times New Roman" w:hAnsi="Times New Roman"/>
        </w:rPr>
        <w:t xml:space="preserve"> and not as a breach, with the bound reported to the supervisor. Shorter intervals tighten the bound proportionally, so scan cadence becomes a tunable safety parameter.</w:t>
      </w:r>
    </w:p>
    <w:p>
      <w:pPr>
        <w:pStyle w:val="Heading2"/>
      </w:pPr>
      <w:r>
        <w:rPr>
          <w:rFonts w:ascii="Times New Roman" w:cs="Times New Roman" w:eastAsia="Times New Roman" w:hAnsi="Times New Roman"/>
        </w:rPr>
        <w:t xml:space="preserve">6.6 Multi-Worker Calibration and Exposure Mapping</w:t>
      </w:r>
    </w:p>
    <w:p>
      <w:pPr>
        <w:spacing w:after="140" w:line="276"/>
        <w:jc w:val="both"/>
      </w:pPr>
      <w:r>
        <w:rPr>
          <w:rFonts w:ascii="Times New Roman" w:cs="Times New Roman" w:eastAsia="Times New Roman" w:hAnsi="Times New Roman"/>
        </w:rPr>
        <w:t xml:space="preserve">Because every worker carries a badge, the application can combine many personal readings into a picture of the site. Readings from different workers are calibrated against one another, so that results from different badges and scans share a common scale. The calibrated results are then used to generate a map highlighting areas with higher H₂S concentration.</w:t>
      </w:r>
    </w:p>
    <w:p>
      <w:pPr>
        <w:spacing w:after="140" w:line="276"/>
        <w:jc w:val="both"/>
      </w:pPr>
      <w:r>
        <w:rPr>
          <w:rFonts w:ascii="Times New Roman" w:cs="Times New Roman" w:eastAsia="Times New Roman" w:hAnsi="Times New Roman"/>
        </w:rPr>
        <w:t xml:space="preserve">This turns a set of individual exposure records into area-level information that a few point instruments cannot provide on their own. Supervisors can see where exposure concentrates, which can inform inspection and ventilation decisions. The map is bounded by the same temporal resolution limit as the interval bound of Section 6.5: a reading describes the dose accumulated between two scans, so the finer the scan cadence, the finer the detail that can be resolved. Only derived results are used, and photographs never leave the phone.</w:t>
      </w:r>
    </w:p>
    <w:p>
      <w:pPr>
        <w:pStyle w:val="Heading2"/>
      </w:pPr>
      <w:r>
        <w:rPr>
          <w:rFonts w:ascii="Times New Roman" w:cs="Times New Roman" w:eastAsia="Times New Roman" w:hAnsi="Times New Roman"/>
        </w:rPr>
        <w:t xml:space="preserve">6.7 Future Scope</w:t>
      </w:r>
    </w:p>
    <w:p>
      <w:pPr>
        <w:spacing w:after="140" w:line="276"/>
        <w:jc w:val="both"/>
      </w:pPr>
      <w:r>
        <w:rPr>
          <w:rFonts w:ascii="Times New Roman" w:cs="Times New Roman" w:eastAsia="Times New Roman" w:hAnsi="Times New Roman"/>
        </w:rPr>
        <w:t xml:space="preserve">The current architecture is deliberately minimal, and later development would add a backend without altering the passive hardware.</w:t>
      </w:r>
    </w:p>
    <w:p>
      <w:pPr>
        <w:spacing w:after="140" w:line="276"/>
        <w:jc w:val="both"/>
      </w:pPr>
      <w:r>
        <w:rPr>
          <w:rFonts w:ascii="Times New Roman" w:cs="Times New Roman" w:eastAsia="Times New Roman" w:hAnsi="Times New Roman"/>
          <w:b/>
          <w:bCs/>
        </w:rPr>
        <w:t xml:space="preserve">Per-worker exposure history.</w:t>
      </w:r>
      <w:r>
        <w:rPr>
          <w:rFonts w:ascii="Times New Roman" w:cs="Times New Roman" w:eastAsia="Times New Roman" w:hAnsi="Times New Roman"/>
        </w:rPr>
        <w:t xml:space="preserve"> Each scan, with badge ID, worker ID, timestamp and verdict, would be written to a secure database. Longitudinal records support cumulative-exposure trending, occupational-health audits and rotation policy. Privacy, consent and data-protection controls are prerequisites.</w:t>
      </w:r>
    </w:p>
    <w:p>
      <w:pPr>
        <w:spacing w:after="140" w:line="276"/>
        <w:jc w:val="both"/>
      </w:pPr>
      <w:r>
        <w:rPr>
          <w:rFonts w:ascii="Times New Roman" w:cs="Times New Roman" w:eastAsia="Times New Roman" w:hAnsi="Times New Roman"/>
          <w:b/>
          <w:bCs/>
        </w:rPr>
        <w:t xml:space="preserve">Digital HSE dashboards and alerts.</w:t>
      </w:r>
      <w:r>
        <w:rPr>
          <w:rFonts w:ascii="Times New Roman" w:cs="Times New Roman" w:eastAsia="Times New Roman" w:hAnsi="Times New Roman"/>
        </w:rPr>
        <w:t xml:space="preserve"> Threshold-based warnings, for example a CRITICAL verdict or an indeterminate STEL bound, would be pushed to safety officers' dashboards, with the worker and interval identified.</w:t>
      </w:r>
    </w:p>
    <w:p>
      <w:pPr>
        <w:pStyle w:val="Heading2"/>
      </w:pPr>
      <w:r>
        <w:rPr>
          <w:rFonts w:ascii="Times New Roman" w:cs="Times New Roman" w:eastAsia="Times New Roman" w:hAnsi="Times New Roman"/>
        </w:rPr>
        <w:t xml:space="preserve">6.8 Closing Perspective</w:t>
      </w:r>
    </w:p>
    <w:p>
      <w:pPr>
        <w:spacing w:after="140" w:line="276"/>
        <w:jc w:val="both"/>
      </w:pPr>
      <w:r>
        <w:rPr>
          <w:rFonts w:ascii="Times New Roman" w:cs="Times New Roman" w:eastAsia="Times New Roman" w:hAnsi="Times New Roman"/>
        </w:rPr>
        <w:t xml:space="preserve">The proposed system does not replace the electronic detector. It extends coverage to the many workers who currently go unmeasured, confirms that each strip is valid before it is worn, corrects its readings for ambient temperature, converts exposure into an auditable personal record and a site map, and does so with a sensing medium that can be regenerated and not merely discarded. By reporting uncertainty explicitly, it earns the trust that safety instrumentation depends 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Passive Colorimetric H2S Dosimeter</dc:title>
  <dc:creator>SIH26118</dc:creator>
  <cp:lastModifiedBy>Un-named</cp:lastModifiedBy>
  <cp:revision>1</cp:revision>
  <dcterms:created xsi:type="dcterms:W3CDTF">2026-10-02T19:13:28.075Z</dcterms:created>
  <dcterms:modified xsi:type="dcterms:W3CDTF">2026-10-02T19:13:28.075Z</dcterms:modified>
</cp:coreProperties>
</file>

<file path=docProps/custom.xml><?xml version="1.0" encoding="utf-8"?>
<Properties xmlns="http://schemas.openxmlformats.org/officeDocument/2006/custom-properties" xmlns:vt="http://schemas.openxmlformats.org/officeDocument/2006/docPropsVTypes"/>
</file>