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200"/>
        <w:jc w:val="center"/>
        <w:rPr/>
      </w:pPr>
      <w:r>
        <w:rPr>
          <w:rFonts w:eastAsia="Times New Roman" w:cs="Times New Roman"/>
          <w:b/>
          <w:bCs/>
          <w:sz w:val="32"/>
          <w:szCs w:val="32"/>
        </w:rPr>
        <w:t>Patologias construtivas e vulnerabilidade habitacional em conjunto de habitação de interesse social: estudo de caso em Tapera, Campos dos Goytacazes (RJ)</w:t>
      </w:r>
    </w:p>
    <w:p>
      <w:pPr>
        <w:pStyle w:val="Normal"/>
        <w:spacing w:lineRule="auto" w:line="360" w:before="0" w:after="400"/>
        <w:jc w:val="center"/>
        <w:rPr/>
      </w:pPr>
      <w:r>
        <w:rPr>
          <w:rFonts w:eastAsia="Times New Roman" w:cs="Times New Roman"/>
          <w:b/>
          <w:bCs/>
          <w:i/>
          <w:iCs/>
          <w:color w:val="666666"/>
          <w:sz w:val="28"/>
          <w:szCs w:val="28"/>
        </w:rPr>
        <w:t>Building pathologies and housing vulnerability in a social housing settlement: a case study in Tapera, Campos dos Goytacazes (RJ, Brazil)</w:t>
      </w:r>
    </w:p>
    <w:p>
      <w:pPr>
        <w:pStyle w:val="Normal"/>
        <w:spacing w:before="0" w:after="80"/>
        <w:jc w:val="center"/>
        <w:rPr/>
      </w:pPr>
      <w:r>
        <w:rPr>
          <w:rFonts w:eastAsia="Times New Roman" w:cs="Times New Roman"/>
          <w:b/>
          <w:bCs/>
          <w:sz w:val="24"/>
          <w:szCs w:val="24"/>
        </w:rPr>
        <w:t>Maria Carolina Crespo Quintella</w:t>
      </w:r>
    </w:p>
    <w:p>
      <w:pPr>
        <w:pStyle w:val="Normal"/>
        <w:spacing w:before="0" w:after="80"/>
        <w:jc w:val="center"/>
        <w:rPr/>
      </w:pPr>
      <w:r>
        <w:rPr>
          <w:rFonts w:eastAsia="Times New Roman" w:cs="Times New Roman"/>
          <w:i/>
          <w:iCs/>
          <w:sz w:val="22"/>
          <w:szCs w:val="22"/>
        </w:rPr>
        <w:t>[Programa de Pós-Graduação em Engenharia Civil - PPGEC UFF]</w:t>
      </w:r>
    </w:p>
    <w:p>
      <w:pPr>
        <w:pStyle w:val="Normal"/>
        <w:spacing w:before="0" w:after="80"/>
        <w:jc w:val="center"/>
        <w:rPr/>
      </w:pPr>
      <w:r>
        <w:rPr>
          <w:rFonts w:eastAsia="Times New Roman" w:cs="Times New Roman"/>
          <w:sz w:val="22"/>
          <w:szCs w:val="22"/>
        </w:rPr>
        <w:t>mariaquintella@id.uff.br</w:t>
      </w:r>
    </w:p>
    <w:p>
      <w:pPr>
        <w:pStyle w:val="Normal"/>
        <w:spacing w:before="0" w:after="400"/>
        <w:jc w:val="center"/>
        <w:rPr/>
      </w:pPr>
      <w:r>
        <w:rPr>
          <w:rFonts w:eastAsia="Times New Roman" w:cs="Times New Roman"/>
          <w:b/>
          <w:bCs/>
          <w:sz w:val="22"/>
          <w:szCs w:val="22"/>
        </w:rPr>
        <w:t>R. Passo da Pátria, 152-470 – São Domingos, Niterói, Rio de Janeiro, Brasil</w:t>
      </w:r>
    </w:p>
    <w:p>
      <w:pPr>
        <w:pStyle w:val="Normal"/>
        <w:spacing w:lineRule="auto" w:line="360" w:before="360" w:after="200"/>
        <w:rPr/>
      </w:pPr>
      <w:r>
        <w:rPr>
          <w:rFonts w:eastAsia="Times New Roman" w:cs="Times New Roman"/>
          <w:b/>
          <w:bCs/>
          <w:sz w:val="28"/>
          <w:szCs w:val="28"/>
        </w:rPr>
        <w:t>Resumo</w:t>
      </w:r>
    </w:p>
    <w:p>
      <w:pPr>
        <w:pStyle w:val="Normal"/>
        <w:spacing w:lineRule="auto" w:line="360" w:before="0" w:after="120"/>
        <w:jc w:val="both"/>
        <w:rPr/>
      </w:pPr>
      <w:r>
        <w:rPr>
          <w:rFonts w:eastAsia="Times New Roman" w:cs="Times New Roman"/>
          <w:b w:val="false"/>
          <w:bCs w:val="false"/>
          <w:i w:val="false"/>
          <w:iCs w:val="false"/>
          <w:color w:val="000000"/>
          <w:sz w:val="24"/>
          <w:szCs w:val="24"/>
        </w:rPr>
        <w:t>O presente artigo analisa as condições habitacionais de 462 domicílios situados no assentamento de Tapera, município de Campos dos Goytacazes (RJ), com base em dados coletados por levantamento técnico arquitetônico aplicado no âmbito do Projeto ATHIS (Assistência Técnica de Habitação de Interesse Social), entre agosto e dezembro de 2025. O projeto integra o Programa Habita+ do Estado do Rio de Janeiro (Decreto Estadual n.º 48.695/2023), que articula pesquisa habitacional e assistência técnica em escala estadual. A comunidade de Tapera foi originada pelo processo de remoção de moradores da Favela Margem da Linha — comunidade formada na década de 1960 por trabalhadores da extinta Usina do Queimado —, tendo sido reassentada pelo Programa Municipal Morar Feliz (Decreto n.º 55/2011). O instrumento de coleta abrangeu 322 variáveis organizadas em cinco eixos temáticos: localização, características físicas, patologias construtivas, entrevista com moradores e diagnóstico técnico. Os resultados evidenciam condições habitacionais precárias e sistemáticas: 77,7% dos domicílios apresentam fiação elétrica exposta; 92,2% registram ao menos uma patologia nas paredes; 80,1% apresentam patologias nas esquadrias; e apenas 61,5% estão ligados à rede pública de esgoto. A análise comparativa entre o padrão construtivo original do Morar Feliz — paredes de placas de concreto pré-moldadas (λ ≈ 1,75 W/m·K), laje e telha cerâmica — e a situação atual evidencia deterioração acelerada associada tanto a limitações intrínsecas do sistema construtivo quanto à substituição da telha cerâmica por fibrocimento sem acompanhamento técnico e à ausência de manutenção programada pós-entrega. O Índice de Vulnerabilidade Habitacional (IVH), construído para este estudo, revelou IVH médio de 4,05 (dp = 2,11) em escala de 0 a 10, com 32,2% dos domicílios em vulnerabilidade alta ou muito alta. A análise de agrupamentos (K-Means) identificou quatro perfis-tipo de precariedade, e a progressão temporal demonstrou incremento de 43,2% no IVH entre domicílios com até 5 anos e aqueles com 10 a 20 anos de ocupação (p &lt; 0,001), evidenciando que a precariedade habitacional não é estática e se agrava na ausência de assistência técnica continuada.</w:t>
      </w:r>
    </w:p>
    <w:p>
      <w:pPr>
        <w:pStyle w:val="Normal"/>
        <w:spacing w:lineRule="auto" w:line="360" w:before="0" w:after="400"/>
        <w:jc w:val="both"/>
        <w:rPr/>
      </w:pPr>
      <w:r>
        <w:rPr>
          <w:rFonts w:eastAsia="Times New Roman" w:cs="Times New Roman"/>
          <w:b/>
          <w:bCs/>
          <w:sz w:val="24"/>
          <w:szCs w:val="24"/>
        </w:rPr>
        <w:t xml:space="preserve">Palavras-chave: </w:t>
      </w:r>
      <w:r>
        <w:rPr>
          <w:rFonts w:eastAsia="Times New Roman" w:cs="Times New Roman"/>
          <w:sz w:val="24"/>
          <w:szCs w:val="24"/>
        </w:rPr>
        <w:t>habitação de interesse social; Morar Feliz; Tapera; patologias construtivas; ATHIS; conforto ambiental; vulnerabilidade habitacional; avaliação pós-ocupação.</w:t>
      </w:r>
    </w:p>
    <w:p>
      <w:pPr>
        <w:pStyle w:val="Normal"/>
        <w:spacing w:lineRule="auto" w:line="360" w:before="360" w:after="200"/>
        <w:rPr/>
      </w:pPr>
      <w:r>
        <w:rPr>
          <w:rFonts w:eastAsia="Times New Roman" w:cs="Times New Roman"/>
          <w:b/>
          <w:bCs/>
          <w:sz w:val="28"/>
          <w:szCs w:val="28"/>
        </w:rPr>
        <w:t>Abstract</w:t>
      </w:r>
    </w:p>
    <w:p>
      <w:pPr>
        <w:pStyle w:val="Normal"/>
        <w:spacing w:lineRule="auto" w:line="360" w:before="0" w:after="120"/>
        <w:jc w:val="both"/>
        <w:rPr/>
      </w:pPr>
      <w:r>
        <w:rPr>
          <w:rFonts w:eastAsia="Times New Roman" w:cs="Times New Roman"/>
          <w:b w:val="false"/>
          <w:bCs w:val="false"/>
          <w:i w:val="false"/>
          <w:iCs w:val="false"/>
          <w:color w:val="000000"/>
          <w:sz w:val="24"/>
          <w:szCs w:val="24"/>
        </w:rPr>
        <w:t>This paper analyses the housing conditions of 462 dwellings in the Tapera settlement, municipality of Campos dos Goytacazes (Rio de Janeiro State, Brazil), based on data collected through an architectural technical survey carried out under the ATHIS Project (Social Housing Technical Assistance) between August and December 2025. The project is part of the Habita+ Programme of the State of Rio de Janeiro (State Decree No. 48,695/2023), which integrates housing research and technical assistance at the state level. The Tapera community originated from the relocation of residents of Favela Margem da Linha — a settlement established in the 1960s by workers of the former Queimado Sugar Mill — and was resettled under the Municipal Morar Feliz Programme (Decree No. 55/2011). The survey instrument comprised 322 variables organized into five thematic axes. Results reveal widespread housing precariousness: 77.7% of dwellings present exposed electrical wiring; 92.2% have at least one wall pathology; 80.1% exhibit window and door frame deficiencies; and only 61.5% are connected to the public sewage network. Comparative analysis between the original construction standard — precast concrete slab walls (thermal conductivity λ ≈ 1.75 W/m·K), concrete ceiling slab, and ceramic roof tiles — and actual field conditions shows accelerated deterioration associated with intrinsic limitations of the construction system and the replacement of ceramic tiles with fibre-cement without technical guidance. The Housing Vulnerability Index (HVI), developed for this study, yielded a mean score of 4.05 (SD = 2.11) on a 0–10 scale, with 32.2% of dwellings classified as high or very high vulnerability. K-Means cluster analysis identified four precariousness profiles, and temporal progression analysis showed a 43.2% increase in HVI between dwellings occupied for up to 5 years and those occupied for 10–20 years (p &lt; 0.001), demonstrating that housing precariousness is not static and worsens in the absence of continued technical assistance.</w:t>
      </w:r>
    </w:p>
    <w:p>
      <w:pPr>
        <w:pStyle w:val="Normal"/>
        <w:spacing w:lineRule="auto" w:line="360" w:before="0" w:after="400"/>
        <w:jc w:val="both"/>
        <w:rPr/>
      </w:pPr>
      <w:r>
        <w:rPr>
          <w:rFonts w:eastAsia="Times New Roman" w:cs="Times New Roman"/>
          <w:b/>
          <w:bCs/>
          <w:sz w:val="24"/>
          <w:szCs w:val="24"/>
        </w:rPr>
        <w:t xml:space="preserve">Keywords: </w:t>
      </w:r>
      <w:r>
        <w:rPr>
          <w:rFonts w:eastAsia="Times New Roman" w:cs="Times New Roman"/>
          <w:sz w:val="24"/>
          <w:szCs w:val="24"/>
        </w:rPr>
        <w:t>social housing; Morar Feliz; Tapera; building pathologies; ATHIS; environmental comfort; housing vulnerability; post-occupancy evaluation.</w:t>
      </w:r>
    </w:p>
    <w:p>
      <w:pPr>
        <w:pStyle w:val="Normal"/>
        <w:spacing w:lineRule="auto" w:line="360" w:before="360" w:after="200"/>
        <w:rPr/>
      </w:pPr>
      <w:r>
        <w:rPr>
          <w:rFonts w:eastAsia="Times New Roman" w:cs="Times New Roman"/>
          <w:b/>
          <w:bCs/>
          <w:sz w:val="28"/>
          <w:szCs w:val="28"/>
        </w:rPr>
        <w:t>1 INTRODUÇÃO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déficit habitacional brasileiro é constituído por duas dimensões complementares: a quantitativa, associada à insuficiência de moradias, e a qualitativa, relacionada às condições de habitabilidade das edificações existentes (FUNDAÇÃO JOÃO PINHEIRO, 2021). Nos assentamentos informais, a dimensão qualitativa revela-se especialmente crítica, pois o processo de autoconstrução — predominante entre as famílias de baixa renda — frequentemente resulta em edificações tecnicamente inadequadas, desprovidas de projeto arquitetônico e executadas em etapas, sem supervisão profissional (BONDUKI, 1994; MARICATO, 2001).</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Assistência Técnica de Habitação de Interesse Social (ATHIS), regulamentada pela Lei Federal n.º 11.888/2008, constitui instrumento central para o enfrentamento desse cenário ao garantir acesso gratuito a serviços de engenharia e arquitetura para famílias de baixa renda. Em Campos dos Goytacazes (RJ), o Projeto ATHIS-Tapera foi estruturado para realizar vistorias técnicas sistemáticas nas habitações do assentamento, gerando diagnósticos individualizados que subsidiassem a priorização de intervenções e a alocação de recursos. O projeto integra o Programa Habita+, política habitacional do Estado do Rio de Janeiro instituída pelo Decreto Estadual n.º 48.695/2023, que prevê a contratação unificada de pesquisa habitacional e assistência técnica por meio de Sistema de Registro de Preços (SRP), com previsão de 12.650 diagnósticos e 7.716 projetos de ATHIS em todo o estado (SEHIS-RJ, 2024), tendo Tapera como um dos territórios prioritários.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especificidade de Tapera em relação a outros assentamentos reside no fato de que suas habitações não são fruto exclusivo de autoconstrução espontânea: trata-se de um conjunto habitacional originalmente produzido com recursos públicos municipais pelo Programa Morar Feliz (Decreto n.º 55/2011), que reassentou famílias removidas de áreas de risco — notadamente da Favela Margem da Linha, comunidade com mais de meio século de existência e forte identidade territorial. Essa condição singular torna Tapera um caso particularmente revelador: as patologias identificadas decorrem não apenas de limitações econômicas das famílias, mas também de escolhas projetuais originais que, com o tempo e diante das condições climáticas da região Norte Fluminense, produziram deterioração acelerada.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presente artigo tem por objetivo caracterizar as condições habitacionais do conjunto de domicílios vistoriados, com foco na prevalência de patologias construtivas, no padrão construtivo adotado, na percepção de conforto ambiental pelos moradores e na construção de um Índice de Vulnerabilidade Habitacional (IVH). A análise articula o contexto histórico-social da comunidade, o padrão construtivo original do programa habitacional e o estado atual observado em campo, de modo a evidenciar as lacunas entre a habitabilidade prometida e a efetivamente consolidada ao longo do tempo.</w:t>
      </w:r>
    </w:p>
    <w:p>
      <w:pPr>
        <w:pStyle w:val="Normal"/>
        <w:spacing w:lineRule="auto" w:line="360" w:before="360" w:after="200"/>
        <w:rPr/>
      </w:pPr>
      <w:r>
        <w:rPr>
          <w:rFonts w:eastAsia="Times New Roman" w:cs="Times New Roman"/>
          <w:b/>
          <w:bCs/>
          <w:sz w:val="28"/>
          <w:szCs w:val="28"/>
        </w:rPr>
        <w:t>2 CONTEXTO HISTÓRICO E SOCIAL</w:t>
      </w:r>
    </w:p>
    <w:p>
      <w:pPr>
        <w:pStyle w:val="Normal"/>
        <w:spacing w:lineRule="auto" w:line="360" w:before="360" w:after="200"/>
        <w:rPr/>
      </w:pPr>
      <w:r>
        <w:rPr>
          <w:rFonts w:eastAsia="Times New Roman" w:cs="Times New Roman"/>
          <w:b/>
          <w:bCs/>
          <w:sz w:val="24"/>
          <w:szCs w:val="24"/>
        </w:rPr>
        <w:t>2.1 A Favela Margem da Linha: origem e trajetória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comunidade que daria origem à atual Tapera tem suas raízes na atividade sucroalcooleira do Norte Fluminense. Na década de 1960, trabalhadores rurais da extinta Usina do Queimado ergueram seus barracos em terrenos pertencentes à usina e ao longo da linha férrea da Rede Ferroviária Federal (RFFSA), que operava a ligação Campos–Rio de Janeiro (OLIVEIRA; RODRIGUES; SOUZA, 2018). O local passou a ser chamado Favela Margem da Linha, nome que sintetiza a dupla marginalidade do espaço: à linha férrea e à cidade formal.</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Com a falência progressiva do setor sucroalcooleiro e o fechamento da usina, os trabalhadores foram dispensados mas permaneceram na área, sem vínculos laborais e sem títulos de propriedade. Ao longo das décadas seguintes, a comunidade cresceu e consolidou-se: gerações nasceram ali, relações de parentesco e vizinhança se sedimentaram, e uma identidade coletiva fortemente ligada ao território foi construída. Durante décadas, a Favela da Linha conviveu com a quase total ausência do poder público: não havia serviço de água tratada nem esgotamento sanitário, e o acesso à rede de ensino e saúde exigia deslocamentos extensos (DUTRA; TERRA, 2015; SOUZA, 2016).</w:t>
      </w:r>
    </w:p>
    <w:p>
      <w:pPr>
        <w:pStyle w:val="Normal"/>
        <w:spacing w:lineRule="auto" w:line="360" w:before="360" w:after="200"/>
        <w:rPr/>
      </w:pPr>
      <w:r>
        <w:rPr>
          <w:rFonts w:eastAsia="Times New Roman" w:cs="Times New Roman"/>
          <w:b/>
          <w:bCs/>
          <w:sz w:val="24"/>
          <w:szCs w:val="24"/>
        </w:rPr>
        <w:t>2.2 O Programa Morar Feliz: concepção, alcance e padrão construtivo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Programa Morar Feliz foi criado pelo Decreto Municipal n.º 55/2011 como política habitacional totalmente custeada pelo município de Campos dos Goytacazes, com recursos provenientes de royalties do petróleo e participações especiais. Diferentemente de programas habitacionais federais como o Minha Casa Minha Vida, o Morar Feliz não previa financiamento habitacional: a casa era integralmente subsidiada, destinada prioritariamente a famílias em áreas de risco sinalizadas pela Defesa Civil, usuárias do aluguel social e em situação de vulnerabilidade social (DUTRA; TERRA, 2015).</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primeira etapa do programa (2011–2012) entregou 5.426 unidades habitacionais distribuídas em 14 conjuntos em 10 bairros, com investimento anunciado de R$ 357 milhões. Os conjuntos de Tapera I (380 unidades) e Tapera II (418 unidades) integraram essa primeira etapa (PMCG, 2013). O padrão construtivo original especificado incluía: lotes de 140 m²; unidades de 43,08 m²; programa de dois quartos, sala, cozinha, banheiro e área de serviço; paredes de placas de concreto pré-moldadas; laje em todos os cômodos; cobertura de telha cerâmica em duas águas; revestimento com pintura interna e cerâmica em áreas molhadas; piso cerâmico em todos os ambientes; instalações hidrossanitárias completas; e infraestrutura de conjunto com rede de esgoto, drenagem pluvial, iluminação pública e pavimentação.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implicação térmica do sistema construtivo original merece destaque: as placas de concreto pré-moldadas apresentam alta condutividade térmica (λ ≈ 1,75 W/m·K contra λ ≈ 0,90 W/m·K para blocos cerâmicos) e comportamento distinto da alvenaria cerâmica convencional, absorvendo e transmitindo calor com rapidez, sem proporcionar a inércia térmica suficiente para amenizar as amplitudes de temperatura do clima quente e úmido do Norte Fluminense (GIVONI, 1992; ABNT, 2013).</w:t>
      </w:r>
    </w:p>
    <w:p>
      <w:pPr>
        <w:pStyle w:val="Normal"/>
        <w:spacing w:lineRule="auto" w:line="360" w:before="360" w:after="200"/>
        <w:rPr/>
      </w:pPr>
      <w:r>
        <w:rPr>
          <w:rFonts w:eastAsia="Times New Roman" w:cs="Times New Roman"/>
          <w:b/>
          <w:bCs/>
          <w:sz w:val="24"/>
          <w:szCs w:val="24"/>
        </w:rPr>
        <w:t>2.3 O processo de remoção e reassentamento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remoção das famílias da Favela Margem da Linha para os conjuntos do Morar Feliz foi marcada por tensões. A maioria das famílias não manifestava interesse em deixar o território onde haviam construído suas redes sociais ao longo de décadas, aceitando a mudança desde que fossem mantidos os laços de vizinhança e parentesco (PEDLOWSKI; OLIVEIRA, 2014). O processo gerou intervenção do Ministério Público Federal e da Defensoria Pública do Estado do Rio de Janeiro. Os conjuntos receberam moradores de diferentes áreas de risco, misturando populações com territorialidades distintas — o que moradores denominaram, em registros etnográficos, como "salada de frutas" (SILVA, 2018).</w:t>
      </w:r>
    </w:p>
    <w:p>
      <w:pPr>
        <w:pStyle w:val="Normal"/>
        <w:spacing w:lineRule="auto" w:line="360" w:before="360" w:after="200"/>
        <w:rPr/>
      </w:pPr>
      <w:r>
        <w:rPr>
          <w:rFonts w:eastAsia="Times New Roman" w:cs="Times New Roman"/>
          <w:b/>
          <w:bCs/>
          <w:sz w:val="24"/>
          <w:szCs w:val="24"/>
        </w:rPr>
        <w:t>2.4 Tapera hoje: um território em transição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Quatorze anos após a entrega das primeiras unidades, Tapera configura-se como localidade em processo de consolidação urbana e densificação. O Programa Bairro Legal, lançado pela Prefeitura em junho de 2024, destinou R$ 22 milhões em obras de infraestrutura e urbanização para as 22 ruas da localidade. É nesse contexto de assentamento planejado com mais de uma década de ocupação, sujeito às modificações espontâneas dos moradores e às limitações do padrão construtivo original, que o Projeto ATHIS-Tapera foi desenvolvido.</w:t>
      </w:r>
    </w:p>
    <w:p>
      <w:pPr>
        <w:pStyle w:val="Normal"/>
        <w:spacing w:lineRule="auto" w:line="360" w:before="360" w:after="200"/>
        <w:rPr/>
      </w:pPr>
      <w:r>
        <w:rPr>
          <w:rFonts w:eastAsia="Times New Roman" w:cs="Times New Roman"/>
          <w:b/>
          <w:bCs/>
          <w:sz w:val="28"/>
          <w:szCs w:val="28"/>
        </w:rPr>
        <w:t>3 REFERENCIAL TEÓRICO</w:t>
      </w:r>
    </w:p>
    <w:p>
      <w:pPr>
        <w:pStyle w:val="Normal"/>
        <w:spacing w:lineRule="auto" w:line="360" w:before="360" w:after="200"/>
        <w:rPr/>
      </w:pPr>
      <w:r>
        <w:rPr>
          <w:rFonts w:eastAsia="Times New Roman" w:cs="Times New Roman"/>
          <w:b/>
          <w:bCs/>
          <w:sz w:val="24"/>
          <w:szCs w:val="24"/>
        </w:rPr>
        <w:t>3.1 Autoconstrução e precariedade habitacional</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autoconstrução, entendida como o processo de edificação conduzido pela própria família sem acompanhamento técnico profissional, é fenômeno historicamente predominante nas periferias urbanas brasileiras. Conforme Bonduki (1994), tal prática emergiu como estratégia de sobrevivência diante da impossibilidade de acesso ao mercado formal de habitação, resultando em paisagens construídas caracterizadas pela incompletude construtiva, pela sobreposição de materiais de distintas qualidades e pela desconsideração de normas técnicas. No Brasil, estima-se que mais de 60% da produção habitacional ocorre sem a orientação de arquiteto, urbanista ou engenheiro — paradoxo notável considerando que a proporção de 1.049 habitantes por arquiteto no país é comparável à de países de alta renda como Suíça (1.148 hab/arq) (CAU/BR, 2021). Em conjuntos habitacionais populares entregues pelo poder público, o fenômeno assume configuração específica: o morador parte de uma base construtiva formal, mas a adapta e expande sem projeto, reproduzindo parte dos problemas da autoconstrução a partir de uma planta-padrão.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literatura aponta que as manifestações patológicas mais frequentes nesse estoque relacionam-se a três grandes sistemas: vedação (paredes e revestimentos), cobertura e instalações (elétrica e hidrossanitária). Segundo Oliveira e Mitidieri Filho (2012), a umidade é a patologia de maior incidência, decorrendo tanto da ausência de impermeabilização quanto do contato direto com o solo e da insuficiência de ventilação cruzada. Internacionalmente, estudos de avaliação da qualidade habitacional — como os de Karim (2012) sobre conjuntos de baixa renda na Malásia e os de Ibem e Azuh (2011) sobre housing estates na Nigéria — evidenciam que a deterioração acelerada de habitações sociais é fenômeno recorrente em países do Sul Global, particularmente quando a entrega da unidade não é acompanhada de programas de manutenção assistida e de avaliação pós-ocupação (APO) sistemática.</w:t>
      </w:r>
    </w:p>
    <w:p>
      <w:pPr>
        <w:pStyle w:val="Normal"/>
        <w:spacing w:lineRule="auto" w:line="360" w:before="360" w:after="200"/>
        <w:rPr/>
      </w:pPr>
      <w:r>
        <w:rPr>
          <w:rFonts w:eastAsia="Times New Roman" w:cs="Times New Roman"/>
          <w:b/>
          <w:bCs/>
          <w:sz w:val="24"/>
          <w:szCs w:val="24"/>
        </w:rPr>
        <w:t>3.2 Políticas habitacionais e o descompasso entre produção e manutenção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Entre 2007 e 2015, o Governo Federal investiu 86,2% dos recursos da política habitacional em produção de moradia (Programa Minha Casa Minha Vida — MCMV) e apenas 13,8% em melhoria habitacional, que envolve infraestrutura, saneamento e melhoria residencial (IPEA, 2014). Esse desequilíbrio estrutural reflete-se na ausência quase total de políticas de manutenção pós-entrega nos programas habitacionais brasileiros, configurando o que Cardoso e Aragão (2013) denominam de "produção em massa sem qualidade": unidades habitacionais entregues em larga escala, mas sem acompanhamento técnico que garanta sua durabilidade. A Lei Federal n.º 11.888/2008, ao instituir a ATHIS como direito das famílias de baixa renda, ofereceu o marco jurídico para a superação desse modelo. Contudo, conforme aponta a análise legislativa conduzida pelo CAU/SC (2018), a implementação efetiva da ATHIS nos municípios brasileiros permanece fragmentada: as legislações locais compilam princípios e diretrizes da lei federal sem avançar na estruturação de programas que materializem o direito à assistência técnica. A ATHIS, enquanto direito constitucionalmente amparado, vem ocorrendo de forma pontual, voluntariada e desarticulada de ações estatais de maior abrangência.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Nesse contexto, o Programa Habita+, instituído pelo Decreto Estadual n.º 48.695/2023 no Estado do Rio de Janeiro, representa experiência inovadora ao articular, em escala estadual, pesquisa habitacional e assistência técnica sob contratação unificada por Sistema de Registro de Preços (SRP). Com previsão de 12.650 diagnósticos (Lote 1) e 7.716 projetos de ATHIS (Lote 2), e orçamento estimado de R$ 73,2 milhões em referência EMOP nov./2024, o programa materializa a passagem de um modelo de produção habitacional centrado na unidade nova para um modelo que reconhece o déficit qualitativo como campo legítimo de intervenção pública — e do qual o Projeto ATHIS-Tapera constitui o caso piloto (SEHIS-RJ, 2024).</w:t>
      </w:r>
    </w:p>
    <w:p>
      <w:pPr>
        <w:pStyle w:val="Normal"/>
        <w:spacing w:lineRule="auto" w:line="360" w:before="360" w:after="200"/>
        <w:rPr/>
      </w:pPr>
      <w:r>
        <w:rPr>
          <w:rFonts w:eastAsia="Times New Roman" w:cs="Times New Roman"/>
          <w:b/>
          <w:bCs/>
          <w:sz w:val="24"/>
          <w:szCs w:val="24"/>
        </w:rPr>
        <w:t>3.3 Conforto ambiental e desempenho térmico em habitações populares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conforto ambiental abrange as dimensões acústica, higrotérmica e luminosa do ambiente construído. Em habitações populares de clima quente e úmido, o desconforto térmico é frequentemente atribuído exclusivamente à cobertura — especialmente ao uso de telhas de fibrocimento sem forro (GIVONI, 1992). No entanto, o sistema de paredes em placas de concreto pré-moldadas introduz uma dimensão adicional ao problema. O concreto possui condutividade térmica significativamente superior à da cerâmica ou do tijolo (λ ≈ 1,75 W/m·K contra λ ≈ 0,90 W/m·K para blocos cerâmicos), o que favorece a transmissão de calor do exterior para o interior em dias quentes. A norma ABNT NBR 15575 (2013) estabelece requisitos mínimos de transmitância térmica (U ≤ 3,7 W/m²·K para Zona Bioclimática 5) e capacidade térmica (CT ≥ 130 kJ/m²·K) para paredes externas — requisitos que devem ser verificados no contexto das placas utilizadas no Morar Feliz. Estudos de Brito et al. (2012) sobre conjuntos habitacionais com sistemas construtivos similares na Zona Bioclimática 8 demonstraram que paredes de concreto pré-moldado podem apresentar até 4°C a mais de temperatura superficial interna em relação à alvenaria cerâmica nos horários de pico.</w:t>
      </w:r>
    </w:p>
    <w:p>
      <w:pPr>
        <w:pStyle w:val="Normal"/>
        <w:spacing w:lineRule="auto" w:line="360" w:before="360" w:after="200"/>
        <w:rPr/>
      </w:pPr>
      <w:r>
        <w:rPr>
          <w:rFonts w:eastAsia="Times New Roman" w:cs="Times New Roman"/>
          <w:b/>
          <w:bCs/>
          <w:sz w:val="24"/>
          <w:szCs w:val="24"/>
        </w:rPr>
        <w:t>3.4 Avaliação pós-ocupação e naturalização da precariedade</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avaliação pós-ocupação (APO), definida como processo sistemático de avaliação do desempenho do ambiente construído após um período de uso, é reconhecida internacionalmente como instrumento essencial para a retroalimentação dos processos projetuais e construtivos (PREISER; VISCHER, 2005). No contexto da habitação de interesse social brasileira, a APO tem sido crescentemente utilizada como ferramenta de diagnóstico de patologias e de avaliação da satisfação dos moradores (VILLA; ORNSTEIN, 2013). A percepção subjetiva dos moradores constitui indicador complementar indispensável, especialmente porque pode revelar o fenômeno de "naturalização da precariedade" descrito por Rolnik (2015): moradores que, por terem vivido em condições ainda mais precárias anteriormente, avaliam positivamente habitações que, do ponto de vista técnico, apresentam inconformidades significativas. Esse fenômeno é particularmente relevante em Tapera, onde os moradores têm como referência as condições da Favela Margem da Linha — habitações autoconstruídas ao longo de décadas à margem de uma ferrovia.</w:t>
      </w:r>
    </w:p>
    <w:p>
      <w:pPr>
        <w:pStyle w:val="Normal"/>
        <w:spacing w:lineRule="auto" w:line="360" w:before="360" w:after="200"/>
        <w:rPr/>
      </w:pPr>
      <w:r>
        <w:rPr>
          <w:rFonts w:eastAsia="Times New Roman" w:cs="Times New Roman"/>
          <w:b/>
          <w:bCs/>
          <w:sz w:val="28"/>
          <w:szCs w:val="28"/>
        </w:rPr>
        <w:t>4 METODOLOGIA</w:t>
      </w:r>
    </w:p>
    <w:p>
      <w:pPr>
        <w:pStyle w:val="Normal"/>
        <w:spacing w:lineRule="auto" w:line="360" w:before="360" w:after="200"/>
        <w:rPr/>
      </w:pPr>
      <w:r>
        <w:rPr>
          <w:rFonts w:eastAsia="Times New Roman" w:cs="Times New Roman"/>
          <w:b/>
          <w:bCs/>
          <w:sz w:val="24"/>
          <w:szCs w:val="24"/>
        </w:rPr>
        <w:t>4.1 Desenho do estudo e amostra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Trata-se de estudo transversal descritivo, com coleta de dados primários por levantamento técnico in loco. O universo do estudo compreendeu os domicílios elegíveis ao Projeto ATHIS-Tapera, totalizando 999 registros produzidos pela equipe técnica, dos quais 462 constam com dados completos suficientes para análise quantitativa. As vistorias foram realizadas entre agosto e dezembro de 2025 por equipes interdisciplinares compostas por duplas de arquitetas e urbanistas acompanhadas por uma assistente social, que conduzia simultaneamente coleta de dados socioeconômicos por meio de instrumento próprio (Questionário Socioeconômico ATHIS-Tapera, versão 7). Para a análise específica dos vãos e esquadrias (seção 5.5), utilizou-se subconjunto de 116–139 domicílios.</w:t>
      </w:r>
    </w:p>
    <w:p>
      <w:pPr>
        <w:pStyle w:val="Normal"/>
        <w:spacing w:lineRule="auto" w:line="360" w:before="360" w:after="200"/>
        <w:rPr/>
      </w:pPr>
      <w:r>
        <w:rPr>
          <w:rFonts w:eastAsia="Times New Roman" w:cs="Times New Roman"/>
          <w:b/>
          <w:bCs/>
          <w:sz w:val="24"/>
          <w:szCs w:val="24"/>
        </w:rPr>
        <w:t>4.2 Instrumento de coleta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Questionário Arquitetônico ATHIS-Tapera (versão 8) foi desenvolvido na plataforma KoboToolbox e estruturado em cinco seções: (1) Localização do domicílio; (2) Características do domicílio; (3) Patologias e inconformidades; (4) Entrevista com o beneficiário; e (5) Diagnóstico técnico. O questionário totaliza 322 variáveis. Os dois instrumentos foram vinculados por identificador único de domicílio (ID de cálculo), permitindo cruzamentos entre a dimensão técnico-construtiva e a socioeconômica. O banco socioeconômico resultante conta com 1.008 registros, dos quais 484 com dados completos, e 848 domicílios com linkagem válida ao banco arquitetônico.</w:t>
      </w:r>
    </w:p>
    <w:p>
      <w:pPr>
        <w:pStyle w:val="Normal"/>
        <w:spacing w:lineRule="auto" w:line="360" w:before="360" w:after="200"/>
        <w:rPr/>
      </w:pPr>
      <w:r>
        <w:rPr>
          <w:rFonts w:eastAsia="Times New Roman" w:cs="Times New Roman"/>
          <w:b/>
          <w:bCs/>
          <w:sz w:val="24"/>
          <w:szCs w:val="24"/>
        </w:rPr>
        <w:t>4.3 Análise dos dados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Os dados foram exportados em formato .xlsx e submetidos à análise descritiva com frequências absolutas e relativas para variáveis categóricas, e estatísticas de tendência central e dispersão para variáveis contínuas. O Índice de Vulnerabilidade Habitacional (IVH) foi construído a partir de seis dimensões ponderadas. A análise de agrupamentos utilizou K-Means (k = 4), e a progressão temporal foi avaliada pelo teste de Kruskal-Wallis. As análises foram conduzidas em Python (bibliotecas pandas e openpyxl) e validadas por inspeção visual dos registros originais.</w:t>
      </w:r>
    </w:p>
    <w:p>
      <w:pPr>
        <w:pStyle w:val="Normal"/>
        <w:spacing w:lineRule="auto" w:line="360" w:before="360" w:after="200"/>
        <w:rPr/>
      </w:pPr>
      <w:r>
        <w:rPr>
          <w:rFonts w:eastAsia="Times New Roman" w:cs="Times New Roman"/>
          <w:b/>
          <w:bCs/>
          <w:sz w:val="28"/>
          <w:szCs w:val="28"/>
        </w:rPr>
        <w:t>5 RESULTADOS</w:t>
      </w:r>
    </w:p>
    <w:p>
      <w:pPr>
        <w:pStyle w:val="Normal"/>
        <w:spacing w:lineRule="auto" w:line="360" w:before="360" w:after="200"/>
        <w:rPr/>
      </w:pPr>
      <w:r>
        <w:rPr>
          <w:rFonts w:eastAsia="Times New Roman" w:cs="Times New Roman"/>
          <w:b/>
          <w:bCs/>
          <w:sz w:val="24"/>
          <w:szCs w:val="24"/>
        </w:rPr>
        <w:t>5.1 Caracterização dos domicílios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Tabela 1 sintetiza as principais características dos 462 domicílios com dados completos. A predominância absoluta de casas térreas (97,8%) em terreno plano (100%) reflete as características topográficas e tipológicas do conjunto original. A metragem mediana de 42 m² — compatível com os 43,08 m² do projeto original — revela que parte dos imóveis permanece próxima ao padrão entregue, enquanto a média de 53,6 m² indica que outra parte passou por expansões. O número médio de moradores de 2,84 sugere que a superlotação extrema não é o principal vetor de precariedade nesse território.</w:t>
      </w:r>
    </w:p>
    <w:p>
      <w:pPr>
        <w:pStyle w:val="Normal"/>
        <w:spacing w:lineRule="auto" w:line="360" w:before="240" w:after="80"/>
        <w:jc w:val="both"/>
        <w:rPr/>
      </w:pPr>
      <w:r>
        <w:rPr>
          <w:rFonts w:eastAsia="Times New Roman" w:cs="Times New Roman"/>
          <w:b/>
          <w:bCs/>
          <w:sz w:val="20"/>
          <w:szCs w:val="20"/>
        </w:rPr>
        <w:t xml:space="preserve">Tabela 1 — </w:t>
      </w:r>
      <w:r>
        <w:rPr>
          <w:rFonts w:eastAsia="Times New Roman" w:cs="Times New Roman"/>
          <w:sz w:val="20"/>
          <w:szCs w:val="20"/>
        </w:rPr>
        <w:t>Características gerais dos domicílios vistoriados (n = 462)</w:t>
      </w:r>
    </w:p>
    <w:tbl>
      <w:tblPr>
        <w:tblW w:w="8400" w:type="dxa"/>
        <w:jc w:val="start"/>
        <w:tblInd w:w="0" w:type="dxa"/>
        <w:tblLayout w:type="fixed"/>
        <w:tblCellMar>
          <w:top w:w="40" w:type="dxa"/>
          <w:start w:w="80" w:type="dxa"/>
          <w:bottom w:w="40" w:type="dxa"/>
          <w:end w:w="80" w:type="dxa"/>
        </w:tblCellMar>
      </w:tblPr>
      <w:tblGrid>
        <w:gridCol w:w="3600"/>
        <w:gridCol w:w="2400"/>
        <w:gridCol w:w="2400"/>
      </w:tblGrid>
      <w:tr>
        <w:trPr/>
        <w:tc>
          <w:tcPr>
            <w:tcW w:w="36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Variável</w:t>
            </w:r>
          </w:p>
        </w:tc>
        <w:tc>
          <w:tcPr>
            <w:tcW w:w="24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Valor</w:t>
            </w:r>
          </w:p>
        </w:tc>
        <w:tc>
          <w:tcPr>
            <w:tcW w:w="24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Observação</w:t>
            </w:r>
          </w:p>
        </w:tc>
      </w:tr>
      <w:tr>
        <w:trPr/>
        <w:tc>
          <w:tcPr>
            <w:tcW w:w="36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Tipo: casa térrea</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97,8%</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n = 452</w:t>
            </w:r>
          </w:p>
        </w:tc>
      </w:tr>
      <w:tr>
        <w:trPr/>
        <w:tc>
          <w:tcPr>
            <w:tcW w:w="3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Tipo: sobrado</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2,2%</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n = 10</w:t>
            </w:r>
          </w:p>
        </w:tc>
      </w:tr>
      <w:tr>
        <w:trPr/>
        <w:tc>
          <w:tcPr>
            <w:tcW w:w="36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Terreno plano</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100%</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n = 462</w:t>
            </w:r>
          </w:p>
        </w:tc>
      </w:tr>
      <w:tr>
        <w:trPr/>
        <w:tc>
          <w:tcPr>
            <w:tcW w:w="3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Área construída (média ± DP)</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53,6 ± 21,3 m²</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r>
      <w:tr>
        <w:trPr/>
        <w:tc>
          <w:tcPr>
            <w:tcW w:w="36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Área construída (mediana)</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42,0 m²</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Projeto original: 43,08 m²</w:t>
            </w:r>
          </w:p>
        </w:tc>
      </w:tr>
      <w:tr>
        <w:trPr/>
        <w:tc>
          <w:tcPr>
            <w:tcW w:w="36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N.º de cômodos (média ± DP)</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5,83 ± 1,73</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r>
      <w:tr>
        <w:trPr/>
        <w:tc>
          <w:tcPr>
            <w:tcW w:w="36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N.º de moradores (média ± DP)</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2,84 ± 1,62</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360" w:after="200"/>
        <w:rPr/>
      </w:pPr>
      <w:r>
        <w:rPr>
          <w:rFonts w:eastAsia="Times New Roman" w:cs="Times New Roman"/>
          <w:b/>
          <w:bCs/>
          <w:sz w:val="24"/>
          <w:szCs w:val="24"/>
        </w:rPr>
        <w:t>5.2 Padrão construtivo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análise do padrão construtivo revela a trajetória de incrementalidade e degradação típica de conjuntos habitacionais populares sem manutenção programada. O piso cerâmico, previsto no projeto original e presente em 79,9% dos domicílios, é o elemento mais próximo ao padrão entregue. As paredes externas permanecem sem acabamento em 44,8% dos casos (tijolo aparente), e o interior em 49,6% apresenta ausência de revestimento. A cobertura com telha de fibrocimento, predominante em 76,8%, representa a discrepância mais significativa em relação ao projeto original, que previa telha cerâmica sobre laje.</w:t>
      </w:r>
    </w:p>
    <w:p>
      <w:pPr>
        <w:pStyle w:val="Normal"/>
        <w:spacing w:lineRule="auto" w:line="360" w:before="240" w:after="80"/>
        <w:jc w:val="both"/>
        <w:rPr/>
      </w:pPr>
      <w:r>
        <w:rPr>
          <w:rFonts w:eastAsia="Times New Roman" w:cs="Times New Roman"/>
          <w:b/>
          <w:bCs/>
          <w:sz w:val="20"/>
          <w:szCs w:val="20"/>
        </w:rPr>
        <w:t xml:space="preserve">Tabela 2 — </w:t>
      </w:r>
      <w:r>
        <w:rPr>
          <w:rFonts w:eastAsia="Times New Roman" w:cs="Times New Roman"/>
          <w:sz w:val="20"/>
          <w:szCs w:val="20"/>
        </w:rPr>
        <w:t>Padrão construtivo dos sistemas avaliados (n = 462)</w:t>
      </w:r>
    </w:p>
    <w:tbl>
      <w:tblPr>
        <w:tblW w:w="8400" w:type="dxa"/>
        <w:jc w:val="start"/>
        <w:tblInd w:w="0" w:type="dxa"/>
        <w:tblLayout w:type="fixed"/>
        <w:tblCellMar>
          <w:top w:w="40" w:type="dxa"/>
          <w:start w:w="80" w:type="dxa"/>
          <w:bottom w:w="40" w:type="dxa"/>
          <w:end w:w="80" w:type="dxa"/>
        </w:tblCellMar>
      </w:tblPr>
      <w:tblGrid>
        <w:gridCol w:w="2399"/>
        <w:gridCol w:w="3001"/>
        <w:gridCol w:w="1299"/>
        <w:gridCol w:w="1701"/>
      </w:tblGrid>
      <w:tr>
        <w:trPr/>
        <w:tc>
          <w:tcPr>
            <w:tcW w:w="23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Sistema</w:t>
            </w:r>
          </w:p>
        </w:tc>
        <w:tc>
          <w:tcPr>
            <w:tcW w:w="30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Categoria predominante</w:t>
            </w:r>
          </w:p>
        </w:tc>
        <w:tc>
          <w:tcPr>
            <w:tcW w:w="12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w:t>
            </w:r>
          </w:p>
        </w:tc>
        <w:tc>
          <w:tcPr>
            <w:tcW w:w="17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Projeto original</w:t>
            </w:r>
          </w:p>
        </w:tc>
      </w:tr>
      <w:tr>
        <w:trPr/>
        <w:tc>
          <w:tcPr>
            <w:tcW w:w="23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Piso</w:t>
            </w:r>
          </w:p>
        </w:tc>
        <w:tc>
          <w:tcPr>
            <w:tcW w:w="30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Cerâmico</w:t>
            </w:r>
          </w:p>
        </w:tc>
        <w:tc>
          <w:tcPr>
            <w:tcW w:w="12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79,9%</w:t>
            </w:r>
          </w:p>
        </w:tc>
        <w:tc>
          <w:tcPr>
            <w:tcW w:w="17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Cerâmico</w:t>
            </w:r>
          </w:p>
        </w:tc>
      </w:tr>
      <w:tr>
        <w:trPr/>
        <w:tc>
          <w:tcPr>
            <w:tcW w:w="2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Parede externa</w:t>
            </w:r>
          </w:p>
        </w:tc>
        <w:tc>
          <w:tcPr>
            <w:tcW w:w="30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Tijolo aparente (sem acabamento)</w:t>
            </w:r>
          </w:p>
        </w:tc>
        <w:tc>
          <w:tcPr>
            <w:tcW w:w="1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44,8%</w:t>
            </w:r>
          </w:p>
        </w:tc>
        <w:tc>
          <w:tcPr>
            <w:tcW w:w="1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Pintura</w:t>
            </w:r>
          </w:p>
        </w:tc>
      </w:tr>
      <w:tr>
        <w:trPr/>
        <w:tc>
          <w:tcPr>
            <w:tcW w:w="23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Parede interna</w:t>
            </w:r>
          </w:p>
        </w:tc>
        <w:tc>
          <w:tcPr>
            <w:tcW w:w="30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Sem revestimento</w:t>
            </w:r>
          </w:p>
        </w:tc>
        <w:tc>
          <w:tcPr>
            <w:tcW w:w="12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49,6%</w:t>
            </w:r>
          </w:p>
        </w:tc>
        <w:tc>
          <w:tcPr>
            <w:tcW w:w="17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Pintura / cerâmica</w:t>
            </w:r>
          </w:p>
        </w:tc>
      </w:tr>
      <w:tr>
        <w:trPr/>
        <w:tc>
          <w:tcPr>
            <w:tcW w:w="2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Cobertura</w:t>
            </w:r>
          </w:p>
        </w:tc>
        <w:tc>
          <w:tcPr>
            <w:tcW w:w="30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Fibrocimento</w:t>
            </w:r>
          </w:p>
        </w:tc>
        <w:tc>
          <w:tcPr>
            <w:tcW w:w="1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76,8%</w:t>
            </w:r>
          </w:p>
        </w:tc>
        <w:tc>
          <w:tcPr>
            <w:tcW w:w="1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Telha cerâmica</w:t>
            </w:r>
          </w:p>
        </w:tc>
      </w:tr>
      <w:tr>
        <w:trPr/>
        <w:tc>
          <w:tcPr>
            <w:tcW w:w="23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Estrutura</w:t>
            </w:r>
          </w:p>
        </w:tc>
        <w:tc>
          <w:tcPr>
            <w:tcW w:w="30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Alvenaria amarrada</w:t>
            </w:r>
          </w:p>
        </w:tc>
        <w:tc>
          <w:tcPr>
            <w:tcW w:w="12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69,5%</w:t>
            </w:r>
          </w:p>
        </w:tc>
        <w:tc>
          <w:tcPr>
            <w:tcW w:w="17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Placas pré-moldadas</w:t>
            </w:r>
          </w:p>
        </w:tc>
      </w:tr>
      <w:tr>
        <w:trPr/>
        <w:tc>
          <w:tcPr>
            <w:tcW w:w="2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Laje</w:t>
            </w:r>
          </w:p>
        </w:tc>
        <w:tc>
          <w:tcPr>
            <w:tcW w:w="30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Presente</w:t>
            </w:r>
          </w:p>
        </w:tc>
        <w:tc>
          <w:tcPr>
            <w:tcW w:w="12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Presente</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360" w:after="200"/>
        <w:rPr/>
      </w:pPr>
      <w:r>
        <w:rPr>
          <w:rFonts w:eastAsia="Times New Roman" w:cs="Times New Roman"/>
          <w:b/>
          <w:bCs/>
          <w:sz w:val="24"/>
          <w:szCs w:val="24"/>
        </w:rPr>
        <w:t>5.3 Prevalência de patologias construtivas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As patologias construtivas constituem o resultado mais alarmante do levantamento. O sistema elétrico registrou a maior prevalência individual: fiação exposta em 77,7% dos domicílios, configurando risco imediato de choque elétrico e incêndio. Nas paredes, apenas 7,8% dos domicílios foram classificados como isentos de patologias. A umidade, em suas diversas manifestações — manchas de mofo (53,2%), umidade descendente (40,5%) e ascendente (36,4%) —, constitui a síndrome patológica mais generalizada.</w:t>
      </w:r>
    </w:p>
    <w:p>
      <w:pPr>
        <w:pStyle w:val="Normal"/>
        <w:spacing w:lineRule="auto" w:line="360" w:before="240" w:after="80"/>
        <w:jc w:val="both"/>
        <w:rPr/>
      </w:pPr>
      <w:r>
        <w:rPr>
          <w:rFonts w:eastAsia="Times New Roman" w:cs="Times New Roman"/>
          <w:b/>
          <w:bCs/>
          <w:sz w:val="20"/>
          <w:szCs w:val="20"/>
        </w:rPr>
        <w:t xml:space="preserve">Tabela 3 — </w:t>
      </w:r>
      <w:r>
        <w:rPr>
          <w:rFonts w:eastAsia="Times New Roman" w:cs="Times New Roman"/>
          <w:sz w:val="20"/>
          <w:szCs w:val="20"/>
        </w:rPr>
        <w:t>Prevalência de patologias construtivas por subsistema (n = 462)</w:t>
      </w:r>
    </w:p>
    <w:tbl>
      <w:tblPr>
        <w:tblW w:w="8400" w:type="dxa"/>
        <w:jc w:val="start"/>
        <w:tblInd w:w="0" w:type="dxa"/>
        <w:tblLayout w:type="fixed"/>
        <w:tblCellMar>
          <w:top w:w="40" w:type="dxa"/>
          <w:start w:w="80" w:type="dxa"/>
          <w:bottom w:w="40" w:type="dxa"/>
          <w:end w:w="80" w:type="dxa"/>
        </w:tblCellMar>
      </w:tblPr>
      <w:tblGrid>
        <w:gridCol w:w="2100"/>
        <w:gridCol w:w="3200"/>
        <w:gridCol w:w="1199"/>
        <w:gridCol w:w="1901"/>
      </w:tblGrid>
      <w:tr>
        <w:trPr/>
        <w:tc>
          <w:tcPr>
            <w:tcW w:w="21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Subsistema</w:t>
            </w:r>
          </w:p>
        </w:tc>
        <w:tc>
          <w:tcPr>
            <w:tcW w:w="32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Patologia</w:t>
            </w:r>
          </w:p>
        </w:tc>
        <w:tc>
          <w:tcPr>
            <w:tcW w:w="11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n</w:t>
            </w:r>
          </w:p>
        </w:tc>
        <w:tc>
          <w:tcPr>
            <w:tcW w:w="19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Prevalência (%)</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Instalação elétrica</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Fiação exposta</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359</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77,7%</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Mofo / manchas de umidade</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246</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53,2%</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Umidade descendente</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187</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40,5%</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Umidade ascendente</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168</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36,4%</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Fissuras superficiais</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106</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22,9%</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Trincas estruturais</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40</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8,7%</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Paredes</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Sem patologia</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36</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7,8%</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Esquadrias</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Com patologia (total)</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370</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80,1%</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Esquadrias</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Sem patologia</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73</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15,8%</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Cobertura</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Umidade / infiltração</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195</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42,2%</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Cobertura</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Goteiras pontuais</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182</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39,4%</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Cobertura</w:t>
            </w:r>
          </w:p>
        </w:tc>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Presença de amianto</w:t>
            </w:r>
          </w:p>
        </w:tc>
        <w:tc>
          <w:tcPr>
            <w:tcW w:w="11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84</w:t>
            </w:r>
          </w:p>
        </w:tc>
        <w:tc>
          <w:tcPr>
            <w:tcW w:w="19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18,2%</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Esgoto</w:t>
            </w:r>
          </w:p>
        </w:tc>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Ligação à rede pública</w:t>
            </w:r>
          </w:p>
        </w:tc>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284</w:t>
            </w:r>
          </w:p>
        </w:tc>
        <w:tc>
          <w:tcPr>
            <w:tcW w:w="19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61,5%</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360" w:after="200"/>
        <w:rPr/>
      </w:pPr>
      <w:r>
        <w:rPr>
          <w:rFonts w:eastAsia="Times New Roman" w:cs="Times New Roman"/>
          <w:b/>
          <w:bCs/>
          <w:sz w:val="24"/>
          <w:szCs w:val="24"/>
        </w:rPr>
        <w:t>5.4 Percepção de conforto ambiental pelos moradores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percepção subjetiva dos moradores apresenta convergência relevante com os diagnósticos técnicos (Tabela 4). Quanto à umidade, 42,2% declararam a casa úmida ou muito úmida. O desconforto térmico revelou-se a segunda dimensão mais crítica: 53,4% relataram a casa quente ou muito quente. A deficiência em iluminação natural foi reportada por 44,4% dos respondentes. O conforto acústico apresentou o perfil mais positivo: 87,9% consideraram a casa silenciosa.</w:t>
      </w:r>
    </w:p>
    <w:p>
      <w:pPr>
        <w:pStyle w:val="Normal"/>
        <w:spacing w:lineRule="auto" w:line="360" w:before="240" w:after="80"/>
        <w:jc w:val="both"/>
        <w:rPr/>
      </w:pPr>
      <w:r>
        <w:rPr>
          <w:rFonts w:eastAsia="Times New Roman" w:cs="Times New Roman"/>
          <w:b/>
          <w:bCs/>
          <w:sz w:val="20"/>
          <w:szCs w:val="20"/>
        </w:rPr>
        <w:t xml:space="preserve">Tabela 4 — </w:t>
      </w:r>
      <w:r>
        <w:rPr>
          <w:rFonts w:eastAsia="Times New Roman" w:cs="Times New Roman"/>
          <w:sz w:val="20"/>
          <w:szCs w:val="20"/>
        </w:rPr>
        <w:t>Percepção de conforto ambiental pelos moradores (n = 462)</w:t>
      </w:r>
    </w:p>
    <w:tbl>
      <w:tblPr>
        <w:tblW w:w="8400" w:type="dxa"/>
        <w:jc w:val="start"/>
        <w:tblInd w:w="0" w:type="dxa"/>
        <w:tblLayout w:type="fixed"/>
        <w:tblCellMar>
          <w:top w:w="40" w:type="dxa"/>
          <w:start w:w="80" w:type="dxa"/>
          <w:bottom w:w="40" w:type="dxa"/>
          <w:end w:w="80" w:type="dxa"/>
        </w:tblCellMar>
      </w:tblPr>
      <w:tblGrid>
        <w:gridCol w:w="2100"/>
        <w:gridCol w:w="2699"/>
        <w:gridCol w:w="1800"/>
        <w:gridCol w:w="1801"/>
      </w:tblGrid>
      <w:tr>
        <w:trPr/>
        <w:tc>
          <w:tcPr>
            <w:tcW w:w="21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Dimensão</w:t>
            </w:r>
          </w:p>
        </w:tc>
        <w:tc>
          <w:tcPr>
            <w:tcW w:w="26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Resposta negativa</w:t>
            </w:r>
          </w:p>
        </w:tc>
        <w:tc>
          <w:tcPr>
            <w:tcW w:w="1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negativa</w:t>
            </w:r>
          </w:p>
        </w:tc>
        <w:tc>
          <w:tcPr>
            <w:tcW w:w="18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positiva</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Umidade</w:t>
            </w:r>
          </w:p>
        </w:tc>
        <w:tc>
          <w:tcPr>
            <w:tcW w:w="26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Úmida ou muito úmida</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42,2%</w:t>
            </w:r>
          </w:p>
        </w:tc>
        <w:tc>
          <w:tcPr>
            <w:tcW w:w="18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57,8%</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Conforto térmico</w:t>
            </w:r>
          </w:p>
        </w:tc>
        <w:tc>
          <w:tcPr>
            <w:tcW w:w="2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Quente ou muito quente</w:t>
            </w:r>
          </w:p>
        </w:tc>
        <w:tc>
          <w:tcPr>
            <w:tcW w:w="1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53,4%</w:t>
            </w:r>
          </w:p>
        </w:tc>
        <w:tc>
          <w:tcPr>
            <w:tcW w:w="1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46,6%</w:t>
            </w:r>
          </w:p>
        </w:tc>
      </w:tr>
      <w:tr>
        <w:trPr/>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Iluminação natural</w:t>
            </w:r>
          </w:p>
        </w:tc>
        <w:tc>
          <w:tcPr>
            <w:tcW w:w="26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Pouco iluminada / deficiente</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44,4%</w:t>
            </w:r>
          </w:p>
        </w:tc>
        <w:tc>
          <w:tcPr>
            <w:tcW w:w="18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55,6%</w:t>
            </w:r>
          </w:p>
        </w:tc>
      </w:tr>
      <w:tr>
        <w:trPr/>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Conforto acústico</w:t>
            </w:r>
          </w:p>
        </w:tc>
        <w:tc>
          <w:tcPr>
            <w:tcW w:w="26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Barulhenta ou muito barulhenta</w:t>
            </w:r>
          </w:p>
        </w:tc>
        <w:tc>
          <w:tcPr>
            <w:tcW w:w="1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12,1%</w:t>
            </w:r>
          </w:p>
        </w:tc>
        <w:tc>
          <w:tcPr>
            <w:tcW w:w="18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87,9%</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360" w:after="200"/>
        <w:rPr/>
      </w:pPr>
      <w:r>
        <w:rPr>
          <w:rFonts w:eastAsia="Times New Roman" w:cs="Times New Roman"/>
          <w:b/>
          <w:bCs/>
          <w:sz w:val="24"/>
          <w:szCs w:val="24"/>
        </w:rPr>
        <w:t>5.5 Condições de abertura: vãos, esquadrias e iluminação natural</w:t>
      </w:r>
    </w:p>
    <w:p>
      <w:pPr>
        <w:pStyle w:val="Normal"/>
        <w:spacing w:lineRule="auto" w:line="360" w:before="0" w:after="200"/>
        <w:jc w:val="both"/>
        <w:rPr/>
      </w:pPr>
      <w:r>
        <w:rPr>
          <w:rFonts w:eastAsia="Times New Roman" w:cs="Times New Roman"/>
          <w:b/>
          <w:bCs/>
          <w:i/>
          <w:iCs/>
          <w:sz w:val="24"/>
          <w:szCs w:val="24"/>
        </w:rPr>
        <w:t xml:space="preserve">Nota metodológica: </w:t>
      </w:r>
      <w:r>
        <w:rPr>
          <w:rFonts w:eastAsia="Times New Roman" w:cs="Times New Roman"/>
          <w:i/>
          <w:iCs/>
          <w:sz w:val="24"/>
          <w:szCs w:val="24"/>
        </w:rPr>
        <w:t>as análises desta seção referem-se a subconjunto de 116–139 domicílios com dados completos para as variáveis quantitativas de vãos, incorporadas ao instrumento ao longo do levantamento.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média de 4,53 vãos com janelas e de 4,06 vãos com portas por domicílio é compatível com o padrão tipológico de casas de 5 a 6 cômodos. Dentre os domicílios analisados, 29,7% possuem ao menos um vão de janela completamente aberto, e 52,8% possuem ao menos um vão de porta sem fechamento, comprometendo simultaneamente segurança, privacidade e controle térmico-acústico.</w:t>
      </w:r>
    </w:p>
    <w:p>
      <w:pPr>
        <w:pStyle w:val="Normal"/>
        <w:spacing w:lineRule="auto" w:line="360" w:before="240" w:after="80"/>
        <w:jc w:val="both"/>
        <w:rPr/>
      </w:pPr>
      <w:r>
        <w:rPr>
          <w:rFonts w:eastAsia="Times New Roman" w:cs="Times New Roman"/>
          <w:b/>
          <w:bCs/>
          <w:sz w:val="20"/>
          <w:szCs w:val="20"/>
        </w:rPr>
        <w:t xml:space="preserve">Tabela 5 — </w:t>
      </w:r>
      <w:r>
        <w:rPr>
          <w:rFonts w:eastAsia="Times New Roman" w:cs="Times New Roman"/>
          <w:sz w:val="20"/>
          <w:szCs w:val="20"/>
        </w:rPr>
        <w:t>Quantitativo de vãos por tipo e domicílios com vãos sem fechamento</w:t>
      </w:r>
    </w:p>
    <w:tbl>
      <w:tblPr>
        <w:tblW w:w="8400" w:type="dxa"/>
        <w:jc w:val="start"/>
        <w:tblInd w:w="0" w:type="dxa"/>
        <w:tblLayout w:type="fixed"/>
        <w:tblCellMar>
          <w:top w:w="40" w:type="dxa"/>
          <w:start w:w="80" w:type="dxa"/>
          <w:bottom w:w="40" w:type="dxa"/>
          <w:end w:w="80" w:type="dxa"/>
        </w:tblCellMar>
      </w:tblPr>
      <w:tblGrid>
        <w:gridCol w:w="3200"/>
        <w:gridCol w:w="2400"/>
        <w:gridCol w:w="2800"/>
      </w:tblGrid>
      <w:tr>
        <w:trPr/>
        <w:tc>
          <w:tcPr>
            <w:tcW w:w="32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Indicador</w:t>
            </w:r>
          </w:p>
        </w:tc>
        <w:tc>
          <w:tcPr>
            <w:tcW w:w="24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Valor</w:t>
            </w:r>
          </w:p>
        </w:tc>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Observação</w:t>
            </w:r>
          </w:p>
        </w:tc>
      </w:tr>
      <w:tr>
        <w:trPr/>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Vãos com janela (média ± DP)</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4,53 ± 1,89</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n = 139</w:t>
            </w:r>
          </w:p>
        </w:tc>
      </w:tr>
      <w:tr>
        <w:trPr/>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Vãos com porta (média ± DP)</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4,06 ± 1,45</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n = 139</w:t>
            </w:r>
          </w:p>
        </w:tc>
      </w:tr>
      <w:tr>
        <w:trPr/>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Vãos de janela sem fechamento (média)</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0,50 ± 1,05</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n = 116</w:t>
            </w:r>
          </w:p>
        </w:tc>
      </w:tr>
      <w:tr>
        <w:trPr/>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Vãos de porta sem fechamento (média)</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1,20 ± 1,39</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n = 118</w:t>
            </w:r>
          </w:p>
        </w:tc>
      </w:tr>
      <w:tr>
        <w:trPr/>
        <w:tc>
          <w:tcPr>
            <w:tcW w:w="32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Domicílios com ≥1 janela aberta</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29,7%</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n = 116</w:t>
            </w:r>
          </w:p>
        </w:tc>
      </w:tr>
      <w:tr>
        <w:trPr/>
        <w:tc>
          <w:tcPr>
            <w:tcW w:w="32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Domicílios com ≥1 porta sem fechamento</w:t>
            </w:r>
          </w:p>
        </w:tc>
        <w:tc>
          <w:tcPr>
            <w:tcW w:w="24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52,8%</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n = 118</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análise cruzada entre percepção de iluminação e diagnósticos técnicos revela correlação consistente (Tabela 6). Nos domicílios com iluminação deficiente segundo os moradores, 19,0% apresentavam ausência de janelas e 19,4% insuficiência de pontos de luz. No grupo classificado como pouco iluminado, essas proporções sobem para 50,0% e 50,5%, respectivamente. Os 100 domicílios que combinam ausência de janelas e insuficiência de pontos de luz simultaneamente: 81% foram classificados pelos próprios moradores como pouco iluminados ou deficientes.</w:t>
      </w:r>
    </w:p>
    <w:p>
      <w:pPr>
        <w:pStyle w:val="Normal"/>
        <w:spacing w:lineRule="auto" w:line="360" w:before="240" w:after="80"/>
        <w:jc w:val="both"/>
        <w:rPr/>
      </w:pPr>
      <w:r>
        <w:rPr>
          <w:rFonts w:eastAsia="Times New Roman" w:cs="Times New Roman"/>
          <w:b/>
          <w:bCs/>
          <w:sz w:val="20"/>
          <w:szCs w:val="20"/>
        </w:rPr>
        <w:t xml:space="preserve">Tabela 6 — </w:t>
      </w:r>
      <w:r>
        <w:rPr>
          <w:rFonts w:eastAsia="Times New Roman" w:cs="Times New Roman"/>
          <w:sz w:val="20"/>
          <w:szCs w:val="20"/>
        </w:rPr>
        <w:t>Percepção de iluminação e patologias técnicas associadas (n = 462)</w:t>
      </w:r>
    </w:p>
    <w:tbl>
      <w:tblPr>
        <w:tblW w:w="8400" w:type="dxa"/>
        <w:jc w:val="start"/>
        <w:tblInd w:w="0" w:type="dxa"/>
        <w:tblLayout w:type="fixed"/>
        <w:tblCellMar>
          <w:top w:w="40" w:type="dxa"/>
          <w:start w:w="80" w:type="dxa"/>
          <w:bottom w:w="40" w:type="dxa"/>
          <w:end w:w="80" w:type="dxa"/>
        </w:tblCellMar>
      </w:tblPr>
      <w:tblGrid>
        <w:gridCol w:w="2800"/>
        <w:gridCol w:w="2800"/>
        <w:gridCol w:w="2800"/>
      </w:tblGrid>
      <w:tr>
        <w:trPr/>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Percepção do morador</w:t>
            </w:r>
          </w:p>
        </w:tc>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com ausência de janelas</w:t>
            </w:r>
          </w:p>
        </w:tc>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com insuficiência de pontos de luz</w:t>
            </w:r>
          </w:p>
        </w:tc>
      </w:tr>
      <w:tr>
        <w:trPr/>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Iluminada</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r>
      <w:tr>
        <w:trPr/>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Deficiente</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19,0%</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19,4%</w:t>
            </w:r>
          </w:p>
        </w:tc>
      </w:tr>
      <w:tr>
        <w:trPr/>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Pouco iluminada</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50,0%</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50,5%</w:t>
            </w:r>
          </w:p>
        </w:tc>
      </w:tr>
    </w:tbl>
    <w:p>
      <w:pPr>
        <w:pStyle w:val="Normal"/>
        <w:spacing w:lineRule="auto" w:line="360" w:before="0" w:after="200"/>
        <w:jc w:val="start"/>
        <w:rPr/>
      </w:pPr>
      <w:r>
        <w:rPr>
          <w:rFonts w:eastAsia="Times New Roman" w:cs="Times New Roman"/>
          <w:b w:val="false"/>
          <w:bCs w:val="false"/>
          <w:i/>
          <w:iCs/>
          <w:color w:val="000000"/>
          <w:sz w:val="18"/>
          <w:szCs w:val="18"/>
        </w:rPr>
        <w:t>Fonte: ATHIS-Tapera, 2025. Percentual de domicílios com a patologia dentro de cada categoria de percepção.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Contrariamente ao esperado, 53,9% dos moradores com fibrocimento e 51,0% sem fibrocimento relataram desconforto térmico (quente ou muito quente), sem diferença expressiva entre os grupos. Esse resultado sugere que o desconforto em Tapera resulta da combinação entre insuficiência de ventilação cruzada, déficit de aberturas e configuração compacta das unidades, não apenas do tipo de telha.</w:t>
      </w:r>
    </w:p>
    <w:p>
      <w:pPr>
        <w:pStyle w:val="Normal"/>
        <w:spacing w:lineRule="auto" w:line="360" w:before="240" w:after="80"/>
        <w:jc w:val="both"/>
        <w:rPr/>
      </w:pPr>
      <w:r>
        <w:rPr>
          <w:rFonts w:eastAsia="Times New Roman" w:cs="Times New Roman"/>
          <w:b/>
          <w:bCs/>
          <w:sz w:val="20"/>
          <w:szCs w:val="20"/>
        </w:rPr>
        <w:t xml:space="preserve">Tabela 7 — </w:t>
      </w:r>
      <w:r>
        <w:rPr>
          <w:rFonts w:eastAsia="Times New Roman" w:cs="Times New Roman"/>
          <w:sz w:val="20"/>
          <w:szCs w:val="20"/>
        </w:rPr>
        <w:t>Percepção de conforto térmico segundo tipo de cobertura</w:t>
      </w:r>
    </w:p>
    <w:tbl>
      <w:tblPr>
        <w:tblW w:w="8400" w:type="dxa"/>
        <w:jc w:val="start"/>
        <w:tblInd w:w="0" w:type="dxa"/>
        <w:tblLayout w:type="fixed"/>
        <w:tblCellMar>
          <w:top w:w="40" w:type="dxa"/>
          <w:start w:w="80" w:type="dxa"/>
          <w:bottom w:w="40" w:type="dxa"/>
          <w:end w:w="80" w:type="dxa"/>
        </w:tblCellMar>
      </w:tblPr>
      <w:tblGrid>
        <w:gridCol w:w="2800"/>
        <w:gridCol w:w="2800"/>
        <w:gridCol w:w="2800"/>
      </w:tblGrid>
      <w:tr>
        <w:trPr/>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Tipo de cobertura</w:t>
            </w:r>
          </w:p>
        </w:tc>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quente ou muito quente</w:t>
            </w:r>
          </w:p>
        </w:tc>
        <w:tc>
          <w:tcPr>
            <w:tcW w:w="2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confortável ou fresco</w:t>
            </w:r>
          </w:p>
        </w:tc>
      </w:tr>
      <w:tr>
        <w:trPr/>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Fibrocimento</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53,9%</w:t>
            </w:r>
          </w:p>
        </w:tc>
        <w:tc>
          <w:tcPr>
            <w:tcW w:w="2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46,1%</w:t>
            </w:r>
          </w:p>
        </w:tc>
      </w:tr>
      <w:tr>
        <w:trPr/>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Sem fibrocimento</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51,0%</w:t>
            </w:r>
          </w:p>
        </w:tc>
        <w:tc>
          <w:tcPr>
            <w:tcW w:w="2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49,0%</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Elaboração própria.</w:t>
      </w:r>
    </w:p>
    <w:p>
      <w:pPr>
        <w:pStyle w:val="Normal"/>
        <w:spacing w:lineRule="auto" w:line="360" w:before="360" w:after="200"/>
        <w:rPr/>
      </w:pPr>
      <w:r>
        <w:rPr>
          <w:rFonts w:eastAsia="Times New Roman" w:cs="Times New Roman"/>
          <w:b/>
          <w:bCs/>
          <w:sz w:val="24"/>
          <w:szCs w:val="24"/>
        </w:rPr>
        <w:t>5.6 Percepção do morador versus diagnóstico técnico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No tocante à rachadura, 75 moradores (16,2%) relataram o problema — valor inferior ao da vistoria técnica (trincas estruturais em 8,7% e fissuras superficiais em 22,9%), sugerindo normalização das fissuras superficiais. Em relação à goteira, 243 moradores (52,6%) a confirmaram — resultado próximo ao diagnóstico de umidade/infiltração (42,2%) e goteiras pontuais (39,4%). Notavelmente, 29,5% dos moradores (n = 136) realizaram algum tipo de reforma nos dois anos anteriores à vistoria, evidenciando dinâmica construtiva própria.</w:t>
      </w:r>
    </w:p>
    <w:p>
      <w:pPr>
        <w:pStyle w:val="Normal"/>
        <w:spacing w:lineRule="auto" w:line="360" w:before="360" w:after="200"/>
        <w:rPr/>
      </w:pPr>
      <w:r>
        <w:rPr>
          <w:rFonts w:eastAsia="Times New Roman" w:cs="Times New Roman"/>
          <w:b/>
          <w:bCs/>
          <w:sz w:val="24"/>
          <w:szCs w:val="24"/>
        </w:rPr>
        <w:t>5.7 Diagnóstico e demanda por intervenções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diagnóstico técnico estimou média de 4,97 cômodos por domicílio necessitando de reforma (DP = 1,73), num universo de 5,83 cômodos em média — aproximadamente 85% dos cômodos de cada edificação demandam algum tipo de intervenção. Apenas um domicílio foi classificado como inelegível por risco estrutural, e nenhum foi indicado para substituição total. As obras externas mais frequentemente prescritas envolvem fachada, cobertura, esgoto e drenagem.</w:t>
      </w:r>
    </w:p>
    <w:p>
      <w:pPr>
        <w:pStyle w:val="Normal"/>
        <w:spacing w:lineRule="auto" w:line="360" w:before="360" w:after="200"/>
        <w:rPr>
          <w:color w:val="C9211E"/>
        </w:rPr>
      </w:pPr>
      <w:r>
        <w:rPr>
          <w:rFonts w:eastAsia="Times New Roman" w:cs="Times New Roman"/>
          <w:b/>
          <w:bCs/>
          <w:color w:val="C9211E"/>
          <w:sz w:val="24"/>
          <w:szCs w:val="24"/>
        </w:rPr>
        <w:t>(revisar)</w:t>
      </w:r>
      <w:r>
        <w:rPr>
          <w:rFonts w:eastAsia="Times New Roman" w:cs="Times New Roman"/>
          <w:b/>
          <w:bCs/>
          <w:color w:val="C9211E"/>
          <w:sz w:val="24"/>
          <w:szCs w:val="24"/>
        </w:rPr>
        <w:t>5.8 Análises quantitativas avançadas</w:t>
      </w:r>
    </w:p>
    <w:p>
      <w:pPr>
        <w:pStyle w:val="Normal"/>
        <w:spacing w:lineRule="auto" w:line="360" w:before="0" w:after="120"/>
        <w:ind w:firstLine="709"/>
        <w:jc w:val="both"/>
        <w:rPr>
          <w:color w:val="C9211E"/>
        </w:rPr>
      </w:pPr>
      <w:r>
        <w:rPr>
          <w:rFonts w:eastAsia="Times New Roman" w:cs="Times New Roman"/>
          <w:b w:val="false"/>
          <w:bCs w:val="false"/>
          <w:i w:val="false"/>
          <w:iCs w:val="false"/>
          <w:color w:val="C9211E"/>
          <w:sz w:val="24"/>
          <w:szCs w:val="24"/>
        </w:rPr>
        <w:t>Esta seção apresenta três análises complementares: (i) o Índice de Vulnerabilidade Habitacional (IVH); (ii) a análise de agrupamentos (K-Means); e (iii) a progressão temporal das patologias.</w:t>
      </w:r>
    </w:p>
    <w:p>
      <w:pPr>
        <w:pStyle w:val="Normal"/>
        <w:spacing w:lineRule="auto" w:line="360" w:before="0" w:after="120"/>
        <w:jc w:val="both"/>
        <w:rPr>
          <w:color w:val="C9211E"/>
        </w:rPr>
      </w:pPr>
      <w:r>
        <w:rPr>
          <w:rFonts w:eastAsia="Times New Roman" w:cs="Times New Roman"/>
          <w:b/>
          <w:bCs/>
          <w:color w:val="C9211E"/>
          <w:sz w:val="24"/>
          <w:szCs w:val="24"/>
        </w:rPr>
        <w:t xml:space="preserve">Índice de Vulnerabilidade Habitacional (IVH). </w:t>
      </w:r>
      <w:r>
        <w:rPr>
          <w:rFonts w:eastAsia="Times New Roman" w:cs="Times New Roman"/>
          <w:color w:val="C9211E"/>
          <w:sz w:val="24"/>
          <w:szCs w:val="24"/>
        </w:rPr>
        <w:t>O IVH foi construído a partir de seis dimensões de patologia, com pesos diferenciados conforme o nível de risco imediato (Tabela 8). A dimensão Risco Elétrico recebeu o maior peso (3,0) por envolver risco direto de choque e incêndio.</w:t>
      </w:r>
    </w:p>
    <w:p>
      <w:pPr>
        <w:pStyle w:val="Normal"/>
        <w:spacing w:lineRule="auto" w:line="360" w:before="240" w:after="80"/>
        <w:jc w:val="both"/>
        <w:rPr/>
      </w:pPr>
      <w:r>
        <w:rPr>
          <w:rFonts w:eastAsia="Times New Roman" w:cs="Times New Roman"/>
          <w:b/>
          <w:bCs/>
          <w:sz w:val="20"/>
          <w:szCs w:val="20"/>
        </w:rPr>
        <w:t xml:space="preserve">Tabela 8 — </w:t>
      </w:r>
      <w:r>
        <w:rPr>
          <w:rFonts w:eastAsia="Times New Roman" w:cs="Times New Roman"/>
          <w:sz w:val="20"/>
          <w:szCs w:val="20"/>
        </w:rPr>
        <w:t>Dimensões, pesos e contribuição média ao IVH</w:t>
      </w:r>
    </w:p>
    <w:tbl>
      <w:tblPr>
        <w:tblW w:w="8400" w:type="dxa"/>
        <w:jc w:val="start"/>
        <w:tblInd w:w="0" w:type="dxa"/>
        <w:tblLayout w:type="fixed"/>
        <w:tblCellMar>
          <w:top w:w="40" w:type="dxa"/>
          <w:start w:w="80" w:type="dxa"/>
          <w:bottom w:w="40" w:type="dxa"/>
          <w:end w:w="80" w:type="dxa"/>
        </w:tblCellMar>
      </w:tblPr>
      <w:tblGrid>
        <w:gridCol w:w="2799"/>
        <w:gridCol w:w="1401"/>
        <w:gridCol w:w="2100"/>
        <w:gridCol w:w="2100"/>
      </w:tblGrid>
      <w:tr>
        <w:trPr/>
        <w:tc>
          <w:tcPr>
            <w:tcW w:w="27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Dimensão</w:t>
            </w:r>
          </w:p>
        </w:tc>
        <w:tc>
          <w:tcPr>
            <w:tcW w:w="14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Peso</w:t>
            </w:r>
          </w:p>
        </w:tc>
        <w:tc>
          <w:tcPr>
            <w:tcW w:w="21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Contribuição média (%)</w:t>
            </w:r>
          </w:p>
        </w:tc>
        <w:tc>
          <w:tcPr>
            <w:tcW w:w="21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Justificativa</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Risco elétrico</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3,0</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25,0%</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Risco de choque e incêndio</w:t>
            </w:r>
          </w:p>
        </w:tc>
      </w:tr>
      <w:tr>
        <w:trPr/>
        <w:tc>
          <w:tcPr>
            <w:tcW w:w="2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Umidade e mofo</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2,5</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23,1%</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Risco sanitário</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Cobertura</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2,0</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Risco estrutural/sanitário</w:t>
            </w:r>
          </w:p>
        </w:tc>
      </w:tr>
      <w:tr>
        <w:trPr/>
        <w:tc>
          <w:tcPr>
            <w:tcW w:w="2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Esgoto / hidrossanitário</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2,0</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Risco sanitário</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Esquadrias</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1,5</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Conforto e habitabilidade</w:t>
            </w:r>
          </w:p>
        </w:tc>
      </w:tr>
      <w:tr>
        <w:trPr/>
        <w:tc>
          <w:tcPr>
            <w:tcW w:w="2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Pontos de luz e tomada</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1,5</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Conforto e habitabilidade</w:t>
            </w:r>
          </w:p>
        </w:tc>
      </w:tr>
    </w:tbl>
    <w:p>
      <w:pPr>
        <w:pStyle w:val="Normal"/>
        <w:spacing w:lineRule="auto" w:line="360" w:before="0" w:after="200"/>
        <w:jc w:val="start"/>
        <w:rPr/>
      </w:pPr>
      <w:r>
        <w:rPr>
          <w:rFonts w:eastAsia="Times New Roman" w:cs="Times New Roman"/>
          <w:b w:val="false"/>
          <w:bCs w:val="false"/>
          <w:i/>
          <w:iCs/>
          <w:color w:val="000000"/>
          <w:sz w:val="18"/>
          <w:szCs w:val="18"/>
        </w:rPr>
        <w:t>Fonte: Elaboração própria com base no Questionário Arquitetônico ATHIS-Tapera, 2025.</w:t>
      </w:r>
    </w:p>
    <w:p>
      <w:pPr>
        <w:pStyle w:val="Normal"/>
        <w:spacing w:lineRule="auto" w:line="360" w:before="0" w:after="120"/>
        <w:ind w:firstLine="709"/>
        <w:jc w:val="both"/>
        <w:rPr>
          <w:color w:val="C9211E"/>
        </w:rPr>
      </w:pPr>
      <w:r>
        <w:rPr>
          <w:rFonts w:eastAsia="Times New Roman" w:cs="Times New Roman"/>
          <w:b w:val="false"/>
          <w:bCs w:val="false"/>
          <w:i w:val="false"/>
          <w:iCs w:val="false"/>
          <w:color w:val="C9211E"/>
          <w:sz w:val="24"/>
          <w:szCs w:val="24"/>
        </w:rPr>
        <w:t>O IVH médio dos 462 domicílios foi de 4,05 (dp = 2,11), com mediana de 4,02. O mínimo observado foi 0,00 e o máximo 10,00. Destaca-se que 75,7% dos domicílios apresentaram IVH ≥ 2,5 (vulnerabilidade moderada ou superior), e 32,2% apresentaram IVH ≥ 5,0 (vulnerabilidade alta ou muito alta).</w:t>
      </w:r>
    </w:p>
    <w:p>
      <w:pPr>
        <w:pStyle w:val="Normal"/>
        <w:spacing w:lineRule="auto" w:line="360" w:before="240" w:after="80"/>
        <w:jc w:val="both"/>
        <w:rPr/>
      </w:pPr>
      <w:r>
        <w:rPr>
          <w:rFonts w:eastAsia="Times New Roman" w:cs="Times New Roman"/>
          <w:b/>
          <w:bCs/>
          <w:sz w:val="20"/>
          <w:szCs w:val="20"/>
        </w:rPr>
        <w:t xml:space="preserve">Tabela 9 — </w:t>
      </w:r>
      <w:r>
        <w:rPr>
          <w:rFonts w:eastAsia="Times New Roman" w:cs="Times New Roman"/>
          <w:sz w:val="20"/>
          <w:szCs w:val="20"/>
        </w:rPr>
        <w:t>Distribuição dos domicílios por classe de Vulnerabilidade Habitacional (IVH)</w:t>
      </w:r>
    </w:p>
    <w:tbl>
      <w:tblPr>
        <w:tblW w:w="8400" w:type="dxa"/>
        <w:jc w:val="start"/>
        <w:tblInd w:w="0" w:type="dxa"/>
        <w:tblLayout w:type="fixed"/>
        <w:tblCellMar>
          <w:top w:w="40" w:type="dxa"/>
          <w:start w:w="80" w:type="dxa"/>
          <w:bottom w:w="40" w:type="dxa"/>
          <w:end w:w="80" w:type="dxa"/>
        </w:tblCellMar>
      </w:tblPr>
      <w:tblGrid>
        <w:gridCol w:w="2799"/>
        <w:gridCol w:w="2100"/>
        <w:gridCol w:w="1800"/>
        <w:gridCol w:w="1701"/>
      </w:tblGrid>
      <w:tr>
        <w:trPr/>
        <w:tc>
          <w:tcPr>
            <w:tcW w:w="27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Classe de vulnerabilidade</w:t>
            </w:r>
          </w:p>
        </w:tc>
        <w:tc>
          <w:tcPr>
            <w:tcW w:w="21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Faixa do IVH</w:t>
            </w:r>
          </w:p>
        </w:tc>
        <w:tc>
          <w:tcPr>
            <w:tcW w:w="18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n</w:t>
            </w:r>
          </w:p>
        </w:tc>
        <w:tc>
          <w:tcPr>
            <w:tcW w:w="17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dos domicílios</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Baixa</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0,0 – 2,5</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112</w:t>
            </w:r>
          </w:p>
        </w:tc>
        <w:tc>
          <w:tcPr>
            <w:tcW w:w="17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24,3%</w:t>
            </w:r>
          </w:p>
        </w:tc>
      </w:tr>
      <w:tr>
        <w:trPr/>
        <w:tc>
          <w:tcPr>
            <w:tcW w:w="2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Moderada</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2,5 – 5,0</w:t>
            </w:r>
          </w:p>
        </w:tc>
        <w:tc>
          <w:tcPr>
            <w:tcW w:w="1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201</w:t>
            </w:r>
          </w:p>
        </w:tc>
        <w:tc>
          <w:tcPr>
            <w:tcW w:w="1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43,5%</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Alta</w:t>
            </w:r>
          </w:p>
        </w:tc>
        <w:tc>
          <w:tcPr>
            <w:tcW w:w="21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5,0 – 7,5</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108</w:t>
            </w:r>
          </w:p>
        </w:tc>
        <w:tc>
          <w:tcPr>
            <w:tcW w:w="17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23,4%</w:t>
            </w:r>
          </w:p>
        </w:tc>
      </w:tr>
      <w:tr>
        <w:trPr/>
        <w:tc>
          <w:tcPr>
            <w:tcW w:w="27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Muito alta</w:t>
            </w:r>
          </w:p>
        </w:tc>
        <w:tc>
          <w:tcPr>
            <w:tcW w:w="21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7,5 – 10,0</w:t>
            </w:r>
          </w:p>
        </w:tc>
        <w:tc>
          <w:tcPr>
            <w:tcW w:w="18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41</w:t>
            </w:r>
          </w:p>
        </w:tc>
        <w:tc>
          <w:tcPr>
            <w:tcW w:w="17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8,9%</w:t>
            </w:r>
          </w:p>
        </w:tc>
      </w:tr>
    </w:tbl>
    <w:p>
      <w:pPr>
        <w:pStyle w:val="Normal"/>
        <w:spacing w:lineRule="auto" w:line="360" w:before="0" w:after="200"/>
        <w:jc w:val="start"/>
        <w:rPr/>
      </w:pPr>
      <w:r>
        <w:rPr>
          <w:rFonts w:eastAsia="Times New Roman" w:cs="Times New Roman"/>
          <w:b w:val="false"/>
          <w:bCs w:val="false"/>
          <w:i/>
          <w:iCs/>
          <w:color w:val="000000"/>
          <w:sz w:val="18"/>
          <w:szCs w:val="18"/>
        </w:rPr>
        <w:t>Fonte: Elaboração própria com base no Questionário Arquitetônico ATHIS-Tapera, 2025.</w:t>
      </w:r>
    </w:p>
    <w:p>
      <w:pPr>
        <w:pStyle w:val="Normal"/>
        <w:spacing w:lineRule="auto" w:line="360" w:before="0" w:after="120"/>
        <w:jc w:val="both"/>
        <w:rPr>
          <w:color w:val="C9211E"/>
        </w:rPr>
      </w:pPr>
      <w:r>
        <w:rPr>
          <w:rFonts w:eastAsia="Times New Roman" w:cs="Times New Roman"/>
          <w:b/>
          <w:bCs/>
          <w:color w:val="C9211E"/>
          <w:sz w:val="24"/>
          <w:szCs w:val="24"/>
        </w:rPr>
        <w:t xml:space="preserve">Análise de agrupamentos. </w:t>
      </w:r>
      <w:r>
        <w:rPr>
          <w:rFonts w:eastAsia="Times New Roman" w:cs="Times New Roman"/>
          <w:color w:val="C9211E"/>
          <w:sz w:val="24"/>
          <w:szCs w:val="24"/>
        </w:rPr>
        <w:t>A análise por K-Means (k = 4) identificou quatro perfis-tipo de precariedade habitacional (Tabela 10). O cluster de Precariedade Elétrica concentra 23,2% dos domicílios com o maior IVH médio (6,78). O cluster de Baixa Patologia (26,0%, IVH = 1,53) agrupa unidades com patologias pontuais.</w:t>
      </w:r>
    </w:p>
    <w:p>
      <w:pPr>
        <w:pStyle w:val="Normal"/>
        <w:spacing w:lineRule="auto" w:line="360" w:before="240" w:after="80"/>
        <w:jc w:val="both"/>
        <w:rPr/>
      </w:pPr>
      <w:r>
        <w:rPr>
          <w:rFonts w:eastAsia="Times New Roman" w:cs="Times New Roman"/>
          <w:b/>
          <w:bCs/>
          <w:sz w:val="20"/>
          <w:szCs w:val="20"/>
        </w:rPr>
        <w:t xml:space="preserve">Tabela 10 — </w:t>
      </w:r>
      <w:r>
        <w:rPr>
          <w:rFonts w:eastAsia="Times New Roman" w:cs="Times New Roman"/>
          <w:sz w:val="20"/>
          <w:szCs w:val="20"/>
        </w:rPr>
        <w:t>Perfil dos clusters de precariedade habitacional (K-Means, k = 4)</w:t>
      </w:r>
    </w:p>
    <w:tbl>
      <w:tblPr>
        <w:tblW w:w="8400" w:type="dxa"/>
        <w:jc w:val="start"/>
        <w:tblInd w:w="0" w:type="dxa"/>
        <w:tblLayout w:type="fixed"/>
        <w:tblCellMar>
          <w:top w:w="40" w:type="dxa"/>
          <w:start w:w="80" w:type="dxa"/>
          <w:bottom w:w="40" w:type="dxa"/>
          <w:end w:w="80" w:type="dxa"/>
        </w:tblCellMar>
      </w:tblPr>
      <w:tblGrid>
        <w:gridCol w:w="2399"/>
        <w:gridCol w:w="1201"/>
        <w:gridCol w:w="1499"/>
        <w:gridCol w:w="3301"/>
      </w:tblGrid>
      <w:tr>
        <w:trPr/>
        <w:tc>
          <w:tcPr>
            <w:tcW w:w="23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Cluster</w:t>
            </w:r>
          </w:p>
        </w:tc>
        <w:tc>
          <w:tcPr>
            <w:tcW w:w="12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domicílios</w:t>
            </w:r>
          </w:p>
        </w:tc>
        <w:tc>
          <w:tcPr>
            <w:tcW w:w="14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IVH médio</w:t>
            </w:r>
          </w:p>
        </w:tc>
        <w:tc>
          <w:tcPr>
            <w:tcW w:w="33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Características principais</w:t>
            </w:r>
          </w:p>
        </w:tc>
      </w:tr>
      <w:tr>
        <w:trPr/>
        <w:tc>
          <w:tcPr>
            <w:tcW w:w="23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Precariedade elétrica</w:t>
            </w:r>
          </w:p>
        </w:tc>
        <w:tc>
          <w:tcPr>
            <w:tcW w:w="12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23,2%</w:t>
            </w:r>
          </w:p>
        </w:tc>
        <w:tc>
          <w:tcPr>
            <w:tcW w:w="1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6,78</w:t>
            </w:r>
          </w:p>
        </w:tc>
        <w:tc>
          <w:tcPr>
            <w:tcW w:w="33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Fiação exposta universal, mofo e goteiras elevados</w:t>
            </w:r>
          </w:p>
        </w:tc>
      </w:tr>
      <w:tr>
        <w:trPr/>
        <w:tc>
          <w:tcPr>
            <w:tcW w:w="2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Umidade e esquadrias</w:t>
            </w:r>
          </w:p>
        </w:tc>
        <w:tc>
          <w:tcPr>
            <w:tcW w:w="1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33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Patologias setorizadas, médio porte</w:t>
            </w:r>
          </w:p>
        </w:tc>
      </w:tr>
      <w:tr>
        <w:trPr/>
        <w:tc>
          <w:tcPr>
            <w:tcW w:w="23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Misto moderado</w:t>
            </w:r>
          </w:p>
        </w:tc>
        <w:tc>
          <w:tcPr>
            <w:tcW w:w="12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33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Patologias distribuídas, intervenção intermediária</w:t>
            </w:r>
          </w:p>
        </w:tc>
      </w:tr>
      <w:tr>
        <w:trPr/>
        <w:tc>
          <w:tcPr>
            <w:tcW w:w="23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Baixa patologia</w:t>
            </w:r>
          </w:p>
        </w:tc>
        <w:tc>
          <w:tcPr>
            <w:tcW w:w="12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26,0%</w:t>
            </w:r>
          </w:p>
        </w:tc>
        <w:tc>
          <w:tcPr>
            <w:tcW w:w="1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1,53</w:t>
            </w:r>
          </w:p>
        </w:tc>
        <w:tc>
          <w:tcPr>
            <w:tcW w:w="33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Patologias pontuais, baixa complexidade</w:t>
            </w:r>
          </w:p>
        </w:tc>
      </w:tr>
    </w:tbl>
    <w:p>
      <w:pPr>
        <w:pStyle w:val="Normal"/>
        <w:spacing w:lineRule="auto" w:line="360" w:before="0" w:after="200"/>
        <w:jc w:val="start"/>
        <w:rPr/>
      </w:pPr>
      <w:r>
        <w:rPr>
          <w:rFonts w:eastAsia="Times New Roman" w:cs="Times New Roman"/>
          <w:b w:val="false"/>
          <w:bCs w:val="false"/>
          <w:i/>
          <w:iCs/>
          <w:color w:val="000000"/>
          <w:sz w:val="18"/>
          <w:szCs w:val="18"/>
        </w:rPr>
        <w:t>Fonte: Elaboração própria. K-Means (k = 4, n_init = 20, random_state = 42). Base: Questionário ATHIS-Tapera, 2025.</w:t>
      </w:r>
    </w:p>
    <w:p>
      <w:pPr>
        <w:pStyle w:val="Normal"/>
        <w:spacing w:lineRule="auto" w:line="360" w:before="0" w:after="120"/>
        <w:jc w:val="both"/>
        <w:rPr>
          <w:color w:val="C9211E"/>
        </w:rPr>
      </w:pPr>
      <w:r>
        <w:rPr>
          <w:rFonts w:eastAsia="Times New Roman" w:cs="Times New Roman"/>
          <w:b/>
          <w:bCs/>
          <w:color w:val="C9211E"/>
          <w:sz w:val="24"/>
          <w:szCs w:val="24"/>
        </w:rPr>
        <w:t xml:space="preserve">Progressão temporal. </w:t>
      </w:r>
      <w:r>
        <w:rPr>
          <w:rFonts w:eastAsia="Times New Roman" w:cs="Times New Roman"/>
          <w:color w:val="C9211E"/>
          <w:sz w:val="24"/>
          <w:szCs w:val="24"/>
        </w:rPr>
        <w:t>Os 459 domicílios com informação válida sobre a idade da edificação foram agrupados em três faixas: ≤ 5 anos (n = 82), 5 a 10 anos (n = 217) e 10 a 20 anos (n = 160). O IVH médio aumentou de 3,22 nos domicílios com até 5 anos para 4,61 naqueles com 10 a 20 anos — incremento de 43,2% (H = 40,36; p &lt; 0,001).</w:t>
      </w:r>
    </w:p>
    <w:p>
      <w:pPr>
        <w:pStyle w:val="Normal"/>
        <w:spacing w:lineRule="auto" w:line="360" w:before="240" w:after="80"/>
        <w:jc w:val="both"/>
        <w:rPr/>
      </w:pPr>
      <w:r>
        <w:rPr>
          <w:rFonts w:eastAsia="Times New Roman" w:cs="Times New Roman"/>
          <w:b/>
          <w:bCs/>
          <w:sz w:val="20"/>
          <w:szCs w:val="20"/>
        </w:rPr>
        <w:t xml:space="preserve">Tabela 11 — </w:t>
      </w:r>
      <w:r>
        <w:rPr>
          <w:rFonts w:eastAsia="Times New Roman" w:cs="Times New Roman"/>
          <w:sz w:val="20"/>
          <w:szCs w:val="20"/>
        </w:rPr>
        <w:t>Prevalência de patologias e IVH médio por faixa temporal de ocupação (Kruskal-Wallis)</w:t>
      </w:r>
    </w:p>
    <w:tbl>
      <w:tblPr>
        <w:tblW w:w="8400" w:type="dxa"/>
        <w:jc w:val="start"/>
        <w:tblInd w:w="0" w:type="dxa"/>
        <w:tblLayout w:type="fixed"/>
        <w:tblCellMar>
          <w:top w:w="40" w:type="dxa"/>
          <w:start w:w="80" w:type="dxa"/>
          <w:bottom w:w="40" w:type="dxa"/>
          <w:end w:w="80" w:type="dxa"/>
        </w:tblCellMar>
      </w:tblPr>
      <w:tblGrid>
        <w:gridCol w:w="2499"/>
        <w:gridCol w:w="1501"/>
        <w:gridCol w:w="1500"/>
        <w:gridCol w:w="1499"/>
        <w:gridCol w:w="1401"/>
      </w:tblGrid>
      <w:tr>
        <w:trPr/>
        <w:tc>
          <w:tcPr>
            <w:tcW w:w="24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Indicador</w:t>
            </w:r>
          </w:p>
        </w:tc>
        <w:tc>
          <w:tcPr>
            <w:tcW w:w="15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 xml:space="preserve">≤ </w:t>
            </w:r>
            <w:r>
              <w:rPr>
                <w:rFonts w:eastAsia="Times New Roman" w:cs="Times New Roman"/>
                <w:b/>
                <w:bCs/>
                <w:sz w:val="18"/>
                <w:szCs w:val="18"/>
              </w:rPr>
              <w:t>5 anos</w:t>
            </w:r>
          </w:p>
        </w:tc>
        <w:tc>
          <w:tcPr>
            <w:tcW w:w="1500"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5–10 anos</w:t>
            </w:r>
          </w:p>
        </w:tc>
        <w:tc>
          <w:tcPr>
            <w:tcW w:w="1499"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10–20 anos</w:t>
            </w:r>
          </w:p>
        </w:tc>
        <w:tc>
          <w:tcPr>
            <w:tcW w:w="1401" w:type="dxa"/>
            <w:tcBorders>
              <w:top w:val="single" w:sz="2" w:space="0" w:color="999999"/>
              <w:start w:val="single" w:sz="2" w:space="0" w:color="999999"/>
              <w:bottom w:val="single" w:sz="2" w:space="0" w:color="999999"/>
              <w:end w:val="single" w:sz="2" w:space="0" w:color="999999"/>
            </w:tcBorders>
            <w:shd w:fill="D9E2F3" w:val="clear"/>
            <w:vAlign w:val="center"/>
          </w:tcPr>
          <w:p>
            <w:pPr>
              <w:pStyle w:val="Normal"/>
              <w:spacing w:lineRule="auto" w:line="240" w:before="0" w:after="0"/>
              <w:jc w:val="center"/>
              <w:rPr/>
            </w:pPr>
            <w:r>
              <w:rPr>
                <w:rFonts w:eastAsia="Times New Roman" w:cs="Times New Roman"/>
                <w:b/>
                <w:bCs/>
                <w:sz w:val="18"/>
                <w:szCs w:val="18"/>
              </w:rPr>
              <w:t>p-valor</w:t>
            </w:r>
          </w:p>
        </w:tc>
      </w:tr>
      <w:tr>
        <w:trPr/>
        <w:tc>
          <w:tcPr>
            <w:tcW w:w="2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IVH médio</w:t>
            </w:r>
          </w:p>
        </w:tc>
        <w:tc>
          <w:tcPr>
            <w:tcW w:w="15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3,22</w:t>
            </w:r>
          </w:p>
        </w:tc>
        <w:tc>
          <w:tcPr>
            <w:tcW w:w="15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3,94</w:t>
            </w:r>
          </w:p>
        </w:tc>
        <w:tc>
          <w:tcPr>
            <w:tcW w:w="1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4,61</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&lt; 0,001 ***</w:t>
            </w:r>
          </w:p>
        </w:tc>
      </w:tr>
      <w:tr>
        <w:trPr/>
        <w:tc>
          <w:tcPr>
            <w:tcW w:w="2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Goteiras pontuais</w:t>
            </w:r>
          </w:p>
        </w:tc>
        <w:tc>
          <w:tcPr>
            <w:tcW w:w="15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&lt; 0,001 ***</w:t>
            </w:r>
          </w:p>
        </w:tc>
      </w:tr>
      <w:tr>
        <w:trPr/>
        <w:tc>
          <w:tcPr>
            <w:tcW w:w="2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Ausência de esgoto adequado</w:t>
            </w:r>
          </w:p>
        </w:tc>
        <w:tc>
          <w:tcPr>
            <w:tcW w:w="15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13,4%</w:t>
            </w:r>
          </w:p>
        </w:tc>
        <w:tc>
          <w:tcPr>
            <w:tcW w:w="15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57,5%</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&lt; 0,001 ***</w:t>
            </w:r>
          </w:p>
        </w:tc>
      </w:tr>
      <w:tr>
        <w:trPr/>
        <w:tc>
          <w:tcPr>
            <w:tcW w:w="2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Ausência de janelas</w:t>
            </w:r>
          </w:p>
        </w:tc>
        <w:tc>
          <w:tcPr>
            <w:tcW w:w="15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&lt; 0,001 ***</w:t>
            </w:r>
          </w:p>
        </w:tc>
      </w:tr>
      <w:tr>
        <w:trPr/>
        <w:tc>
          <w:tcPr>
            <w:tcW w:w="2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start"/>
              <w:rPr/>
            </w:pPr>
            <w:r>
              <w:rPr>
                <w:rFonts w:eastAsia="Times New Roman" w:cs="Times New Roman"/>
                <w:b w:val="false"/>
                <w:bCs w:val="false"/>
                <w:i w:val="false"/>
                <w:iCs w:val="false"/>
                <w:sz w:val="18"/>
                <w:szCs w:val="18"/>
              </w:rPr>
              <w:t>Fiação exposta</w:t>
            </w:r>
          </w:p>
        </w:tc>
        <w:tc>
          <w:tcPr>
            <w:tcW w:w="15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500"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01" w:type="dxa"/>
            <w:tcBorders>
              <w:top w:val="single" w:sz="2" w:space="0" w:color="999999"/>
              <w:start w:val="single" w:sz="2" w:space="0" w:color="999999"/>
              <w:bottom w:val="single" w:sz="2" w:space="0" w:color="999999"/>
              <w:end w:val="single" w:sz="2" w:space="0" w:color="999999"/>
            </w:tcBorders>
            <w:vAlign w:val="center"/>
          </w:tcPr>
          <w:p>
            <w:pPr>
              <w:pStyle w:val="Normal"/>
              <w:spacing w:lineRule="auto" w:line="240" w:before="0" w:after="0"/>
              <w:jc w:val="center"/>
              <w:rPr/>
            </w:pPr>
            <w:r>
              <w:rPr>
                <w:rFonts w:eastAsia="Times New Roman" w:cs="Times New Roman"/>
                <w:b w:val="false"/>
                <w:bCs w:val="false"/>
                <w:i w:val="false"/>
                <w:iCs w:val="false"/>
                <w:sz w:val="18"/>
                <w:szCs w:val="18"/>
              </w:rPr>
              <w:t>0,215 (ns)</w:t>
            </w:r>
          </w:p>
        </w:tc>
      </w:tr>
      <w:tr>
        <w:trPr/>
        <w:tc>
          <w:tcPr>
            <w:tcW w:w="2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start"/>
              <w:rPr/>
            </w:pPr>
            <w:r>
              <w:rPr>
                <w:rFonts w:eastAsia="Times New Roman" w:cs="Times New Roman"/>
                <w:b w:val="false"/>
                <w:bCs w:val="false"/>
                <w:i w:val="false"/>
                <w:iCs w:val="false"/>
                <w:sz w:val="18"/>
                <w:szCs w:val="18"/>
              </w:rPr>
              <w:t>Mofo</w:t>
            </w:r>
          </w:p>
        </w:tc>
        <w:tc>
          <w:tcPr>
            <w:tcW w:w="15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500"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99"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w:t>
            </w:r>
          </w:p>
        </w:tc>
        <w:tc>
          <w:tcPr>
            <w:tcW w:w="1401" w:type="dxa"/>
            <w:tcBorders>
              <w:top w:val="single" w:sz="2" w:space="0" w:color="999999"/>
              <w:start w:val="single" w:sz="2" w:space="0" w:color="999999"/>
              <w:bottom w:val="single" w:sz="2" w:space="0" w:color="999999"/>
              <w:end w:val="single" w:sz="2" w:space="0" w:color="999999"/>
            </w:tcBorders>
            <w:shd w:fill="F2F2F2" w:val="clear"/>
            <w:vAlign w:val="center"/>
          </w:tcPr>
          <w:p>
            <w:pPr>
              <w:pStyle w:val="Normal"/>
              <w:spacing w:lineRule="auto" w:line="240" w:before="0" w:after="0"/>
              <w:jc w:val="center"/>
              <w:rPr/>
            </w:pPr>
            <w:r>
              <w:rPr>
                <w:rFonts w:eastAsia="Times New Roman" w:cs="Times New Roman"/>
                <w:b w:val="false"/>
                <w:bCs w:val="false"/>
                <w:i w:val="false"/>
                <w:iCs w:val="false"/>
                <w:sz w:val="18"/>
                <w:szCs w:val="18"/>
              </w:rPr>
              <w:t>ns</w:t>
            </w:r>
          </w:p>
        </w:tc>
      </w:tr>
    </w:tbl>
    <w:p>
      <w:pPr>
        <w:pStyle w:val="Normal"/>
        <w:spacing w:lineRule="auto" w:line="360" w:before="0" w:after="200"/>
        <w:jc w:val="start"/>
        <w:rPr/>
      </w:pPr>
      <w:r>
        <w:rPr>
          <w:rFonts w:eastAsia="Times New Roman" w:cs="Times New Roman"/>
          <w:b w:val="false"/>
          <w:bCs w:val="false"/>
          <w:i/>
          <w:iCs/>
          <w:color w:val="000000"/>
          <w:sz w:val="18"/>
          <w:szCs w:val="18"/>
        </w:rPr>
        <w:t>Fonte: Questionário Arquitetônico ATHIS-Tapera, 2025. *** p &lt; 0,001; ns = não significativo.</w:t>
      </w:r>
    </w:p>
    <w:p>
      <w:pPr>
        <w:pStyle w:val="Normal"/>
        <w:spacing w:lineRule="auto" w:line="360" w:before="0" w:after="120"/>
        <w:ind w:firstLine="709"/>
        <w:jc w:val="both"/>
        <w:rPr>
          <w:color w:val="C9211E"/>
        </w:rPr>
      </w:pPr>
      <w:r>
        <w:rPr>
          <w:rFonts w:eastAsia="Times New Roman" w:cs="Times New Roman"/>
          <w:b w:val="false"/>
          <w:bCs w:val="false"/>
          <w:i w:val="false"/>
          <w:iCs w:val="false"/>
          <w:color w:val="C9211E"/>
          <w:sz w:val="24"/>
          <w:szCs w:val="24"/>
        </w:rPr>
        <w:t>A ausência de progressão significativa da fiação exposta (p = 0,215) indica que esse problema é imediato e generalizado desde as fases iniciais de ocupação. Já o crescimento expressivo da ausência de esgoto adequado — de 13,4% para 57,5% — reflete a progressiva deterioração das fossas rústicas e o aumento da demanda sobre sistemas sanitários subdimensionados.</w:t>
      </w:r>
    </w:p>
    <w:p>
      <w:pPr>
        <w:pStyle w:val="Normal"/>
        <w:spacing w:lineRule="auto" w:line="360" w:before="360" w:after="200"/>
        <w:rPr/>
      </w:pPr>
      <w:r>
        <w:rPr>
          <w:rFonts w:eastAsia="Times New Roman" w:cs="Times New Roman"/>
          <w:b/>
          <w:bCs/>
          <w:sz w:val="28"/>
          <w:szCs w:val="28"/>
        </w:rPr>
        <w:t>6 DISCUSSÃO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Os resultados encontrados em Tapera ganham dimensão analítica quando lidos à luz do contexto histórico, do padrão construtivo original do Morar Feliz e do quadro mais amplo das políticas habitacionais brasileiras. As patologias identificadas não constituem fenômeno de precariedade espontânea: são, em grande medida, o produto previsível de escolhas projetuais com limitações intrínsecas, combinadas com a ausência de manutenção programada — padrão que replica, em escala local, o descompasso nacional entre produção e manutenção de habitações sociais documentado pelo IPEA (2014).</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sistema de paredes em placas de concreto pré-moldadas — adotado provavelmente por sua vantagem em velocidade e escala de produção — apresenta condutividade térmica elevada (λ ≈ 1,75 W/m·K), comprometendo o desempenho higrotérmico das unidades desde a entrega, independentemente das modificações posteriores (GIVONI, 1992; ABNT, 2013). Estudos como os de Brito et al. (2013) corroboram essa análise ao demonstrar que paredes de concreto pré-moldado podem apresentar diferenças de até 4°C na temperatura superficial interna em relação à alvenaria cerâmica. A cobertura original de telha cerâmica sobre laje oferecia proteção adicional relevante: a câmara de ar entre telha e laje, aliada à inércia térmica da laje, contribuía para atenuar as temperaturas internas. A substituição por fibrocimento — identificada em 76,8% das unidades — eliminou essa proteção sem contrapartida equivalente. O dado mais revelador, contudo, é que a percepção de desconforto térmico (53,4%) não apresenta diferença expressiva entre domicílios com fibrocimento (53,9%) e sem fibrocimento (51,0%), sugerindo que o problema térmico em Tapera é duplamente sistêmico: inscrito no sistema de vedação vertical desde a concepção e amplificado, mas não originado, pela degradação da cobertura.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elevada prevalência de fiação elétrica exposta (77,7%) supera valores reportados em estudos similares em assentamentos informais (OLIVEIRA; MITIDIERI FILHO, 2012) — o que é especialmente significativo considerando que as unidades foram entregues com instalação elétrica formal. A análise de progressão temporal reforça a gravidade desse achado: a fiação exposta não apresentou progressão estatisticamente significativa (p = 0,215), indicando que o problema é imediato e generalizado desde as fases iniciais de ocupação, provavelmente decorrente da instalação elétrica original já insuficiente para as demandas reais das famílias. Esse dado tem implicação direta para a política pública: nos novos projetos do Programa Habita+, a especificação elétrica deve considerar a demanda real — e não apenas a mínima normativa — para evitar que o ciclo de adaptações inseguras se reproduza.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discrepância entre percepção e diagnóstico técnico no caso das rachaduras — 16,2% reportados pelos moradores contra 22,9% de fissuras superficiais e 8,7% de trincas estruturais identificadas tecnicamente — evidencia o fenômeno de naturalização da precariedade descrito por Rolnik (2015). A análise das condições de abertura reforça essa interpretação: nos domicílios com ausência de janelas combinada à insuficiência de pontos de luz, 19% dos moradores ainda classificam a habitação como iluminada. Esse achado converge com a literatura internacional sobre avaliação pós-ocupação em habitações sociais (PREISER; VISCHER, 2005; VILLA; ORNSTEIN, 2013), que demonstra que a satisfação dos moradores é frequentemente mediada por suas experiências habitacionais anteriores e não reflete necessariamente a adequação técnica da edificação. Em Tapera, onde os moradores mais antigos têm como referência as condições da Favela Margem da Linha, esse viés de referência é particularmente acentuado.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Os dados socioeconômicos coletados simultaneamente pela assistente social aprofundam esse retrato. Embora 97,1% dos domicílios estejam conectados à rede geral de água, apenas 26,9% dispõem de abastecimento ininterrupto. No esgotamento sanitário, 33,3% utilizam fossa rudimentar e apenas 62,6% estão conectados à rede coletora — dado consistente com os 61,5% identificados no questionário arquitetônico. O indicador de insegurança alimentar (14,6% das famílias substituem o fogão a gás por outros meios de preparo por falta de recursos, com gasto mediano de R$ 600,00 mensais em alimentação) evidencia vulnerabilidade econômica estrutural incompatível com a realização de manutenção habitacional por conta própria — e explica por que as patologias se acumulam progressivamente, conforme demonstrado pela análise temporal (incremento de 43,2% no IVH). A presença da assistente social nas vistorias não foi meramente logística: representou a materialização do princípio fundamental da ATHIS enquanto política interdisciplinar, conforme preconizado pelo Termo de Referência do Programa Habita+ (SEHIS-RJ, 2024), que reconhece a indissociabilidade entre precariedade construtiva e vulnerabilidade social.</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construção do Índice de Vulnerabilidade Habitacional (IVH) e a análise de agrupamentos (K-Means) oferecem contribuições metodológicas relevantes para a operacionalização da ATHIS em larga escala. A tipologia de quatro perfis de precariedade pode orientar a elaboração de pacotes de intervenção padronizados para cada cluster, otimizando a alocação dos recursos previstos no programa. O cluster de Precariedade Elétrica (23,2% dos domicílios, IVH médio de 6,78) representa o perfil de maior urgência; o cluster de Baixa Patologia (26,0%, IVH = 1,53) agrupa unidades para as quais intervenções de baixa complexidade seriam suficientes. Essa estratificação pode informar a modelagem dos custos de intervenção por domicílio no âmbito do Habita+, permitindo estimativas mais precisas de investimento por território.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A progressão temporal do IVH (de 3,22 para 4,61 entre domicílios com até 5 anos e aqueles com 10–20 anos, p &lt; 0,001) constitui evidência empírica robusta da necessidade de manutenção programada pós-entrega em conjuntos habitacionais de interesse social. Esse achado dialoga diretamente com a experiência internacional: estudos de Karim (2012) na Malásia e de Ibem e Azuh (2011) na Nigéria identificaram padrões similares de deterioração acelerada em conjuntos habitacionais sem manutenção assistida. A contribuição específica do presente estudo é demonstrar essa progressão quantitativamente, com amostra expressiva (n = 459) e instrumento de coleta abrangente (322 variáveis), em um contexto onde a base construtiva original era formalmente planejada — o que reforça que o problema não é de ausência de projeto, mas de ausência de acompanhamento pós-ocupacional.</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Por fim, a origem comunitária de Tapera — moradores com décadas de vínculos territoriais, removidos de uma favela e reassentados em casas formais sem a manutenção adequada dos laços de vizinhança — é dado que a análise técnica não pode ignorar. A heterogeneidade de origens dos moradores, denominada por eles de "salada de frutas" (SILVA, 2018), pode ter contribuído para menores índices de mobilização coletiva para manutenção e demanda por serviços. A ATHIS, ao intervir domicílio a domicílio com projeto técnico e acompanhamento social, reconstrói não apenas a materialidade das casas, mas também a relação entre morador, casa e território.</w:t>
      </w:r>
    </w:p>
    <w:p>
      <w:pPr>
        <w:pStyle w:val="Normal"/>
        <w:spacing w:lineRule="auto" w:line="360" w:before="360" w:after="200"/>
        <w:rPr/>
      </w:pPr>
      <w:r>
        <w:rPr>
          <w:rFonts w:eastAsia="Times New Roman" w:cs="Times New Roman"/>
          <w:b/>
          <w:bCs/>
          <w:sz w:val="28"/>
          <w:szCs w:val="28"/>
        </w:rPr>
        <w:t>7 CONCLUSÕES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O levantamento técnico-arquitetônico de 462 domicílios em Tapera revelou quadro de precariedade habitacional ampla, sistêmica e multidimensional. Os principais achados podem ser sintetizados em seis eixos.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Primeiro, a quase universalidade de patologias nas instalações elétricas (fiação exposta em 77,7%), em contraste com projeto original que previa instalação completa, indica que a deterioração elétrica é primariamente problema de manutenção e expansão não supervisionada.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Segundo, as paredes em placas de concreto pré-moldadas apresentam condutividade térmica elevada e comprometem o desempenho higrotérmico desde a entrega — fator frequentemente negligenciado nas análises que atribuem o desconforto exclusivamente à cobertura.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Terceiro, a substituição da telha cerâmica por fibrocimento em 76,8% das unidades deve ser analisada como consequência da ausência de manutenção assistida, não como causa isolada do desconforto térmico.</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Quarto, o déficit crítico de esquadrias (29,7% com vãos de janela abertos; 52,8% com portas sem fechamento) impacta diretamente o desempenho lumínico, térmico e a segurança dos moradores.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Quinto, o IVH médio de 4,05 (escala 0–10), com 32,2% dos domicílios em vulnerabilidade alta ou muito alta, e o incremento temporal de 43,2%, demonstram que a precariedade não é estática e se agrava progressivamente na ausência de assistência técnica.</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Sexto, a identificação de quatro perfis-tipo de precariedade por análise de agrupamentos oferece ferramenta operacional para a priorização e o dimensionamento das intervenções ATHIS.</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Recomenda-se que os resultados subsidiem o planejamento orçamentário e a priorização de contratos de obra do Projeto ATHIS, com critérios que considerem tanto a severidade das patologias (via IVH) quanto a trajetória histórica e a vulnerabilidade socioeconômica das famílias. A tipologia de clusters pode orientar a modelagem de pacotes de intervenção padronizados no âmbito do Programa Habita+, otimizando o uso dos recursos estimados em R$ 73,2 milhões para o estado do Rio de Janeiro (SEHIS-RJ, 2024).</w:t>
      </w:r>
    </w:p>
    <w:p>
      <w:pPr>
        <w:pStyle w:val="Normal"/>
        <w:spacing w:lineRule="auto" w:line="360" w:before="0" w:after="120"/>
        <w:ind w:firstLine="709"/>
        <w:jc w:val="both"/>
        <w:rPr/>
      </w:pPr>
      <w:r>
        <w:rPr>
          <w:rFonts w:eastAsia="Times New Roman" w:cs="Times New Roman"/>
          <w:b w:val="false"/>
          <w:bCs w:val="false"/>
          <w:i w:val="false"/>
          <w:iCs w:val="false"/>
          <w:color w:val="000000"/>
          <w:sz w:val="24"/>
          <w:szCs w:val="24"/>
        </w:rPr>
        <w:t>Sugere-se, adicionalmente, que futuros programas habitacionais incorporem três medidas preventivas: (i) avaliações pós-ocupação sistemáticas nos primeiros cinco e dez anos após a entrega (PREISER; VISCHER, 2005; VILLA; ORNSTEIN, 2013), período em que intervenções de manutenção relativamente simples podem evitar a progressão das patologias para o estágio encontrado em Tapera; (ii) especificações elétricas dimensionadas para a demanda real das famílias, não apenas para o mínimo normativo, dado que a fiação exposta se manifesta desde o primeiro ano de ocupação; e (iii) análise do desempenho térmico da envolvente como critério de projeto, considerando os requisitos da NBR 15575 para a zona bioclimática específica — especialmente quando forem adotados sistemas de placas pré-moldadas de concreto em regiões de clima quente e úmido.</w:t>
      </w:r>
    </w:p>
    <w:p>
      <w:pPr>
        <w:pStyle w:val="Normal"/>
        <w:spacing w:lineRule="auto" w:line="360" w:before="360" w:after="200"/>
        <w:rPr/>
      </w:pPr>
      <w:r>
        <w:rPr>
          <w:rFonts w:eastAsia="Times New Roman" w:cs="Times New Roman"/>
          <w:b/>
          <w:bCs/>
          <w:sz w:val="28"/>
          <w:szCs w:val="28"/>
        </w:rPr>
        <w:t>REFERÊNCIAS</w:t>
      </w:r>
    </w:p>
    <w:p>
      <w:pPr>
        <w:pStyle w:val="Normal"/>
        <w:spacing w:lineRule="auto" w:line="240" w:before="0" w:after="80"/>
        <w:jc w:val="start"/>
        <w:rPr/>
      </w:pPr>
      <w:r>
        <w:rPr>
          <w:rFonts w:eastAsia="Times New Roman" w:cs="Times New Roman"/>
          <w:b w:val="false"/>
          <w:bCs w:val="false"/>
          <w:i w:val="false"/>
          <w:iCs w:val="false"/>
          <w:color w:val="000000"/>
          <w:sz w:val="20"/>
          <w:szCs w:val="20"/>
        </w:rPr>
        <w:t>ASSOCIAÇÃO BRASILEIRA DE NORMAS TÉCNICAS. NBR 15575: Edificações habitacionais — Desempenho. Rio de Janeiro: ABNT, 2013.</w:t>
      </w:r>
    </w:p>
    <w:p>
      <w:pPr>
        <w:pStyle w:val="Normal"/>
        <w:spacing w:lineRule="auto" w:line="240" w:before="0" w:after="80"/>
        <w:jc w:val="start"/>
        <w:rPr/>
      </w:pPr>
      <w:r>
        <w:rPr>
          <w:rFonts w:eastAsia="Times New Roman" w:cs="Times New Roman"/>
          <w:b w:val="false"/>
          <w:bCs w:val="false"/>
          <w:i w:val="false"/>
          <w:iCs w:val="false"/>
          <w:color w:val="000000"/>
          <w:sz w:val="20"/>
          <w:szCs w:val="20"/>
        </w:rPr>
        <w:t>BONDUKI, N. Origens da habitação social no Brasil. São Paulo: Estação Liberdade, 1994.</w:t>
      </w:r>
    </w:p>
    <w:p>
      <w:pPr>
        <w:pStyle w:val="Normal"/>
        <w:spacing w:lineRule="auto" w:line="240" w:before="0" w:after="80"/>
        <w:jc w:val="start"/>
        <w:rPr/>
      </w:pPr>
      <w:r>
        <w:rPr>
          <w:rFonts w:eastAsia="Times New Roman" w:cs="Times New Roman"/>
          <w:b w:val="false"/>
          <w:bCs w:val="false"/>
          <w:i w:val="false"/>
          <w:iCs w:val="false"/>
          <w:color w:val="000000"/>
          <w:sz w:val="20"/>
          <w:szCs w:val="20"/>
        </w:rPr>
        <w:t>BRASIL. Lei Federal n.º 11.888, de 24 de dezembro de 2008. Assegura às famílias de baixa renda assistência técnica pública e gratuita para o projeto e a construção de habitação de interesse social. Brasília, DF: Presidência da República, 2008.</w:t>
      </w:r>
    </w:p>
    <w:p>
      <w:pPr>
        <w:pStyle w:val="Normal"/>
        <w:spacing w:lineRule="auto" w:line="240" w:before="0" w:after="80"/>
        <w:jc w:val="start"/>
        <w:rPr/>
      </w:pPr>
      <w:r>
        <w:rPr>
          <w:rFonts w:eastAsia="Times New Roman" w:cs="Times New Roman"/>
          <w:b w:val="false"/>
          <w:bCs w:val="false"/>
          <w:i w:val="false"/>
          <w:iCs w:val="false"/>
          <w:color w:val="000000"/>
          <w:sz w:val="20"/>
          <w:szCs w:val="20"/>
        </w:rPr>
        <w:t>BRITO, A. C. et al. Desempenho térmico de paredes de concreto em habitações de interesse social: estudo comparativo com alvenaria cerâmica. In: ENCONTRO NACIONAL DE CONFORTO NO AMBIENTE CONSTRUÍDO, 12., 2013, Brasília. Anais [...] Brasília: ANTAC, 2013.</w:t>
      </w:r>
    </w:p>
    <w:p>
      <w:pPr>
        <w:pStyle w:val="Normal"/>
        <w:spacing w:lineRule="auto" w:line="240" w:before="0" w:after="80"/>
        <w:jc w:val="start"/>
        <w:rPr/>
      </w:pPr>
      <w:r>
        <w:rPr>
          <w:rFonts w:eastAsia="Times New Roman" w:cs="Times New Roman"/>
          <w:b w:val="false"/>
          <w:bCs w:val="false"/>
          <w:i w:val="false"/>
          <w:iCs w:val="false"/>
          <w:color w:val="000000"/>
          <w:sz w:val="20"/>
          <w:szCs w:val="20"/>
        </w:rPr>
        <w:t>CAMPOS DOS GOYTACAZES. Decreto Municipal n.º 55, de 2011. Institui o Programa Habitacional Morar Feliz. Campos dos Goytacazes: Prefeitura Municipal, 2011.</w:t>
      </w:r>
    </w:p>
    <w:p>
      <w:pPr>
        <w:pStyle w:val="Normal"/>
        <w:spacing w:lineRule="auto" w:line="240" w:before="0" w:after="80"/>
        <w:jc w:val="start"/>
        <w:rPr/>
      </w:pPr>
      <w:r>
        <w:rPr>
          <w:rFonts w:eastAsia="Times New Roman" w:cs="Times New Roman"/>
          <w:b w:val="false"/>
          <w:bCs w:val="false"/>
          <w:i w:val="false"/>
          <w:iCs w:val="false"/>
          <w:color w:val="000000"/>
          <w:sz w:val="20"/>
          <w:szCs w:val="20"/>
        </w:rPr>
        <w:t>CARDOSO, A. L.; ARAGÃO, T. A. Do fim do BNH ao Programa Minha Casa Minha Vida: 25 anos de política habitacional no Brasil. In: CARDOSO, A. L. (org.). O programa Minha Casa Minha Vida e seus efeitos territoriais. Rio de Janeiro: Letra Capital, 2013. p. 17–65.</w:t>
      </w:r>
    </w:p>
    <w:p>
      <w:pPr>
        <w:pStyle w:val="Normal"/>
        <w:spacing w:lineRule="auto" w:line="240" w:before="0" w:after="80"/>
        <w:jc w:val="start"/>
        <w:rPr/>
      </w:pPr>
      <w:r>
        <w:rPr>
          <w:rFonts w:eastAsia="Times New Roman" w:cs="Times New Roman"/>
          <w:b w:val="false"/>
          <w:bCs w:val="false"/>
          <w:i w:val="false"/>
          <w:iCs w:val="false"/>
          <w:color w:val="000000"/>
          <w:sz w:val="20"/>
          <w:szCs w:val="20"/>
        </w:rPr>
        <w:t>CONSELHO DE ARQUITETURA E URBANISMO DO BRASIL. Anuário 2020: Arquitetura e Urbanismo no Brasil. Brasília: CAU/BR, 2021.</w:t>
      </w:r>
    </w:p>
    <w:p>
      <w:pPr>
        <w:pStyle w:val="Normal"/>
        <w:spacing w:lineRule="auto" w:line="240" w:before="0" w:after="80"/>
        <w:jc w:val="start"/>
        <w:rPr/>
      </w:pPr>
      <w:r>
        <w:rPr>
          <w:rFonts w:eastAsia="Times New Roman" w:cs="Times New Roman"/>
          <w:b w:val="false"/>
          <w:bCs w:val="false"/>
          <w:i w:val="false"/>
          <w:iCs w:val="false"/>
          <w:color w:val="000000"/>
          <w:sz w:val="20"/>
          <w:szCs w:val="20"/>
        </w:rPr>
        <w:t>CONSELHO DE ARQUITETURA E URBANISMO DE SANTA CATARINA. Produto: Proposta Normativa com Anexos — Plano Estratégico Institucional para ATHIS. Florianópolis: CAU/SC, 2018.</w:t>
      </w:r>
    </w:p>
    <w:p>
      <w:pPr>
        <w:pStyle w:val="Normal"/>
        <w:spacing w:lineRule="auto" w:line="240" w:before="0" w:after="80"/>
        <w:jc w:val="start"/>
        <w:rPr/>
      </w:pPr>
      <w:r>
        <w:rPr>
          <w:rFonts w:eastAsia="Times New Roman" w:cs="Times New Roman"/>
          <w:b w:val="false"/>
          <w:bCs w:val="false"/>
          <w:i w:val="false"/>
          <w:iCs w:val="false"/>
          <w:color w:val="000000"/>
          <w:sz w:val="20"/>
          <w:szCs w:val="20"/>
        </w:rPr>
        <w:t>CONSELHO NACIONAL DO MEIO AMBIENTE. Resolução n.º 348, de 16 de agosto de 2004. Altera a Resolução CONAMA n.º 307/2002, incluindo o amianto na classe de resíduos perigosos. Brasília: MMA, 2004.</w:t>
      </w:r>
    </w:p>
    <w:p>
      <w:pPr>
        <w:pStyle w:val="Normal"/>
        <w:spacing w:lineRule="auto" w:line="240" w:before="0" w:after="80"/>
        <w:jc w:val="start"/>
        <w:rPr/>
      </w:pPr>
      <w:r>
        <w:rPr>
          <w:rFonts w:eastAsia="Times New Roman" w:cs="Times New Roman"/>
          <w:b w:val="false"/>
          <w:bCs w:val="false"/>
          <w:i w:val="false"/>
          <w:iCs w:val="false"/>
          <w:color w:val="000000"/>
          <w:sz w:val="20"/>
          <w:szCs w:val="20"/>
        </w:rPr>
        <w:t>DUTRA, P. L.; TERRA, D. C. T. Territórios de ausências: o olhar do beneficiário sobre o programa habitacional Morar Feliz em Campos dos Goytacazes. In: SEMINÁRIO DE INTEGRAÇÃO ACADÊMICA, 14., 2015, Campos dos Goytacazes. Anais [...] Campos dos Goytacazes: UCAM, 2015.</w:t>
      </w:r>
    </w:p>
    <w:p>
      <w:pPr>
        <w:pStyle w:val="Normal"/>
        <w:spacing w:lineRule="auto" w:line="240" w:before="0" w:after="80"/>
        <w:jc w:val="start"/>
        <w:rPr/>
      </w:pPr>
      <w:r>
        <w:rPr>
          <w:rFonts w:eastAsia="Times New Roman" w:cs="Times New Roman"/>
          <w:b w:val="false"/>
          <w:bCs w:val="false"/>
          <w:i w:val="false"/>
          <w:iCs w:val="false"/>
          <w:color w:val="000000"/>
          <w:sz w:val="20"/>
          <w:szCs w:val="20"/>
        </w:rPr>
        <w:t>FUNDAÇÃO JOÃO PINHEIRO. Déficit habitacional no Brasil 2019. Belo Horizonte: FJP, 2021.</w:t>
      </w:r>
    </w:p>
    <w:p>
      <w:pPr>
        <w:pStyle w:val="Normal"/>
        <w:spacing w:lineRule="auto" w:line="240" w:before="0" w:after="80"/>
        <w:jc w:val="start"/>
        <w:rPr/>
      </w:pPr>
      <w:r>
        <w:rPr>
          <w:rFonts w:eastAsia="Times New Roman" w:cs="Times New Roman"/>
          <w:b w:val="false"/>
          <w:bCs w:val="false"/>
          <w:i w:val="false"/>
          <w:iCs w:val="false"/>
          <w:color w:val="000000"/>
          <w:sz w:val="20"/>
          <w:szCs w:val="20"/>
        </w:rPr>
        <w:t>GIVONI, B. Man, climate and architecture. 2. ed. London: Applied Science Publishers, 1992.</w:t>
      </w:r>
    </w:p>
    <w:p>
      <w:pPr>
        <w:pStyle w:val="Normal"/>
        <w:spacing w:lineRule="auto" w:line="240" w:before="0" w:after="80"/>
        <w:jc w:val="start"/>
        <w:rPr/>
      </w:pPr>
      <w:r>
        <w:rPr>
          <w:rFonts w:eastAsia="Times New Roman" w:cs="Times New Roman"/>
          <w:b w:val="false"/>
          <w:bCs w:val="false"/>
          <w:i w:val="false"/>
          <w:iCs w:val="false"/>
          <w:color w:val="000000"/>
          <w:sz w:val="20"/>
          <w:szCs w:val="20"/>
        </w:rPr>
        <w:t>IBEM, E. O.; AZUH, D. E. Framework for evaluating the sustainability of public housing programmes in developing countries. Journal of Sustainable Development and Environmental Protection, v. 1, n. 3, p. 24–39, 2011.</w:t>
      </w:r>
    </w:p>
    <w:p>
      <w:pPr>
        <w:pStyle w:val="Normal"/>
        <w:spacing w:lineRule="auto" w:line="240" w:before="0" w:after="80"/>
        <w:jc w:val="start"/>
        <w:rPr/>
      </w:pPr>
      <w:r>
        <w:rPr>
          <w:rFonts w:eastAsia="Times New Roman" w:cs="Times New Roman"/>
          <w:b w:val="false"/>
          <w:bCs w:val="false"/>
          <w:i w:val="false"/>
          <w:iCs w:val="false"/>
          <w:color w:val="000000"/>
          <w:sz w:val="20"/>
          <w:szCs w:val="20"/>
        </w:rPr>
        <w:t>INSTITUTO BRASILEIRO DE GEOGRAFIA E ESTATÍSTICA. Censo Demográfico 2022: Características dos domicílios. Rio de Janeiro: IBGE, 2023.</w:t>
      </w:r>
    </w:p>
    <w:p>
      <w:pPr>
        <w:pStyle w:val="Normal"/>
        <w:spacing w:lineRule="auto" w:line="240" w:before="0" w:after="80"/>
        <w:jc w:val="start"/>
        <w:rPr/>
      </w:pPr>
      <w:r>
        <w:rPr>
          <w:rFonts w:eastAsia="Times New Roman" w:cs="Times New Roman"/>
          <w:b w:val="false"/>
          <w:bCs w:val="false"/>
          <w:i w:val="false"/>
          <w:iCs w:val="false"/>
          <w:color w:val="000000"/>
          <w:sz w:val="20"/>
          <w:szCs w:val="20"/>
        </w:rPr>
        <w:t>INSTITUTO DE PESQUISA ECONÔMICA APLICADA. O programa Minha Casa Minha Vida em municípios de até 50 mil habitantes. Brasília: IPEA, 2014. (Texto para Discussão, 1902).</w:t>
      </w:r>
    </w:p>
    <w:p>
      <w:pPr>
        <w:pStyle w:val="Normal"/>
        <w:spacing w:lineRule="auto" w:line="240" w:before="0" w:after="80"/>
        <w:jc w:val="start"/>
        <w:rPr/>
      </w:pPr>
      <w:r>
        <w:rPr>
          <w:rFonts w:eastAsia="Times New Roman" w:cs="Times New Roman"/>
          <w:b w:val="false"/>
          <w:bCs w:val="false"/>
          <w:i w:val="false"/>
          <w:iCs w:val="false"/>
          <w:color w:val="000000"/>
          <w:sz w:val="20"/>
          <w:szCs w:val="20"/>
        </w:rPr>
        <w:t>KARIM, H. A. Low cost housing environment: compromising quality of life? Procedia — Social and Behavioral Sciences, v. 35, p. 44–53, 2012.</w:t>
      </w:r>
    </w:p>
    <w:p>
      <w:pPr>
        <w:pStyle w:val="Normal"/>
        <w:spacing w:lineRule="auto" w:line="240" w:before="0" w:after="80"/>
        <w:jc w:val="start"/>
        <w:rPr/>
      </w:pPr>
      <w:r>
        <w:rPr>
          <w:rFonts w:eastAsia="Times New Roman" w:cs="Times New Roman"/>
          <w:b w:val="false"/>
          <w:bCs w:val="false"/>
          <w:i w:val="false"/>
          <w:iCs w:val="false"/>
          <w:color w:val="000000"/>
          <w:sz w:val="20"/>
          <w:szCs w:val="20"/>
        </w:rPr>
        <w:t>MARICATO, E. Brasil, cidades: alternativas para a crise urbana. Petrópolis: Vozes, 2001.</w:t>
      </w:r>
    </w:p>
    <w:p>
      <w:pPr>
        <w:pStyle w:val="Normal"/>
        <w:spacing w:lineRule="auto" w:line="240" w:before="0" w:after="80"/>
        <w:jc w:val="start"/>
        <w:rPr/>
      </w:pPr>
      <w:r>
        <w:rPr>
          <w:rFonts w:eastAsia="Times New Roman" w:cs="Times New Roman"/>
          <w:b w:val="false"/>
          <w:bCs w:val="false"/>
          <w:i w:val="false"/>
          <w:iCs w:val="false"/>
          <w:color w:val="000000"/>
          <w:sz w:val="20"/>
          <w:szCs w:val="20"/>
        </w:rPr>
        <w:t>OLIVEIRA, I. C. P.; RODRIGUES, T.; SOUZA, M. A. Na margem da linha: conflitos urbanos em uma favela de Campos dos Goytacazes. Ponto Urbe, São Paulo, n. 23, dez. 2018. DOI: 10.4000/pontourbe.5678.</w:t>
      </w:r>
    </w:p>
    <w:p>
      <w:pPr>
        <w:pStyle w:val="Normal"/>
        <w:spacing w:lineRule="auto" w:line="240" w:before="0" w:after="80"/>
        <w:jc w:val="start"/>
        <w:rPr/>
      </w:pPr>
      <w:r>
        <w:rPr>
          <w:rFonts w:eastAsia="Times New Roman" w:cs="Times New Roman"/>
          <w:b w:val="false"/>
          <w:bCs w:val="false"/>
          <w:i w:val="false"/>
          <w:iCs w:val="false"/>
          <w:color w:val="000000"/>
          <w:sz w:val="20"/>
          <w:szCs w:val="20"/>
        </w:rPr>
        <w:t>OLIVEIRA, M. F.; MITIDIERI FILHO, C. Patologias em edificações habitacionais de interesse social. In: SIMPÓSIO BRASILEIRO DE QUALIDADE DO PROJETO NO AMBIENTE CONSTRUÍDO, 2., 2012, São Paulo. Anais [...] São Paulo: ANTAC, 2012.</w:t>
      </w:r>
    </w:p>
    <w:p>
      <w:pPr>
        <w:pStyle w:val="Normal"/>
        <w:spacing w:lineRule="auto" w:line="240" w:before="0" w:after="80"/>
        <w:jc w:val="start"/>
        <w:rPr/>
      </w:pPr>
      <w:r>
        <w:rPr>
          <w:rFonts w:eastAsia="Times New Roman" w:cs="Times New Roman"/>
          <w:b w:val="false"/>
          <w:bCs w:val="false"/>
          <w:i w:val="false"/>
          <w:iCs w:val="false"/>
          <w:color w:val="000000"/>
          <w:sz w:val="20"/>
          <w:szCs w:val="20"/>
        </w:rPr>
        <w:t>PEDLOWSKI, M. A.; OLIVEIRA, J. C. P. Políticas públicas, moradia popular e o Programa Morar Feliz em Campos dos Goytacazes. Libertas, Juiz de Fora, v. 14, n. 1, p. 37–56, jan./jun. 2014.</w:t>
      </w:r>
    </w:p>
    <w:p>
      <w:pPr>
        <w:pStyle w:val="Normal"/>
        <w:spacing w:lineRule="auto" w:line="240" w:before="0" w:after="80"/>
        <w:jc w:val="start"/>
        <w:rPr/>
      </w:pPr>
      <w:r>
        <w:rPr>
          <w:rFonts w:eastAsia="Times New Roman" w:cs="Times New Roman"/>
          <w:b w:val="false"/>
          <w:bCs w:val="false"/>
          <w:i w:val="false"/>
          <w:iCs w:val="false"/>
          <w:color w:val="000000"/>
          <w:sz w:val="20"/>
          <w:szCs w:val="20"/>
        </w:rPr>
        <w:t>PREFEITURA MUNICIPAL DE CAMPOS DOS GOYTACAZES. Programa Morar Feliz: 10.000 casas populares. Campos dos Goytacazes: PMCG, 2013.</w:t>
      </w:r>
    </w:p>
    <w:p>
      <w:pPr>
        <w:pStyle w:val="Normal"/>
        <w:spacing w:lineRule="auto" w:line="240" w:before="0" w:after="80"/>
        <w:jc w:val="start"/>
        <w:rPr/>
      </w:pPr>
      <w:r>
        <w:rPr>
          <w:rFonts w:eastAsia="Times New Roman" w:cs="Times New Roman"/>
          <w:b w:val="false"/>
          <w:bCs w:val="false"/>
          <w:i w:val="false"/>
          <w:iCs w:val="false"/>
          <w:color w:val="000000"/>
          <w:sz w:val="20"/>
          <w:szCs w:val="20"/>
        </w:rPr>
        <w:t>PREISER, W. F. E.; VISCHER, J. C. (ed.). Assessing building performance. Oxford: Elsevier, 2005.</w:t>
      </w:r>
    </w:p>
    <w:p>
      <w:pPr>
        <w:pStyle w:val="Normal"/>
        <w:spacing w:lineRule="auto" w:line="240" w:before="0" w:after="80"/>
        <w:jc w:val="start"/>
        <w:rPr/>
      </w:pPr>
      <w:r>
        <w:rPr>
          <w:rFonts w:eastAsia="Times New Roman" w:cs="Times New Roman"/>
          <w:b w:val="false"/>
          <w:bCs w:val="false"/>
          <w:i w:val="false"/>
          <w:iCs w:val="false"/>
          <w:color w:val="000000"/>
          <w:sz w:val="20"/>
          <w:szCs w:val="20"/>
        </w:rPr>
        <w:t>RIO DE JANEIRO (Estado). Decreto n.º 48.695, de 18 de setembro de 2023. Institui o Programa Habita+ de habitação de interesse social para o Estado do Rio de Janeiro. Rio de Janeiro: Governo do Estado, 2023.</w:t>
      </w:r>
    </w:p>
    <w:p>
      <w:pPr>
        <w:pStyle w:val="Normal"/>
        <w:spacing w:lineRule="auto" w:line="240" w:before="0" w:after="80"/>
        <w:jc w:val="start"/>
        <w:rPr/>
      </w:pPr>
      <w:r>
        <w:rPr>
          <w:rFonts w:eastAsia="Times New Roman" w:cs="Times New Roman"/>
          <w:b w:val="false"/>
          <w:bCs w:val="false"/>
          <w:i w:val="false"/>
          <w:iCs w:val="false"/>
          <w:color w:val="000000"/>
          <w:sz w:val="20"/>
          <w:szCs w:val="20"/>
        </w:rPr>
        <w:t>RIO DE JANEIRO (Estado). Lei n.º 9.861, de 22 de agosto de 2022. Dispõe sobre a assistência técnica em habitação de interesse social no Estado do Rio de Janeiro. Rio de Janeiro: ALERJ, 2022.</w:t>
      </w:r>
    </w:p>
    <w:p>
      <w:pPr>
        <w:pStyle w:val="Normal"/>
        <w:spacing w:lineRule="auto" w:line="240" w:before="0" w:after="80"/>
        <w:jc w:val="start"/>
        <w:rPr/>
      </w:pPr>
      <w:r>
        <w:rPr>
          <w:rFonts w:eastAsia="Times New Roman" w:cs="Times New Roman"/>
          <w:b w:val="false"/>
          <w:bCs w:val="false"/>
          <w:i w:val="false"/>
          <w:iCs w:val="false"/>
          <w:color w:val="000000"/>
          <w:sz w:val="20"/>
          <w:szCs w:val="20"/>
        </w:rPr>
        <w:t>ROLNIK, R. Guerra dos lugares: a colonização da terra e da moradia na era das finanças. São Paulo: Boitempo, 2015.</w:t>
      </w:r>
    </w:p>
    <w:p>
      <w:pPr>
        <w:pStyle w:val="Normal"/>
        <w:spacing w:lineRule="auto" w:line="240" w:before="0" w:after="80"/>
        <w:jc w:val="start"/>
        <w:rPr/>
      </w:pPr>
      <w:r>
        <w:rPr>
          <w:rFonts w:eastAsia="Times New Roman" w:cs="Times New Roman"/>
          <w:b w:val="false"/>
          <w:bCs w:val="false"/>
          <w:i w:val="false"/>
          <w:iCs w:val="false"/>
          <w:color w:val="000000"/>
          <w:sz w:val="20"/>
          <w:szCs w:val="20"/>
        </w:rPr>
        <w:t>SECRETARIA DE ESTADO DE HABITAÇÃO DE INTERESSE SOCIAL. Termo de Referência: Contratação de empresa para elaboração de pesquisa e organização de dados habitacionais e execução de ATHIS no Estado do Rio de Janeiro. Processo SEI-490001/000015/2024. Rio de Janeiro: SEHIS-RJ, 2024.</w:t>
      </w:r>
    </w:p>
    <w:p>
      <w:pPr>
        <w:pStyle w:val="Normal"/>
        <w:spacing w:lineRule="auto" w:line="240" w:before="0" w:after="80"/>
        <w:jc w:val="start"/>
        <w:rPr/>
      </w:pPr>
      <w:r>
        <w:rPr>
          <w:rFonts w:eastAsia="Times New Roman" w:cs="Times New Roman"/>
          <w:b w:val="false"/>
          <w:bCs w:val="false"/>
          <w:i w:val="false"/>
          <w:iCs w:val="false"/>
          <w:color w:val="000000"/>
          <w:sz w:val="20"/>
          <w:szCs w:val="20"/>
        </w:rPr>
        <w:t>SECRETARIA NACIONAL DE HABITAÇÃO. Guia de implementação da assistência técnica habitacional. Brasília: Ministério das Cidades, 2023.</w:t>
      </w:r>
    </w:p>
    <w:p>
      <w:pPr>
        <w:pStyle w:val="Normal"/>
        <w:spacing w:lineRule="auto" w:line="240" w:before="0" w:after="80"/>
        <w:jc w:val="start"/>
        <w:rPr/>
      </w:pPr>
      <w:r>
        <w:rPr>
          <w:rFonts w:eastAsia="Times New Roman" w:cs="Times New Roman"/>
          <w:b w:val="false"/>
          <w:bCs w:val="false"/>
          <w:i w:val="false"/>
          <w:iCs w:val="false"/>
          <w:color w:val="000000"/>
          <w:sz w:val="20"/>
          <w:szCs w:val="20"/>
        </w:rPr>
        <w:t>SILVA, I. C. F. M. Na margem da linha: conflitos urbanos em uma favela de Campos dos Goytacazes. Ponto Urbe, São Paulo, n. 23, dez. 2018.</w:t>
      </w:r>
    </w:p>
    <w:p>
      <w:pPr>
        <w:pStyle w:val="Normal"/>
        <w:spacing w:lineRule="auto" w:line="240" w:before="0" w:after="80"/>
        <w:jc w:val="start"/>
        <w:rPr/>
      </w:pPr>
      <w:r>
        <w:rPr>
          <w:rFonts w:eastAsia="Times New Roman" w:cs="Times New Roman"/>
          <w:b w:val="false"/>
          <w:bCs w:val="false"/>
          <w:i w:val="false"/>
          <w:iCs w:val="false"/>
          <w:color w:val="000000"/>
          <w:sz w:val="20"/>
          <w:szCs w:val="20"/>
        </w:rPr>
        <w:t>SOUZA, A. M. Gestão do território e ocupação de áreas irregulares: análise do caso da Favela Margem da Linha no município de Campos dos Goytacazes/RJ. Revista Equador, Teresina, v. 5, n. 3, 2016.</w:t>
      </w:r>
    </w:p>
    <w:p>
      <w:pPr>
        <w:pStyle w:val="Normal"/>
        <w:spacing w:lineRule="auto" w:line="240" w:before="0" w:after="80"/>
        <w:jc w:val="start"/>
        <w:rPr/>
      </w:pPr>
      <w:r>
        <w:rPr>
          <w:rFonts w:eastAsia="Times New Roman" w:cs="Times New Roman"/>
          <w:b w:val="false"/>
          <w:bCs w:val="false"/>
          <w:i w:val="false"/>
          <w:iCs w:val="false"/>
          <w:color w:val="000000"/>
          <w:sz w:val="20"/>
          <w:szCs w:val="20"/>
        </w:rPr>
        <w:t>VILLA, S. B.; ORNSTEIN, S. W. (org.). Qualidade ambiental na habitação: avaliação pós-ocupação. São Paulo: Oficina de Textos, 2013.</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708" w:top="1701" w:footer="708"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val="false"/>
        <w:iCs w:val="false"/>
        <w:color w:val="000000"/>
        <w:sz w:val="20"/>
        <w:szCs w:val="20"/>
      </w:rPr>
      <w:fldChar w:fldCharType="begin"/>
    </w:r>
    <w:r>
      <w:rPr>
        <w:rFonts w:eastAsia="Times New Roman" w:cs="Times New Roman"/>
        <w:b w:val="false"/>
        <w:bCs w:val="false"/>
        <w:i w:val="false"/>
        <w:iCs w:val="false"/>
        <w:color w:val="000000"/>
        <w:sz w:val="20"/>
        <w:szCs w:val="20"/>
      </w:rPr>
      <w:instrText xml:space="preserve"> PAGE </w:instrText>
    </w:r>
    <w:r>
      <w:rPr>
        <w:rFonts w:eastAsia="Times New Roman" w:cs="Times New Roman"/>
        <w:b w:val="false"/>
        <w:bCs w:val="false"/>
        <w:i w:val="false"/>
        <w:iCs w:val="false"/>
        <w:color w:val="000000"/>
        <w:sz w:val="20"/>
        <w:szCs w:val="20"/>
      </w:rPr>
      <w:fldChar w:fldCharType="separate"/>
    </w:r>
    <w:r>
      <w:rPr>
        <w:rFonts w:eastAsia="Times New Roman" w:cs="Times New Roman"/>
        <w:b w:val="false"/>
        <w:bCs w:val="false"/>
        <w:i w:val="false"/>
        <w:iCs w:val="false"/>
        <w:color w:val="000000"/>
        <w:sz w:val="20"/>
        <w:szCs w:val="20"/>
      </w:rPr>
      <w:t>21</w:t>
    </w:r>
    <w:r>
      <w:rPr>
        <w:rFonts w:eastAsia="Times New Roman" w:cs="Times New Roman"/>
        <w:b w:val="false"/>
        <w:bCs w:val="false"/>
        <w:i w:val="false"/>
        <w:iCs w:val="false"/>
        <w:color w:val="00000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val="false"/>
        <w:iCs w:val="false"/>
        <w:color w:val="000000"/>
        <w:sz w:val="20"/>
        <w:szCs w:val="20"/>
      </w:rPr>
      <w:fldChar w:fldCharType="begin"/>
    </w:r>
    <w:r>
      <w:rPr>
        <w:rFonts w:eastAsia="Times New Roman" w:cs="Times New Roman"/>
        <w:b w:val="false"/>
        <w:bCs w:val="false"/>
        <w:i w:val="false"/>
        <w:iCs w:val="false"/>
        <w:color w:val="000000"/>
        <w:sz w:val="20"/>
        <w:szCs w:val="20"/>
      </w:rPr>
      <w:instrText xml:space="preserve"> PAGE </w:instrText>
    </w:r>
    <w:r>
      <w:rPr>
        <w:rFonts w:eastAsia="Times New Roman" w:cs="Times New Roman"/>
        <w:b w:val="false"/>
        <w:bCs w:val="false"/>
        <w:i w:val="false"/>
        <w:iCs w:val="false"/>
        <w:color w:val="000000"/>
        <w:sz w:val="20"/>
        <w:szCs w:val="20"/>
      </w:rPr>
      <w:fldChar w:fldCharType="separate"/>
    </w:r>
    <w:r>
      <w:rPr>
        <w:rFonts w:eastAsia="Times New Roman" w:cs="Times New Roman"/>
        <w:b w:val="false"/>
        <w:bCs w:val="false"/>
        <w:i w:val="false"/>
        <w:iCs w:val="false"/>
        <w:color w:val="000000"/>
        <w:sz w:val="20"/>
        <w:szCs w:val="20"/>
      </w:rPr>
      <w:t>21</w:t>
    </w:r>
    <w:r>
      <w:rPr>
        <w:rFonts w:eastAsia="Times New Roman" w:cs="Times New Roman"/>
        <w:b w:val="false"/>
        <w:bCs w:val="false"/>
        <w:i w:val="false"/>
        <w:iCs w:val="false"/>
        <w:color w:val="00000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999999"/>
        <w:sz w:val="18"/>
        <w:szCs w:val="18"/>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999999"/>
        <w:sz w:val="18"/>
        <w:szCs w:val="18"/>
      </w:rPr>
      <w:t>--------</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21</Pages>
  <Words>6930</Words>
  <Characters>40983</Characters>
  <CharactersWithSpaces>47557</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2026-03-13T21:12:19Z</dcterms:created>
  <dc:creator>Un-named</dc:creator>
  <dc:description/>
  <dc:language>pt-BR</dc:language>
  <cp:lastModifiedBy/>
  <dcterms:modified xsi:type="dcterms:W3CDTF">2026-03-18T13:43:29Z</dcterms:modified>
  <cp:revision>3</cp:revision>
  <dc:subject/>
  <dc:title/>
</cp:coreProperties>
</file>