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Machine Learning-Based Daily Energy Output Prediction of Hybrid Biogas-Solar Systems in Rural Bangladesh: A Comparative Longitudinal Study from Narail District</w:t>
      </w:r>
    </w:p>
    <w:p>
      <w:pPr>
        <w:spacing w:after="480" w:before="0"/>
        <w:jc w:val="center"/>
      </w:pPr>
      <w:r>
        <w:rPr>
          <w:rFonts w:ascii="Times New Roman" w:cs="Times New Roman" w:eastAsia="Times New Roman" w:hAnsi="Times New Roman"/>
          <w:i/>
          <w:iCs/>
          <w:color w:val="555555"/>
          <w:sz w:val="22"/>
          <w:szCs w:val="22"/>
        </w:rPr>
        <w:t xml:space="preserve">Manuscript Sections: Literature Review · Critical Gap Analysis · Problem Statement · References</w:t>
      </w:r>
    </w:p>
    <w:p>
      <w:pPr>
        <w:pStyle w:val="Heading1"/>
        <w:spacing w:after="180" w:before="360"/>
      </w:pPr>
      <w:r>
        <w:rPr>
          <w:rFonts w:ascii="Times New Roman" w:cs="Times New Roman" w:eastAsia="Times New Roman" w:hAnsi="Times New Roman"/>
          <w:b/>
          <w:bCs/>
          <w:sz w:val="28"/>
          <w:szCs w:val="28"/>
        </w:rPr>
        <w:t xml:space="preserve">Literature Review</w:t>
      </w:r>
    </w:p>
    <w:p>
      <w:pPr>
        <w:spacing w:after="80" w:before="80"/>
      </w:pPr>
      <w:r>
        <w:t xml:space="preserve"/>
      </w:r>
    </w:p>
    <w:p>
      <w:pPr>
        <w:pStyle w:val="Heading2"/>
        <w:spacing w:after="140" w:before="280"/>
      </w:pPr>
      <w:r>
        <w:rPr>
          <w:rFonts w:ascii="Times New Roman" w:cs="Times New Roman" w:eastAsia="Times New Roman" w:hAnsi="Times New Roman"/>
          <w:b/>
          <w:bCs/>
          <w:i/>
          <w:iCs/>
          <w:sz w:val="24"/>
          <w:szCs w:val="24"/>
        </w:rPr>
        <w:t xml:space="preserve">Theme 1: Global Paradigms in Hybrid Renewable Energy Systems (HRES) and Microgrid Architectures</w:t>
      </w:r>
    </w:p>
    <w:p>
      <w:pPr>
        <w:spacing w:after="160" w:before="0" w:line="360"/>
        <w:ind w:firstLine="720"/>
        <w:jc w:val="both"/>
      </w:pPr>
      <w:r>
        <w:rPr>
          <w:rFonts w:ascii="Times New Roman" w:cs="Times New Roman" w:eastAsia="Times New Roman" w:hAnsi="Times New Roman"/>
          <w:sz w:val="24"/>
          <w:szCs w:val="24"/>
        </w:rPr>
        <w:t xml:space="preserve">The global transition toward low-carbon, decentralized energy architectures has catalyzed an unprecedented proliferation of hybrid renewable energy systems (HRES), wherein the complementary temporal profiles of disparate generation technologies are harnessed to maximize reliability, reduce curtailment, and mitigate grid stress (Dursun &amp; Ozturk, 2015; Siddaiah &amp; Saini, 2016). At the architectural level, HRES configurations—commonly integrating solar photovoltaic (PV) arrays, wind turbines, biomass or biogas conversion units, micro-hydropower installations, and electrochemical storage banks—have been advanced as a structurally superior alternative to single-source off-grid installations, particularly in contexts characterized by heterogeneous resource endowments and stochastic demand profiles (Berna-Escriche et al., 2023; Mavromatidis et al., 2019). The theoretical imperative for hybridization is grounded in the principle of temporal complementarity: solar irradiance peaks diurnally and is governed by seasonal astronomical cycles, whereas biomass-derived biogas generation is, in principle, a thermochemically continuous process whose substrate availability is bounded by animal husbandry logistics and ambient fermentation kinetics, thereby providing a baseload buffer against the inherent stochasticity of photovoltaic output (Cucchiella et al., 2017; Ramírez-Mendiola et al., 2017).</w:t>
      </w:r>
    </w:p>
    <w:p>
      <w:pPr>
        <w:spacing w:after="160" w:before="0" w:line="360"/>
        <w:ind w:firstLine="720"/>
        <w:jc w:val="both"/>
      </w:pPr>
      <w:r>
        <w:rPr>
          <w:rFonts w:ascii="Times New Roman" w:cs="Times New Roman" w:eastAsia="Times New Roman" w:hAnsi="Times New Roman"/>
          <w:sz w:val="24"/>
          <w:szCs w:val="24"/>
        </w:rPr>
        <w:t xml:space="preserve">Contemporary microgrid architectures operationalizing this complementarity have been examined across a spectrum of scales—from pico-scale village systems serving fewer than fifty households to township-level mini-grids with multi-megawatt nameplate capacities—with documented performance demonstrating that appropriately designed HRES configurations achieve loss-of-load probabilities (LOLP) as low as 0.01 and levelized cost of energy (LCOE) reductions of 18–42% relative to diesel-only baseline installations (Berna-Escriche et al., 2023; Luo et al., 2015; Siddaiah &amp; Saini, 2016). The optimization literature has further demonstrated that energy management system (EMS) design, inverter topology, battery bank sizing, and dispatch strategy selection exert independent and interactive effects on system reliability indices, a finding that underscores the multidimensional complexity of HRES performance assessment (Mavromatidis et al., 2019; Dursun &amp; Ozturk, 2015). Within this global paradigmatic context, sub-Saharan Africa and South Asia have emerged as the primary geographic theaters for HRES deployment, given their confluence of high solar irradiance intensities, substantial biomass feedstock reserves, agrarian economic structures, and persistently low grid penetration indices—conditions that create both the technical feasibility and the developmental imperative for decentralized hybrid energy architectures (Cucchiella et al., 2017; Luo et al., 2015).</w:t>
      </w:r>
    </w:p>
    <w:p>
      <w:pPr>
        <w:spacing w:after="160" w:before="0" w:line="360"/>
        <w:ind w:firstLine="720"/>
        <w:jc w:val="both"/>
      </w:pPr>
      <w:r>
        <w:rPr>
          <w:rFonts w:ascii="Times New Roman" w:cs="Times New Roman" w:eastAsia="Times New Roman" w:hAnsi="Times New Roman"/>
          <w:sz w:val="24"/>
          <w:szCs w:val="24"/>
        </w:rPr>
        <w:t xml:space="preserve">Despite the maturation of HRES engineering design methodologies, a fundamental operational challenge persists at the intersection of energy planning and real-time system control: the accurate, temporally resolved prediction of daily energy output under the non-stationary, seasonally structured input conditions that characterize tropical and subtropical climates (Siddaiah &amp; Saini, 2016; Ramírez-Mendiola et al., 2017). The failure to accurately forecast daily generation capacity precipitates cascading operational failures—including load shedding events, battery over-discharge cycles that accelerate electrochemical degradation, and suboptimal dispatch sequences—that collectively erode system reliability indices and undermine the socioeconomic returns on infrastructure investment (Mavromatidis et al., 2019; Dursun &amp; Ozturk, 2015). It is within this global paradigmatic context that the present study situates its inquiry, recognizing that the machine learning-driven forecasting of hybrid biogas-solar system output in rural Bangladesh represents not merely a localized engineering problem but a microcosm of the broader challenge confronting decentralized energy systems across the developing world.</w:t>
      </w:r>
    </w:p>
    <w:p>
      <w:pPr>
        <w:spacing w:after="80" w:before="80"/>
      </w:pPr>
      <w:r>
        <w:t xml:space="preserve"/>
      </w:r>
    </w:p>
    <w:p>
      <w:pPr>
        <w:pBdr>
          <w:top w:val="single" w:color="2E4057" w:sz="6"/>
          <w:left w:val="single" w:color="2E4057" w:sz="6"/>
          <w:bottom w:val="single" w:color="2E4057" w:sz="1" w:space="0"/>
          <w:right w:val="single" w:color="2E4057" w:sz="6"/>
        </w:pBdr>
        <w:shd w:fill="2E4057" w:val="clear"/>
        <w:spacing w:after="0" w:before="180"/>
        <w:ind w:left="160" w:right="160"/>
      </w:pPr>
      <w:r>
        <w:rPr>
          <w:rFonts w:ascii="Courier New" w:cs="Courier New" w:eastAsia="Courier New" w:hAnsi="Courier New"/>
          <w:b/>
          <w:bCs/>
          <w:color w:val="FFFFFF"/>
          <w:sz w:val="20"/>
          <w:szCs w:val="20"/>
        </w:rPr>
        <w:t xml:space="preserve">Keyword Search Strategy — Theme 1: Global HRES &amp; Microgrid Architectures</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1:  </w:t>
      </w:r>
      <w:r>
        <w:rPr>
          <w:rFonts w:ascii="Courier New" w:cs="Courier New" w:eastAsia="Courier New" w:hAnsi="Courier New"/>
          <w:color w:val="1A1A2E"/>
          <w:sz w:val="18"/>
          <w:szCs w:val="18"/>
        </w:rPr>
        <w:t xml:space="preserve">+ "hybrid renewable energy system" + (microgrid OR "off-grid") + (solar OR photovoltaic) + biogas − nuclear − hydrogen</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2:  </w:t>
      </w:r>
      <w:r>
        <w:rPr>
          <w:rFonts w:ascii="Courier New" w:cs="Courier New" w:eastAsia="Courier New" w:hAnsi="Courier New"/>
          <w:color w:val="1A1A2E"/>
          <w:sz w:val="18"/>
          <w:szCs w:val="18"/>
        </w:rPr>
        <w:t xml:space="preserve">+ ("HRES" OR "hybrid energy system") + ("energy management system" OR EMS) + (reliability OR LOLP OR LCOE) − "smart grid" − "grid-scale"</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3:  </w:t>
      </w:r>
      <w:r>
        <w:rPr>
          <w:rFonts w:ascii="Courier New" w:cs="Courier New" w:eastAsia="Courier New" w:hAnsi="Courier New"/>
          <w:color w:val="1A1A2E"/>
          <w:sz w:val="18"/>
          <w:szCs w:val="18"/>
        </w:rPr>
        <w:t xml:space="preserve">+ ("microgrid architecture" OR "microgrid design") + (biomass OR biogas) + (solar PV OR photovoltaic) + "rural electrification" − offshore − "utility-scale"</w:t>
      </w:r>
    </w:p>
    <w:p>
      <w:pPr>
        <w:pBdr>
          <w:top w:val="nil"/>
          <w:left w:val="single" w:color="2E4057" w:sz="6"/>
          <w:bottom w:val="single" w:color="2E4057" w:sz="6"/>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4:  </w:t>
      </w:r>
      <w:r>
        <w:rPr>
          <w:rFonts w:ascii="Courier New" w:cs="Courier New" w:eastAsia="Courier New" w:hAnsi="Courier New"/>
          <w:color w:val="1A1A2E"/>
          <w:sz w:val="18"/>
          <w:szCs w:val="18"/>
        </w:rPr>
        <w:t xml:space="preserve">+ "decentralized energy" + (complementarity OR "temporal complementarity") + (storage OR battery) + (dispatch OR optimization) − wind − tidal</w:t>
      </w:r>
    </w:p>
    <w:p>
      <w:pPr>
        <w:pBdr>
          <w:top w:val="nil"/>
          <w:left w:val="nil"/>
          <w:bottom w:val="single" w:color="CCCCCC" w:sz="2"/>
          <w:right w:val="nil"/>
        </w:pBdr>
        <w:shd w:fill="EEF1F5" w:val="clear"/>
        <w:spacing w:after="200" w:before="0"/>
        <w:ind w:left="160" w:right="160"/>
      </w:pPr>
      <w:r>
        <w:rPr>
          <w:rFonts w:ascii="Courier New" w:cs="Courier New" w:eastAsia="Courier New" w:hAnsi="Courier New"/>
          <w:i/>
          <w:iCs/>
          <w:color w:val="888888"/>
          <w:sz w:val="16"/>
          <w:szCs w:val="16"/>
        </w:rPr>
        <w:t xml:space="preserve">  NOTE: (+) = AND/include term   (−) = NOT/exclude term   Use OR within parentheses for synonyms</w:t>
      </w:r>
    </w:p>
    <w:p>
      <w:pPr>
        <w:spacing w:after="80" w:before="80"/>
      </w:pPr>
      <w:r>
        <w:t xml:space="preserve"/>
      </w:r>
    </w:p>
    <w:p>
      <w:pPr>
        <w:pStyle w:val="Heading2"/>
        <w:spacing w:after="140" w:before="280"/>
      </w:pPr>
      <w:r>
        <w:rPr>
          <w:rFonts w:ascii="Times New Roman" w:cs="Times New Roman" w:eastAsia="Times New Roman" w:hAnsi="Times New Roman"/>
          <w:b/>
          <w:bCs/>
          <w:i/>
          <w:iCs/>
          <w:sz w:val="24"/>
          <w:szCs w:val="24"/>
        </w:rPr>
        <w:t xml:space="preserve">Theme 2: Empirical Paradigms of Anaerobic Digestion and Solar PV Co-generation in South Asian Climatic Contexts</w:t>
      </w:r>
    </w:p>
    <w:p>
      <w:pPr>
        <w:spacing w:after="160" w:before="0" w:line="360"/>
        <w:ind w:firstLine="720"/>
        <w:jc w:val="both"/>
      </w:pPr>
      <w:r>
        <w:rPr>
          <w:rFonts w:ascii="Times New Roman" w:cs="Times New Roman" w:eastAsia="Times New Roman" w:hAnsi="Times New Roman"/>
          <w:sz w:val="24"/>
          <w:szCs w:val="24"/>
        </w:rPr>
        <w:t xml:space="preserve">The empirical co-deployment of anaerobic digestion (AD) units and solar photovoltaic arrays in South Asian contexts reflects a regionally specific convergence of technical, agrarian, and climatic conditions that distinguish this geography from the temperate-zone paradigms that dominate the HRES engineering literature (Garba &amp; Bere, 2023; Khan et al., 2021). Anaerobic digestion in South Asian rural settings is overwhelmingly substrate-constrained by cattle and buffalo dung, with biogas yield coefficients empirically documented in the range of 0.023–0.040 m³ per kilogram of volatile solids (VS) under mesophilic conditions (35–40°C), though ambient digester temperatures in the sub-continental monsoonal context fluctuate between 18°C during winter months and 38°C during pre-monsoon periods, inducing significant intra-annual variability in methanogenic community activity and volumetric biogas production rates (Garba &amp; Bere, 2023; Singh &amp; Sooch, 2004). This temperature-dependent methanogenic variability, compounded by fluctuations in hydraulic retention time (HRT) associated with feedstock availability disruptions during monsoon flooding events, produces non-linear, seasonally structured biogas output profiles that fundamentally complicate both system design and operational forecasting (Khan et al., 2021; Surendra et al., 2014).</w:t>
      </w:r>
    </w:p>
    <w:p>
      <w:pPr>
        <w:spacing w:after="160" w:before="0" w:line="360"/>
        <w:ind w:firstLine="720"/>
        <w:jc w:val="both"/>
      </w:pPr>
      <w:r>
        <w:rPr>
          <w:rFonts w:ascii="Times New Roman" w:cs="Times New Roman" w:eastAsia="Times New Roman" w:hAnsi="Times New Roman"/>
          <w:sz w:val="24"/>
          <w:szCs w:val="24"/>
        </w:rPr>
        <w:t xml:space="preserve">Solar PV co-generation in Bangladesh and analogous South Asian agrarian regions is governed by a distinct irradiance regime characterized by high global horizontal irradiance (GHI) values of 4.5–5.5 kWh/m²/day during the dry season (November–March), sharply attenuated to 2.8–3.6 kWh/m²/day during the monsoon season (June–September) due to persistent stratiform and cumulonimbus cloud cover, and a transitional pre-monsoon period exhibiting the highest aerosol optical depth (AOD) values associated with dust loading and biomass combustion emissions that further reduce effective panel irradiance (Islam et al., 2014; Hossain et al., 2020; Surendra et al., 2014). The interaction between monsoonal irradiance attenuation and the concurrent intensification of AD substrate availability—as cattle are confined during peak monsoon periods and dung collection efficiencies improve—creates a temporally anti-correlated generation profile between the solar and biogas subsystems that is, in principle, architecturally advantageous but operationally challenging to quantify and predict (Hossain et al., 2020; Islam et al., 2014). Empirical field documentation of this anti-correlation from South Asian installations remains sparse in the peer-reviewed literature, with the majority of available performance data derived from simulation studies calibrated against regional meteorological datasets rather than actual multi-year plant-level operational records (Garba &amp; Bere, 2023; Khan et al., 2021).</w:t>
      </w:r>
    </w:p>
    <w:p>
      <w:pPr>
        <w:spacing w:after="160" w:before="0" w:line="360"/>
        <w:ind w:firstLine="720"/>
        <w:jc w:val="both"/>
      </w:pPr>
      <w:r>
        <w:rPr>
          <w:rFonts w:ascii="Times New Roman" w:cs="Times New Roman" w:eastAsia="Times New Roman" w:hAnsi="Times New Roman"/>
          <w:sz w:val="24"/>
          <w:szCs w:val="24"/>
        </w:rPr>
        <w:t xml:space="preserve">Specific to Bangladesh, the national biogas program administered through the Infrastructure Development Company Limited (IDCOL) has facilitated the installation of over 4.9 million household biogas plants as of 2022, creating a substantial empirical base of operational experience that has nonetheless been underexploited in the academic literature as a source of longitudinal performance data for hybrid system modeling (Hossain et al., 2020; Surendra et al., 2014). The documented energy poverty metrics of southwestern Bangladesh—where Narail District is situated—indicate that rural household electricity access rates remain below 65% for reliable supply, with frequent load-shedding durations of four to eight hours daily, creating a compellingly urgent applied context for the optimization of hybrid biogas-solar micro-generation systems that can serve both off-grid household and mini-grid community electrification functions (Islam et al., 2014; Hossain et al., 2020).</w:t>
      </w:r>
    </w:p>
    <w:p>
      <w:pPr>
        <w:spacing w:after="80" w:before="80"/>
      </w:pPr>
      <w:r>
        <w:t xml:space="preserve"/>
      </w:r>
    </w:p>
    <w:p>
      <w:pPr>
        <w:pBdr>
          <w:top w:val="single" w:color="2E4057" w:sz="6"/>
          <w:left w:val="single" w:color="2E4057" w:sz="6"/>
          <w:bottom w:val="single" w:color="2E4057" w:sz="1" w:space="0"/>
          <w:right w:val="single" w:color="2E4057" w:sz="6"/>
        </w:pBdr>
        <w:shd w:fill="2E4057" w:val="clear"/>
        <w:spacing w:after="0" w:before="180"/>
        <w:ind w:left="160" w:right="160"/>
      </w:pPr>
      <w:r>
        <w:rPr>
          <w:rFonts w:ascii="Courier New" w:cs="Courier New" w:eastAsia="Courier New" w:hAnsi="Courier New"/>
          <w:b/>
          <w:bCs/>
          <w:color w:val="FFFFFF"/>
          <w:sz w:val="20"/>
          <w:szCs w:val="20"/>
        </w:rPr>
        <w:t xml:space="preserve">Keyword Search Strategy — Theme 2: AD &amp; Solar PV Co-generation in South Asia</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1:  </w:t>
      </w:r>
      <w:r>
        <w:rPr>
          <w:rFonts w:ascii="Courier New" w:cs="Courier New" w:eastAsia="Courier New" w:hAnsi="Courier New"/>
          <w:color w:val="1A1A2E"/>
          <w:sz w:val="18"/>
          <w:szCs w:val="18"/>
        </w:rPr>
        <w:t xml:space="preserve">+ "anaerobic digestion" + ("solar PV" OR photovoltaic) + (Bangladesh OR "South Asia") + (biogas OR biomethane) − landfill − wastewater</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2:  </w:t>
      </w:r>
      <w:r>
        <w:rPr>
          <w:rFonts w:ascii="Courier New" w:cs="Courier New" w:eastAsia="Courier New" w:hAnsi="Courier New"/>
          <w:color w:val="1A1A2E"/>
          <w:sz w:val="18"/>
          <w:szCs w:val="18"/>
        </w:rPr>
        <w:t xml:space="preserve">+ ("cattle dung" OR "livestock waste" OR "cow dung") + biogas + ("rural energy" OR "off-grid") + (Bangladesh OR India OR Nepal) − poultry − sludge</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3:  </w:t>
      </w:r>
      <w:r>
        <w:rPr>
          <w:rFonts w:ascii="Courier New" w:cs="Courier New" w:eastAsia="Courier New" w:hAnsi="Courier New"/>
          <w:color w:val="1A1A2E"/>
          <w:sz w:val="18"/>
          <w:szCs w:val="18"/>
        </w:rPr>
        <w:t xml:space="preserve">+ ("methanogenic activity" OR "hydraulic retention time" OR HRT) + ("ambient temperature" OR mesophilic) + ("biogas yield" OR "volatile solids") − thermophilic − industrial</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4:  </w:t>
      </w:r>
      <w:r>
        <w:rPr>
          <w:rFonts w:ascii="Courier New" w:cs="Courier New" w:eastAsia="Courier New" w:hAnsi="Courier New"/>
          <w:color w:val="1A1A2E"/>
          <w:sz w:val="18"/>
          <w:szCs w:val="18"/>
        </w:rPr>
        <w:t xml:space="preserve">+ ("global horizontal irradiance" OR GHI) + (monsoon OR "cloud cover") + Bangladesh + (photovoltaic OR "solar energy") − aerosol − satellite</w:t>
      </w:r>
    </w:p>
    <w:p>
      <w:pPr>
        <w:pBdr>
          <w:top w:val="nil"/>
          <w:left w:val="single" w:color="2E4057" w:sz="6"/>
          <w:bottom w:val="single" w:color="2E4057" w:sz="6"/>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5:  </w:t>
      </w:r>
      <w:r>
        <w:rPr>
          <w:rFonts w:ascii="Courier New" w:cs="Courier New" w:eastAsia="Courier New" w:hAnsi="Courier New"/>
          <w:color w:val="1A1A2E"/>
          <w:sz w:val="18"/>
          <w:szCs w:val="18"/>
        </w:rPr>
        <w:t xml:space="preserve">+ IDCOL + ("biogas program" OR "household biogas") + Bangladesh + ("energy access" OR "energy poverty") − "solar home system" − credit</w:t>
      </w:r>
    </w:p>
    <w:p>
      <w:pPr>
        <w:pBdr>
          <w:top w:val="nil"/>
          <w:left w:val="nil"/>
          <w:bottom w:val="single" w:color="CCCCCC" w:sz="2"/>
          <w:right w:val="nil"/>
        </w:pBdr>
        <w:shd w:fill="EEF1F5" w:val="clear"/>
        <w:spacing w:after="200" w:before="0"/>
        <w:ind w:left="160" w:right="160"/>
      </w:pPr>
      <w:r>
        <w:rPr>
          <w:rFonts w:ascii="Courier New" w:cs="Courier New" w:eastAsia="Courier New" w:hAnsi="Courier New"/>
          <w:i/>
          <w:iCs/>
          <w:color w:val="888888"/>
          <w:sz w:val="16"/>
          <w:szCs w:val="16"/>
        </w:rPr>
        <w:t xml:space="preserve">  NOTE: (+) = AND/include term   (−) = NOT/exclude term   Use OR within parentheses for synonyms</w:t>
      </w:r>
    </w:p>
    <w:p>
      <w:pPr>
        <w:spacing w:after="80" w:before="80"/>
      </w:pPr>
      <w:r>
        <w:t xml:space="preserve"/>
      </w:r>
    </w:p>
    <w:p>
      <w:pPr>
        <w:pStyle w:val="Heading2"/>
        <w:spacing w:after="140" w:before="280"/>
      </w:pPr>
      <w:r>
        <w:rPr>
          <w:rFonts w:ascii="Times New Roman" w:cs="Times New Roman" w:eastAsia="Times New Roman" w:hAnsi="Times New Roman"/>
          <w:b/>
          <w:bCs/>
          <w:i/>
          <w:iCs/>
          <w:sz w:val="24"/>
          <w:szCs w:val="24"/>
        </w:rPr>
        <w:t xml:space="preserve">Theme 3: Algorithmic Evolution in Renewable Energy Forecasting: From Statistical Baselines to Deep Learning</w:t>
      </w:r>
    </w:p>
    <w:p>
      <w:pPr>
        <w:spacing w:after="160" w:before="0" w:line="360"/>
        <w:ind w:firstLine="720"/>
        <w:jc w:val="both"/>
      </w:pPr>
      <w:r>
        <w:rPr>
          <w:rFonts w:ascii="Times New Roman" w:cs="Times New Roman" w:eastAsia="Times New Roman" w:hAnsi="Times New Roman"/>
          <w:sz w:val="24"/>
          <w:szCs w:val="24"/>
        </w:rPr>
        <w:t xml:space="preserve">The algorithmic history of renewable energy output forecasting reveals a progressive epistemological trajectory from deterministic physical models through statistical time-series methods to contemporary deep learning architectures, with each transition driven by the demonstrable insufficiency of predecessor methodologies in capturing the non-linear, multi-scalar temporal dependencies inherent in renewable resource variability (Voyant et al., 2017; Ssekulima et al., 2016). Early forecasting frameworks for solar irradiance and PV output were anchored in clear-sky physical models—such as the Bird Clear Sky Model and the Ineichen–Perez parameterization—that decompose global horizontal irradiance into direct normal and diffuse horizontal components using astronomical algorithms and atmospheric optical depth parameters; while technically rigorous for clear-sky conditions, these models exhibit systematic positive bias exceeding 35% under the partially overcast and cloud-variable conditions that characterize 60–70% of operating hours in monsoonal climates (Voyant et al., 2017; Abdel-Nasser &amp; Mahmoud, 2019). Statistical regression baselines—including multiple linear regression, autoregressive integrated moving average (ARIMA), and seasonal decomposition approaches—subsequently demonstrated improvements in forecasting accuracy for short-horizon predictions under stationary conditions but exhibited well-documented limitations in capturing abrupt regime shifts associated with weather-system transitions, substrate availability disruptions, and plant-level operational anomalies (Ssekulima et al., 2016; Voyant et al., 2017).</w:t>
      </w:r>
    </w:p>
    <w:p>
      <w:pPr>
        <w:spacing w:after="160" w:before="0" w:line="360"/>
        <w:ind w:firstLine="720"/>
        <w:jc w:val="both"/>
      </w:pPr>
      <w:r>
        <w:rPr>
          <w:rFonts w:ascii="Times New Roman" w:cs="Times New Roman" w:eastAsia="Times New Roman" w:hAnsi="Times New Roman"/>
          <w:sz w:val="24"/>
          <w:szCs w:val="24"/>
        </w:rPr>
        <w:t xml:space="preserve">The emergence of ensemble learning algorithms—most notably Random Forest (RF) and Extreme Gradient Boosting (XGBoost)—represented a substantive methodological advance by enabling the non-parametric modeling of complex input-output mappings through the aggregation of multiple weak learners into a collectively powerful predictive ensemble (Mohammadi et al., 2016; Ssekulima et al., 2016). Random Forest's bootstrap aggregation procedure confers intrinsic resistance to overfitting on noisy agricultural and meteorological datasets, while XGBoost's second-order gradient optimization and L1/L2 regularization mechanisms provide superior handling of sparse feature matrices and high-dimensional input spaces—properties particularly relevant to hybrid energy systems where the feature vector encompasses meteorological variables, livestock management indicators, substrate loading parameters, and lagged production values simultaneously (Mohammadi et al., 2016; Abdel-Nasser &amp; Mahmoud, 2019). Empirical benchmarking studies have documented XGBoost's mean absolute percentage error (MAPE) performance improvements of 12–28% relative to linear regression baselines and 7–15% relative to single-layer artificial neural networks (ANNs) in solar energy forecasting tasks, establishing it as the dominant ensemble method in the renewable energy prediction literature of the 2015–2020 period (Voyant et al., 2017; Ssekulima et al., 2016).</w:t>
      </w:r>
    </w:p>
    <w:p>
      <w:pPr>
        <w:spacing w:after="160" w:before="0" w:line="360"/>
        <w:ind w:firstLine="720"/>
        <w:jc w:val="both"/>
      </w:pPr>
      <w:r>
        <w:rPr>
          <w:rFonts w:ascii="Times New Roman" w:cs="Times New Roman" w:eastAsia="Times New Roman" w:hAnsi="Times New Roman"/>
          <w:sz w:val="24"/>
          <w:szCs w:val="24"/>
        </w:rPr>
        <w:t xml:space="preserve">The deep learning revolution precipitated by long short-term memory (LSTM) networks and their variants—including bidirectional LSTM (BiLSTM), gated recurrent units (GRU), and attention-augmented transformer architectures—has fundamentally reconfigured the methodological frontier of renewable energy time-series forecasting (Abdel-Nasser &amp; Mahmoud, 2019; Yin et al., 2020). LSTM networks, through their selective gating mechanism comprising input, forget, and output gates, are architecturally engineered to capture long-range temporal dependencies across sequences extending from hours to months, a property that directly addresses the multi-scale temporal structure of hybrid biogas-solar output profiles in which both diurnal solar cycles and multi-week fermentation dynamics must be jointly modeled (Yin et al., 2020; Abdel-Nasser &amp; Mahmoud, 2019). Rigorous comparative evaluations across multiple renewable energy forecasting contexts have documented LSTM's root mean square error (RMSE) reductions of 18–34% relative to RF and XGBoost, with the performance differential widening substantially under high-seasonality regimes characterized by abrupt transition periods—precisely the conditions that obtain in tropical monsoon climates (Yin et al., 2020; Mohammadi et al., 2016). However, LSTM's parametric complexity and sensitivity to hyperparameter configurations—including sequence length, hidden layer dimensionality, dropout rates, and learning rate schedules—introduce significant computational overhead and empirical calibration challenges that limit its practical deployment in data-sparse operational contexts characteristic of rural South Asian micro-generation installations (Voyant et al., 2017; Abdel-Nasser &amp; Mahmoud, 2019).</w:t>
      </w:r>
    </w:p>
    <w:p>
      <w:pPr>
        <w:spacing w:after="80" w:before="80"/>
      </w:pPr>
      <w:r>
        <w:t xml:space="preserve"/>
      </w:r>
    </w:p>
    <w:p>
      <w:pPr>
        <w:pBdr>
          <w:top w:val="single" w:color="2E4057" w:sz="6"/>
          <w:left w:val="single" w:color="2E4057" w:sz="6"/>
          <w:bottom w:val="single" w:color="2E4057" w:sz="1" w:space="0"/>
          <w:right w:val="single" w:color="2E4057" w:sz="6"/>
        </w:pBdr>
        <w:shd w:fill="2E4057" w:val="clear"/>
        <w:spacing w:after="0" w:before="180"/>
        <w:ind w:left="160" w:right="160"/>
      </w:pPr>
      <w:r>
        <w:rPr>
          <w:rFonts w:ascii="Courier New" w:cs="Courier New" w:eastAsia="Courier New" w:hAnsi="Courier New"/>
          <w:b/>
          <w:bCs/>
          <w:color w:val="FFFFFF"/>
          <w:sz w:val="20"/>
          <w:szCs w:val="20"/>
        </w:rPr>
        <w:t xml:space="preserve">Keyword Search Strategy — Theme 3: ML Forecasting — Statistical to Deep Learning</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1:  </w:t>
      </w:r>
      <w:r>
        <w:rPr>
          <w:rFonts w:ascii="Courier New" w:cs="Courier New" w:eastAsia="Courier New" w:hAnsi="Courier New"/>
          <w:color w:val="1A1A2E"/>
          <w:sz w:val="18"/>
          <w:szCs w:val="18"/>
        </w:rPr>
        <w:t xml:space="preserve">+ "machine learning" + ("energy output prediction" OR "energy forecasting") + (biogas OR "renewable energy") − "smart meter" − "demand response"</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2:  </w:t>
      </w:r>
      <w:r>
        <w:rPr>
          <w:rFonts w:ascii="Courier New" w:cs="Courier New" w:eastAsia="Courier New" w:hAnsi="Courier New"/>
          <w:color w:val="1A1A2E"/>
          <w:sz w:val="18"/>
          <w:szCs w:val="18"/>
        </w:rPr>
        <w:t xml:space="preserve">+ (LSTM OR "long short-term memory") + ("solar energy" OR "PV output") + forecasting + (seasonal OR temporal) − wind − "natural language"</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3:  </w:t>
      </w:r>
      <w:r>
        <w:rPr>
          <w:rFonts w:ascii="Courier New" w:cs="Courier New" w:eastAsia="Courier New" w:hAnsi="Courier New"/>
          <w:color w:val="1A1A2E"/>
          <w:sz w:val="18"/>
          <w:szCs w:val="18"/>
        </w:rPr>
        <w:t xml:space="preserve">+ (XGBoost OR "extreme gradient boosting" OR "random forest") + ("energy prediction" OR "power forecasting") + (MAPE OR RMSE OR "mean absolute") − traffic − finance</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4:  </w:t>
      </w:r>
      <w:r>
        <w:rPr>
          <w:rFonts w:ascii="Courier New" w:cs="Courier New" w:eastAsia="Courier New" w:hAnsi="Courier New"/>
          <w:color w:val="1A1A2E"/>
          <w:sz w:val="18"/>
          <w:szCs w:val="18"/>
        </w:rPr>
        <w:t xml:space="preserve">+ ("deep learning" OR ANN OR "neural network") + (biogas OR "anaerobic digestion") + (prediction OR forecasting) + performance − image − "natural language processing"</w:t>
      </w:r>
    </w:p>
    <w:p>
      <w:pPr>
        <w:pBdr>
          <w:top w:val="nil"/>
          <w:left w:val="single" w:color="2E4057" w:sz="6"/>
          <w:bottom w:val="single" w:color="2E4057" w:sz="6"/>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5:  </w:t>
      </w:r>
      <w:r>
        <w:rPr>
          <w:rFonts w:ascii="Courier New" w:cs="Courier New" w:eastAsia="Courier New" w:hAnsi="Courier New"/>
          <w:color w:val="1A1A2E"/>
          <w:sz w:val="18"/>
          <w:szCs w:val="18"/>
        </w:rPr>
        <w:t xml:space="preserve">+ (ARIMA OR "linear regression" OR "statistical model") + ("renewable energy" OR "solar irradiance") + forecasting + comparison − "demand forecasting" − load</w:t>
      </w:r>
    </w:p>
    <w:p>
      <w:pPr>
        <w:pBdr>
          <w:top w:val="nil"/>
          <w:left w:val="nil"/>
          <w:bottom w:val="single" w:color="CCCCCC" w:sz="2"/>
          <w:right w:val="nil"/>
        </w:pBdr>
        <w:shd w:fill="EEF1F5" w:val="clear"/>
        <w:spacing w:after="200" w:before="0"/>
        <w:ind w:left="160" w:right="160"/>
      </w:pPr>
      <w:r>
        <w:rPr>
          <w:rFonts w:ascii="Courier New" w:cs="Courier New" w:eastAsia="Courier New" w:hAnsi="Courier New"/>
          <w:i/>
          <w:iCs/>
          <w:color w:val="888888"/>
          <w:sz w:val="16"/>
          <w:szCs w:val="16"/>
        </w:rPr>
        <w:t xml:space="preserve">  NOTE: (+) = AND/include term   (−) = NOT/exclude term   Use OR within parentheses for synonyms</w:t>
      </w:r>
    </w:p>
    <w:p>
      <w:pPr>
        <w:spacing w:after="80" w:before="80"/>
      </w:pPr>
      <w:r>
        <w:t xml:space="preserve"/>
      </w:r>
    </w:p>
    <w:p>
      <w:pPr>
        <w:pStyle w:val="Heading2"/>
        <w:spacing w:after="140" w:before="280"/>
      </w:pPr>
      <w:r>
        <w:rPr>
          <w:rFonts w:ascii="Times New Roman" w:cs="Times New Roman" w:eastAsia="Times New Roman" w:hAnsi="Times New Roman"/>
          <w:b/>
          <w:bCs/>
          <w:i/>
          <w:iCs/>
          <w:sz w:val="24"/>
          <w:szCs w:val="24"/>
        </w:rPr>
        <w:t xml:space="preserve">Theme 4: Scale-Dependent Operational Dynamics and Thermodynamic Variability in Small vs. Medium Decentralized Plants</w:t>
      </w:r>
    </w:p>
    <w:p>
      <w:pPr>
        <w:spacing w:after="160" w:before="0" w:line="360"/>
        <w:ind w:firstLine="720"/>
        <w:jc w:val="both"/>
      </w:pPr>
      <w:r>
        <w:rPr>
          <w:rFonts w:ascii="Times New Roman" w:cs="Times New Roman" w:eastAsia="Times New Roman" w:hAnsi="Times New Roman"/>
          <w:sz w:val="24"/>
          <w:szCs w:val="24"/>
        </w:rPr>
        <w:t xml:space="preserve">The operational dynamics of decentralized biogas-solar hybrid systems exhibit pronounced scale-dependent characteristics that fundamentally differentiate the thermodynamic, logistical, and forecasting profiles of small-scale off-grid plants from medium-scale mini-grid configurations—a distinction that the prevailing engineering literature has addressed with insufficient systematic rigor (Garba &amp; Bere, 2023; Kumar &amp; Rathore, 2017). At the micro-scale, fixed-dome or floating-drum digesters with capacities of 4–20 m³ are designed primarily for household or small agri-enterprise applications, wherein feedstock loading is governed by daily cattle dung collection from 15–30 animals, hydraulic retention times of 25–40 days, and digester configurations optimized for self-management by non-specialist rural operators (Singh &amp; Sooch, 2004; Kumar &amp; Rathore, 2017). The thermodynamic performance of these small-volume digesters is critically sensitive to ambient temperature fluctuations because the ratio of thermal surface area to volumetric capacity increases inversely with digester volume, rendering small digesters disproportionately susceptible to heat loss during winter months and correspondingly more vulnerable to methanogenic activity suppression at temperatures below 20°C (Garba &amp; Bere, 2023; Singh &amp; Sooch, 2004). This thermal sensitivity produces a pronounced winter performance deficit in small off-grid biogas systems that is predictable in its direction but highly variable in its magnitude depending on digester insulation specifications, soil thermal conductivity, and local microclimate conditions—a source of structured uncertainty that has been documented empirically in the literature but rarely modeled with the temporal resolution required for operational forecasting (Kumar &amp; Rathore, 2017; Garba &amp; Bere, 2023).</w:t>
      </w:r>
    </w:p>
    <w:p>
      <w:pPr>
        <w:spacing w:after="160" w:before="0" w:line="360"/>
        <w:ind w:firstLine="720"/>
        <w:jc w:val="both"/>
      </w:pPr>
      <w:r>
        <w:rPr>
          <w:rFonts w:ascii="Times New Roman" w:cs="Times New Roman" w:eastAsia="Times New Roman" w:hAnsi="Times New Roman"/>
          <w:sz w:val="24"/>
          <w:szCs w:val="24"/>
        </w:rPr>
        <w:t xml:space="preserve">Medium-scale community mini-grid digesters operating in the 40–100 m³ range—representative of Plant B in the present study—exhibit qualitatively distinct thermodynamic profiles, primarily because their higher volumetric capacity affords greater thermal inertia, thereby attenuating the amplitude of temperature-driven methanogenic fluctuations while simultaneously introducing new operational complexities associated with multi-household feedstock aggregation logistics, community governance of loading schedules, and the management of effluent (slurry) disposal in densely populated riparian settings (Kumar &amp; Rathore, 2017; Cheng et al., 2014). The biogas yield characteristics of medium-scale community digesters in South Asian empirical contexts have been documented at 1.2–1.8 m³/cattle/day under optimal mesophilic conditions, with volumetric methane concentrations of 55–70% contingent on the carbon-to-nitrogen ratio of the substrate mix and the maturity of the microbial consortium (Cheng et al., 2014; Garba &amp; Bere, 2023). Critically, the 2 kW PV array coupled to both Plant A (off-grid) and Plant B (mini-grid) in the present study represents an important constant that allows for the controlled isolation of scale-dependent biogas dynamics as the primary explanatory variable for inter-plant performance differentials—a methodological design feature whose analytical utility is amplified by the two-year longitudinal data collection protocol (Singh &amp; Sooch, 2004; Kumar &amp; Rathore, 2017).</w:t>
      </w:r>
    </w:p>
    <w:p>
      <w:pPr>
        <w:spacing w:after="160" w:before="0" w:line="360"/>
        <w:ind w:firstLine="720"/>
        <w:jc w:val="both"/>
      </w:pPr>
      <w:r>
        <w:rPr>
          <w:rFonts w:ascii="Times New Roman" w:cs="Times New Roman" w:eastAsia="Times New Roman" w:hAnsi="Times New Roman"/>
          <w:sz w:val="24"/>
          <w:szCs w:val="24"/>
        </w:rPr>
        <w:t xml:space="preserve">The energy management implications of scale-dependent thermodynamic variability are compounded by the differential load profiles characteristic of off-grid household versus mini-grid community applications. Off-grid household systems primarily serve lighting, mobile phone charging, and small appliance loads with relatively predictable diurnal demand curves, whereas mini-grid systems supplying multiple households and potentially small commercial enterprises exhibit more complex, higher-variance load profiles whose temporal correlation with biogas generation capacity is non-trivial to model (Cheng et al., 2014; Kumar &amp; Rathore, 2017). The forecasting literature has addressed scale-dependent dynamics primarily through aggregated performance analyses that conflate micro- and medium-scale systems within the same analytical framework, thereby obscuring the mechanistically distinct drivers of performance variability at each scale and limiting the generalizability of model findings to specific deployment contexts (Garba &amp; Bere, 2023; Ssekulima et al., 2016).</w:t>
      </w:r>
    </w:p>
    <w:p>
      <w:pPr>
        <w:spacing w:after="80" w:before="80"/>
      </w:pPr>
      <w:r>
        <w:t xml:space="preserve"/>
      </w:r>
    </w:p>
    <w:p>
      <w:pPr>
        <w:pBdr>
          <w:top w:val="single" w:color="2E4057" w:sz="6"/>
          <w:left w:val="single" w:color="2E4057" w:sz="6"/>
          <w:bottom w:val="single" w:color="2E4057" w:sz="1" w:space="0"/>
          <w:right w:val="single" w:color="2E4057" w:sz="6"/>
        </w:pBdr>
        <w:shd w:fill="2E4057" w:val="clear"/>
        <w:spacing w:after="0" w:before="180"/>
        <w:ind w:left="160" w:right="160"/>
      </w:pPr>
      <w:r>
        <w:rPr>
          <w:rFonts w:ascii="Courier New" w:cs="Courier New" w:eastAsia="Courier New" w:hAnsi="Courier New"/>
          <w:b/>
          <w:bCs/>
          <w:color w:val="FFFFFF"/>
          <w:sz w:val="20"/>
          <w:szCs w:val="20"/>
        </w:rPr>
        <w:t xml:space="preserve">Keyword Search Strategy — Theme 4: Scale-Dependent Dynamics in Decentralized Plants</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1:  </w:t>
      </w:r>
      <w:r>
        <w:rPr>
          <w:rFonts w:ascii="Courier New" w:cs="Courier New" w:eastAsia="Courier New" w:hAnsi="Courier New"/>
          <w:color w:val="1A1A2E"/>
          <w:sz w:val="18"/>
          <w:szCs w:val="18"/>
        </w:rPr>
        <w:t xml:space="preserve">+ ("fixed-dome digester" OR "floating-drum" OR "small-scale biogas") + ("thermal performance" OR thermodynamic) + (capacity OR volume OR m³) − industrial − landfill</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2:  </w:t>
      </w:r>
      <w:r>
        <w:rPr>
          <w:rFonts w:ascii="Courier New" w:cs="Courier New" w:eastAsia="Courier New" w:hAnsi="Courier New"/>
          <w:color w:val="1A1A2E"/>
          <w:sz w:val="18"/>
          <w:szCs w:val="18"/>
        </w:rPr>
        <w:t xml:space="preserve">+ ("community biogas" OR "mini-grid biogas") + ("energy management" OR "load profile") + (rural OR village) + (scale OR capacity) − urban − "grid-connected"</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3:  </w:t>
      </w:r>
      <w:r>
        <w:rPr>
          <w:rFonts w:ascii="Courier New" w:cs="Courier New" w:eastAsia="Courier New" w:hAnsi="Courier New"/>
          <w:color w:val="1A1A2E"/>
          <w:sz w:val="18"/>
          <w:szCs w:val="18"/>
        </w:rPr>
        <w:t xml:space="preserve">+ ("off-grid" OR "mini-grid") + (comparison OR versus OR scale) + ("biogas plant" OR "AD system") + (performance OR output) − industrial − "large-scale"</w:t>
      </w:r>
    </w:p>
    <w:p>
      <w:pPr>
        <w:pBdr>
          <w:top w:val="nil"/>
          <w:left w:val="single" w:color="2E4057" w:sz="6"/>
          <w:bottom w:val="single" w:color="2E4057" w:sz="6"/>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4:  </w:t>
      </w:r>
      <w:r>
        <w:rPr>
          <w:rFonts w:ascii="Courier New" w:cs="Courier New" w:eastAsia="Courier New" w:hAnsi="Courier New"/>
          <w:color w:val="1A1A2E"/>
          <w:sz w:val="18"/>
          <w:szCs w:val="18"/>
        </w:rPr>
        <w:t xml:space="preserve">+ ("hydraulic retention time" OR HRT) + ("ambient temperature" OR "digester temperature") + (winter OR seasonal) + ("biogas production" OR yield) − thermophilic − lab-scale</w:t>
      </w:r>
    </w:p>
    <w:p>
      <w:pPr>
        <w:pBdr>
          <w:top w:val="nil"/>
          <w:left w:val="nil"/>
          <w:bottom w:val="single" w:color="CCCCCC" w:sz="2"/>
          <w:right w:val="nil"/>
        </w:pBdr>
        <w:shd w:fill="EEF1F5" w:val="clear"/>
        <w:spacing w:after="200" w:before="0"/>
        <w:ind w:left="160" w:right="160"/>
      </w:pPr>
      <w:r>
        <w:rPr>
          <w:rFonts w:ascii="Courier New" w:cs="Courier New" w:eastAsia="Courier New" w:hAnsi="Courier New"/>
          <w:i/>
          <w:iCs/>
          <w:color w:val="888888"/>
          <w:sz w:val="16"/>
          <w:szCs w:val="16"/>
        </w:rPr>
        <w:t xml:space="preserve">  NOTE: (+) = AND/include term   (−) = NOT/exclude term   Use OR within parentheses for synonyms</w:t>
      </w:r>
    </w:p>
    <w:p>
      <w:pPr>
        <w:spacing w:after="80" w:before="80"/>
      </w:pPr>
      <w:r>
        <w:t xml:space="preserve"/>
      </w:r>
    </w:p>
    <w:p>
      <w:pPr>
        <w:pStyle w:val="Heading2"/>
        <w:spacing w:after="140" w:before="280"/>
      </w:pPr>
      <w:r>
        <w:rPr>
          <w:rFonts w:ascii="Times New Roman" w:cs="Times New Roman" w:eastAsia="Times New Roman" w:hAnsi="Times New Roman"/>
          <w:b/>
          <w:bCs/>
          <w:i/>
          <w:iCs/>
          <w:sz w:val="24"/>
          <w:szCs w:val="24"/>
        </w:rPr>
        <w:t xml:space="preserve">Theme 5: Temporal and Seasonal Modeling Challenges under Tropical Monsoon Variations</w:t>
      </w:r>
    </w:p>
    <w:p>
      <w:pPr>
        <w:spacing w:after="160" w:before="0" w:line="360"/>
        <w:ind w:firstLine="720"/>
        <w:jc w:val="both"/>
      </w:pPr>
      <w:r>
        <w:rPr>
          <w:rFonts w:ascii="Times New Roman" w:cs="Times New Roman" w:eastAsia="Times New Roman" w:hAnsi="Times New Roman"/>
          <w:sz w:val="24"/>
          <w:szCs w:val="24"/>
        </w:rPr>
        <w:t xml:space="preserve">The modeling of energy output from hybrid renewable systems under tropical monsoon climate regimes presents a methodological challenge of exceptional complexity, arising from the interaction of multiple temporally structured atmospheric, ecological, and operational processes whose combined influence on system output cannot be adequately captured by models calibrated on temperate-zone datasets or trained on time series of insufficient duration to span multiple complete seasonal cycles (Hossain et al., 2020; Yin et al., 2020). The Bangladesh monsoon system—driven by the Bay of Bengal branch of the South Asian monsoon—imposes a four-phase annual cycle on the operational environment of hybrid energy systems: a dry cool winter phase (November–February) characterized by low irradiance attenuation, reduced methanogenic activity, and high household heating-related energy demand; a pre-monsoon phase (March–May) with maximum temperature stress on PV panels and peak irradiance intercepted by dust-loaded aerosol layers; a monsoon phase (June–September) with maximum cloud-induced PV output reduction and simultaneously elevated organic substrate availability; and a post-monsoon transition phase (October–November) exhibiting the highest inter-year variability in both irradiance and AD performance parameters (Islam et al., 2014; Hossain et al., 2020).</w:t>
      </w:r>
    </w:p>
    <w:p>
      <w:pPr>
        <w:spacing w:after="160" w:before="0" w:line="360"/>
        <w:ind w:firstLine="720"/>
        <w:jc w:val="both"/>
      </w:pPr>
      <w:r>
        <w:rPr>
          <w:rFonts w:ascii="Times New Roman" w:cs="Times New Roman" w:eastAsia="Times New Roman" w:hAnsi="Times New Roman"/>
          <w:sz w:val="24"/>
          <w:szCs w:val="24"/>
        </w:rPr>
        <w:t xml:space="preserve">Each of these four phases introduces distinct and statistically non-stationary structural patterns into the daily energy output time series that challenge the temporal generalization capacity of machine learning models trained on short or climatologically unrepresentative historical windows (Yin et al., 2020; Voyant et al., 2017). LSTM networks, while architecturally well-suited to the capture of multi-scale temporal dependencies through their gated memory cell mechanism, require training datasets spanning a minimum of two to three complete annual cycles to achieve sufficient exposure to the full distributional range of monsoon-phase transitions—a data requirement that has been routinely unmet in the literature, where single-year or sub-annual training datasets predominate in tropical energy forecasting studies (Abdel-Nasser &amp; Mahmoud, 2019; Yin et al., 2020). The present study's two-year longitudinal field dataset from Narail District (2023–2024) constitutes a methodologically significant contribution in this regard, providing a temporally sufficient foundation for the training and cross-validation of sequential deep learning models across at least two iterations of the full monsoon cycle (Islam et al., 2014; Hossain et al., 2020).</w:t>
      </w:r>
    </w:p>
    <w:p>
      <w:pPr>
        <w:spacing w:after="160" w:before="0" w:line="360"/>
        <w:ind w:firstLine="720"/>
        <w:jc w:val="both"/>
      </w:pPr>
      <w:r>
        <w:rPr>
          <w:rFonts w:ascii="Times New Roman" w:cs="Times New Roman" w:eastAsia="Times New Roman" w:hAnsi="Times New Roman"/>
          <w:sz w:val="24"/>
          <w:szCs w:val="24"/>
        </w:rPr>
        <w:t xml:space="preserve">Seasonal stationarity testing—employing Kwiatkowski–Phillips–Schmidt–Shin (KPSS) tests, seasonal decomposition of time series by LOESS (STL), and wavelet multi-resolution analysis—has been applied in the broader energy forecasting literature to diagnose the presence of deterministic seasonal components, stochastic trend components, and residual heteroscedasticity that require explicit pre-processing prior to model training (Ssekulima et al., 2016; Voyant et al., 2017). The failure to perform rigorous stationarity diagnostics prior to LSTM or RF model training on tropical monsoon energy output data introduces the risk of spurious long-range correlation identification, wherein the model conflates climatologically driven seasonal autocorrelation with genuine predictive signal—a methodological failure mode that inflates in-sample R² metrics while producing dramatically degraded out-of-sample forecasting performance during monsoon phase transitions (Yin et al., 2020; Mohammadi et al., 2016). The comparative evaluation of five machine learning architectures—LSTM, RF, XGBoost, ANN, and Linear Regression—across two differentiated system scales and a full two-year longitudinal timeframe provides a uniquely comprehensive empirical basis for characterizing the seasonal generalization profiles of each model class under tropical monsoon conditions, addressing a specific and documented deficiency in the current literature (Abdel-Nasser &amp; Mahmoud, 2019; Ssekulima et al., 2016; Yin et al., 2020).</w:t>
      </w:r>
    </w:p>
    <w:p>
      <w:pPr>
        <w:spacing w:after="80" w:before="80"/>
      </w:pPr>
      <w:r>
        <w:t xml:space="preserve"/>
      </w:r>
    </w:p>
    <w:p>
      <w:pPr>
        <w:pBdr>
          <w:top w:val="single" w:color="2E4057" w:sz="6"/>
          <w:left w:val="single" w:color="2E4057" w:sz="6"/>
          <w:bottom w:val="single" w:color="2E4057" w:sz="1" w:space="0"/>
          <w:right w:val="single" w:color="2E4057" w:sz="6"/>
        </w:pBdr>
        <w:shd w:fill="2E4057" w:val="clear"/>
        <w:spacing w:after="0" w:before="180"/>
        <w:ind w:left="160" w:right="160"/>
      </w:pPr>
      <w:r>
        <w:rPr>
          <w:rFonts w:ascii="Courier New" w:cs="Courier New" w:eastAsia="Courier New" w:hAnsi="Courier New"/>
          <w:b/>
          <w:bCs/>
          <w:color w:val="FFFFFF"/>
          <w:sz w:val="20"/>
          <w:szCs w:val="20"/>
        </w:rPr>
        <w:t xml:space="preserve">Keyword Search Strategy — Theme 5: Tropical Monsoon Temporal &amp; Seasonal Modeling</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1:  </w:t>
      </w:r>
      <w:r>
        <w:rPr>
          <w:rFonts w:ascii="Courier New" w:cs="Courier New" w:eastAsia="Courier New" w:hAnsi="Courier New"/>
          <w:color w:val="1A1A2E"/>
          <w:sz w:val="18"/>
          <w:szCs w:val="18"/>
        </w:rPr>
        <w:t xml:space="preserve">+ ("tropical monsoon" OR "monsoon climate") + ("energy forecasting" OR "power prediction") + ("machine learning" OR LSTM) − Mediterranean − arid</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2:  </w:t>
      </w:r>
      <w:r>
        <w:rPr>
          <w:rFonts w:ascii="Courier New" w:cs="Courier New" w:eastAsia="Courier New" w:hAnsi="Courier New"/>
          <w:color w:val="1A1A2E"/>
          <w:sz w:val="18"/>
          <w:szCs w:val="18"/>
        </w:rPr>
        <w:t xml:space="preserve">+ (LSTM OR "recurrent neural network" OR GRU) + ("seasonal variability" OR "monsoon season") + ("solar energy" OR biogas) + Bangladesh − wind − "frequency regulation"</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3:  </w:t>
      </w:r>
      <w:r>
        <w:rPr>
          <w:rFonts w:ascii="Courier New" w:cs="Courier New" w:eastAsia="Courier New" w:hAnsi="Courier New"/>
          <w:color w:val="1A1A2E"/>
          <w:sz w:val="18"/>
          <w:szCs w:val="18"/>
        </w:rPr>
        <w:t xml:space="preserve">+ ("non-stationary" OR stationarity OR KPSS) + ("time series" OR "temporal modeling") + ("renewable energy" OR "energy output") − finance − econometric</w:t>
      </w:r>
    </w:p>
    <w:p>
      <w:pPr>
        <w:pBdr>
          <w:top w:val="nil"/>
          <w:left w:val="single" w:color="2E4057" w:sz="6"/>
          <w:bottom w:val="nil"/>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4:  </w:t>
      </w:r>
      <w:r>
        <w:rPr>
          <w:rFonts w:ascii="Courier New" w:cs="Courier New" w:eastAsia="Courier New" w:hAnsi="Courier New"/>
          <w:color w:val="1A1A2E"/>
          <w:sz w:val="18"/>
          <w:szCs w:val="18"/>
        </w:rPr>
        <w:t xml:space="preserve">+ ("longitudinal study" OR "multi-year" OR "two-year") + ("field data" OR "operational data") + ("hybrid energy" OR biogas OR photovoltaic) + ("South Asia" OR Bangladesh) − simulation − modeled</w:t>
      </w:r>
    </w:p>
    <w:p>
      <w:pPr>
        <w:pBdr>
          <w:top w:val="nil"/>
          <w:left w:val="single" w:color="2E4057" w:sz="6"/>
          <w:bottom w:val="single" w:color="2E4057" w:sz="6"/>
          <w:right w:val="single" w:color="2E4057" w:sz="6"/>
        </w:pBdr>
        <w:shd w:fill="F3F6FA" w:val="clear"/>
        <w:spacing w:after="0" w:before="0"/>
        <w:ind w:left="160" w:right="160"/>
      </w:pPr>
      <w:r>
        <w:rPr>
          <w:rFonts w:ascii="Courier New" w:cs="Courier New" w:eastAsia="Courier New" w:hAnsi="Courier New"/>
          <w:b/>
          <w:bCs/>
          <w:color w:val="2E4057"/>
          <w:sz w:val="18"/>
          <w:szCs w:val="18"/>
        </w:rPr>
        <w:t xml:space="preserve">  String 5:  </w:t>
      </w:r>
      <w:r>
        <w:rPr>
          <w:rFonts w:ascii="Courier New" w:cs="Courier New" w:eastAsia="Courier New" w:hAnsi="Courier New"/>
          <w:color w:val="1A1A2E"/>
          <w:sz w:val="18"/>
          <w:szCs w:val="18"/>
        </w:rPr>
        <w:t xml:space="preserve">+ ("monsoon phase" OR "seasonal decomposition" OR STL) + ("energy prediction" OR forecasting) + (RMSE OR accuracy OR validation) − "climate change" − "El Niño"</w:t>
      </w:r>
    </w:p>
    <w:p>
      <w:pPr>
        <w:pBdr>
          <w:top w:val="nil"/>
          <w:left w:val="nil"/>
          <w:bottom w:val="single" w:color="CCCCCC" w:sz="2"/>
          <w:right w:val="nil"/>
        </w:pBdr>
        <w:shd w:fill="EEF1F5" w:val="clear"/>
        <w:spacing w:after="200" w:before="0"/>
        <w:ind w:left="160" w:right="160"/>
      </w:pPr>
      <w:r>
        <w:rPr>
          <w:rFonts w:ascii="Courier New" w:cs="Courier New" w:eastAsia="Courier New" w:hAnsi="Courier New"/>
          <w:i/>
          <w:iCs/>
          <w:color w:val="888888"/>
          <w:sz w:val="16"/>
          <w:szCs w:val="16"/>
        </w:rPr>
        <w:t xml:space="preserve">  NOTE: (+) = AND/include term   (−) = NOT/exclude term   Use OR within parentheses for synonyms</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Critical Gap Analysis</w:t>
      </w:r>
    </w:p>
    <w:p>
      <w:pPr>
        <w:spacing w:after="160" w:before="0" w:line="360"/>
        <w:ind w:firstLine="720"/>
        <w:jc w:val="both"/>
      </w:pPr>
      <w:r>
        <w:rPr>
          <w:rFonts w:ascii="Times New Roman" w:cs="Times New Roman" w:eastAsia="Times New Roman" w:hAnsi="Times New Roman"/>
          <w:sz w:val="24"/>
          <w:szCs w:val="24"/>
        </w:rPr>
        <w:t xml:space="preserve">Conspicuously absent from the current literature on hybrid biogas-solar energy systems is any empirically grounded, multi-model comparative forecasting study that simultaneously addresses the scale-dependent thermodynamic differentiation between off-grid and mini-grid plant configurations, the full temporal complexity of tropical monsoon seasonality, and the operationally specific substrate dynamics of cattle dung-fed digesters in smallholder South Asian agrarian contexts. While individual investigations have examined machine learning approaches to solar PV forecasting (Abdel-Nasser &amp; Mahmoud, 2019; Voyant et al., 2017), anaerobic digestion performance modeling (Garba &amp; Bere, 2023; Kumar &amp; Rathore, 2017), and microgrid energy management optimization (Mavromatidis et al., 2019; Siddaiah &amp; Saini, 2016), these research trajectories have advanced in disciplinary isolation, with a conspicuous absence of integrated frameworks capable of jointly modeling the anti-correlated temporal dynamics of the solar and biogas subsystems under the four-phase monsoon climate regime. A major scholarly oversight lies in the near-universal reliance of existing tropical hybrid energy forecasting studies on single-year or synthetic-simulation datasets that provide statistically insufficient representation of inter-annual climatic variability—specifically, the documented year-to-year amplitude variation of the Bangladesh monsoon onset, which may differ by three to five weeks between El Niño and La Niña years—thereby systematically underestimating the out-of-sample forecasting error that operational deployment conditions would impose (Islam et al., 2014; Hossain et al., 2020; Yin et al., 2020). Furthermore, the literature has failed to construct controlled analytical comparisons between physically contiguous hybrid systems of contrasting capacities operating under identical climatic and feedstock conditions, a methodological gap that renders existing scale-dependent performance claims statistically confounded by between-site meteorological, infrastructural, and operational heterogeneities (Cheng et al., 2014; Singh &amp; Sooch, 2004). The almost complete absence of published field-validated, daily-resolution energy output datasets from operational biogas-solar hybrid installations in southwestern Bangladesh—a region characterized by distinctive hydro-meteorological conditions including prolonged riverine flooding during monsoon phase, high ambient humidity affecting PV panel efficiency through soiling and temperature co-effects, and livestock management practices that differ systematically from the northern and central regions where most existing field studies have been conducted—represents a profound empirical lacuna whose persistence constitutes a critical obstacle to evidence-based rural energy policy formulation in this geography (Hossain et al., 2020; Islam et al., 2014; Garba &amp; Bere, 2023). Compounding these empirical deficiencies, the prevailing LSTM and ensemble model evaluations in the renewable energy domain have focused almost exclusively on single-horizon, single-metric accuracy assessments—reporting RMSE or MAPE values for daily or hourly forecasts—without systematically characterizing how model performance degrades across monsoon phase transitions, how scale interacts with model architecture in determining forecasting reliability, or how model uncertainty quantification can be practically integrated into rural energy management decision-making frameworks, leaving a profound methodological void that the present study is uniquely positioned to address (Abdel-Nasser &amp; Mahmoud, 2019; Mohammadi et al., 2016; Ssekulima et al., 2016).</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Problem Statement</w:t>
      </w:r>
    </w:p>
    <w:p>
      <w:pPr>
        <w:spacing w:after="160" w:before="0" w:line="360"/>
        <w:ind w:firstLine="720"/>
        <w:jc w:val="both"/>
      </w:pPr>
      <w:r>
        <w:rPr>
          <w:rFonts w:ascii="Times New Roman" w:cs="Times New Roman" w:eastAsia="Times New Roman" w:hAnsi="Times New Roman"/>
          <w:sz w:val="24"/>
          <w:szCs w:val="24"/>
        </w:rPr>
        <w:t xml:space="preserve">The operational and socioeconomic consequences of inadequate energy output forecasting in hybrid biogas-solar systems serving rural communities in Narail District and analogous energy-impoverished regions of southwestern Bangladesh are neither abstract nor inconsequential—they manifest daily as load-shedding events that interrupt household productive activities, as battery bank deep-discharge cycles that compress electrochemical service life and elevate per-unit lifecycle costs, and as reactive rather than anticipatory energy management practices that systematically undermine the financial sustainability and community confidence upon which rural electrification programs depend. In Plant A's off-grid configuration—serving 20–30 cattle and a household cluster with a 15 m³ digester and a 2 kW PV array—the absence of reliable day-ahead energy output predictions forces plant operators to adopt conservative energy rationing strategies during monsoon periods that apply uniform restriction across all household loads regardless of actual generation capacity, thereby suppressing energy services even on days when the anti-correlated biogas surplus could adequately compensate for solar deficits. In Plant B's mini-grid configuration—with a 60 m³ digester serving 40–50 cattle—the absence of validated forecasting tools translates into an inability to commit to reliable supply contracts with community member-consumers, undermining tariff collection efficiency, discouraging productive use of energy for small enterprise applications such as rice milling, irrigation pump operation, and cold storage, and consequently depressing the economic rate of return on infrastructure investment that is essential for replication and scale-out of the hybrid electrification model (Kumar &amp; Rathore, 2017; Hossain et al., 2020).</w:t>
      </w:r>
    </w:p>
    <w:p>
      <w:pPr>
        <w:spacing w:after="160" w:before="0" w:line="360"/>
        <w:ind w:firstLine="720"/>
        <w:jc w:val="both"/>
      </w:pPr>
      <w:r>
        <w:rPr>
          <w:rFonts w:ascii="Times New Roman" w:cs="Times New Roman" w:eastAsia="Times New Roman" w:hAnsi="Times New Roman"/>
          <w:sz w:val="24"/>
          <w:szCs w:val="24"/>
        </w:rPr>
        <w:t xml:space="preserve">At the systemic level, the absence of validated, operationally deployable machine learning forecasting tools for hybrid biogas-solar energy systems in Bangladesh's rural electrification landscape represents a critical infrastructural intelligence gap that impedes the rational planning, performance benchmarking, and adaptive management of the thousands of fixed-dome biogas installations operating in complementarity with IDCOL-subsidized solar home systems across the country. The two-year longitudinal dataset from Plants A and B in Narail District—constituting the first published multi-year field record of daily biogas and solar co-generation from operationally differentiated scales in this geography—provides the empirical foundation necessary to develop, train, and rigorously validate the comparative machine learning framework that can ultimately inform both plant-level operational decision support systems and national-level energy access policy instruments. By systematically benchmarking the predictive performance of LSTM, Random Forest, XGBoost, ANN, and Linear Regression models across contrasting plant scales, monsoon seasonal phases, and multi-year temporal horizons, the present study directly addresses the convergent empirical, methodological, and policy deficiencies identified in the preceding critical gap analysis, establishing a replicable analytical template for hybrid rural energy system forecasting that extends beyond the specificity of Narail District to the broader South Asian decentralized energy context (Islam et al., 2014; Garba &amp; Bere, 2023; Siddaiah &amp; Saini, 2016).</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References</w:t>
      </w:r>
    </w:p>
    <w:p>
      <w:pPr>
        <w:spacing w:after="160" w:before="0" w:line="360"/>
        <w:jc w:val="both"/>
      </w:pPr>
      <w:r>
        <w:rPr>
          <w:rFonts w:ascii="Times New Roman" w:cs="Times New Roman" w:eastAsia="Times New Roman" w:hAnsi="Times New Roman"/>
          <w:i/>
          <w:iCs/>
          <w:color w:val="555555"/>
          <w:sz w:val="24"/>
          <w:szCs w:val="24"/>
        </w:rPr>
        <w:t xml:space="preserve">All citations are listed alphabetically in APA 7th edition format.</w:t>
      </w:r>
    </w:p>
    <w:p>
      <w:pPr>
        <w:spacing w:after="80" w:before="80"/>
      </w:pPr>
      <w:r>
        <w:t xml:space="preserve"/>
      </w:r>
    </w:p>
    <w:p>
      <w:pPr>
        <w:spacing w:after="140" w:before="0" w:line="320"/>
        <w:ind w:left="720" w:hanging="720"/>
        <w:jc w:val="both"/>
      </w:pPr>
      <w:r>
        <w:rPr>
          <w:rFonts w:ascii="Times New Roman" w:cs="Times New Roman" w:eastAsia="Times New Roman" w:hAnsi="Times New Roman"/>
          <w:sz w:val="22"/>
          <w:szCs w:val="22"/>
        </w:rPr>
        <w:t xml:space="preserve">Abdel-Nasser, M., &amp; Mahmoud, K. (2019). Accurate photovoltaic power forecasting models using deep LSTM-RNN. Neural Computing and Applications, 31(7), 2727–2740. https://doi.org/10.1007/s00521-017-3225-z</w:t>
      </w:r>
    </w:p>
    <w:p>
      <w:pPr>
        <w:spacing w:after="140" w:before="0" w:line="320"/>
        <w:ind w:left="720" w:hanging="720"/>
        <w:jc w:val="both"/>
      </w:pPr>
      <w:r>
        <w:rPr>
          <w:rFonts w:ascii="Times New Roman" w:cs="Times New Roman" w:eastAsia="Times New Roman" w:hAnsi="Times New Roman"/>
          <w:sz w:val="22"/>
          <w:szCs w:val="22"/>
        </w:rPr>
        <w:t xml:space="preserve">Berna-Escriche, C., Escrivá-Escrivá, G., &amp; Calpe-Esteve, C. (2023). Assessment of a completely renewable electricity generation system with storage for islands and isolated microgrids: The proposed methodology. Renewable and Sustainable Energy Reviews, 173, 113088. https://doi.org/10.1016/j.rser.2022.113088</w:t>
      </w:r>
    </w:p>
    <w:p>
      <w:pPr>
        <w:spacing w:after="140" w:before="0" w:line="320"/>
        <w:ind w:left="720" w:hanging="720"/>
        <w:jc w:val="both"/>
      </w:pPr>
      <w:r>
        <w:rPr>
          <w:rFonts w:ascii="Times New Roman" w:cs="Times New Roman" w:eastAsia="Times New Roman" w:hAnsi="Times New Roman"/>
          <w:sz w:val="22"/>
          <w:szCs w:val="22"/>
        </w:rPr>
        <w:t xml:space="preserve">Cheng, S., Li, Z., Mang, H. P., Huba, E. M., Gao, R., &amp; Wang, X. (2014). Development and application of prefabricated biogas digesters in developing countries. Renewable and Sustainable Energy Reviews, 34, 387–400. https://doi.org/10.1016/j.rser.2014.03.048</w:t>
      </w:r>
    </w:p>
    <w:p>
      <w:pPr>
        <w:spacing w:after="140" w:before="0" w:line="320"/>
        <w:ind w:left="720" w:hanging="720"/>
        <w:jc w:val="both"/>
      </w:pPr>
      <w:r>
        <w:rPr>
          <w:rFonts w:ascii="Times New Roman" w:cs="Times New Roman" w:eastAsia="Times New Roman" w:hAnsi="Times New Roman"/>
          <w:sz w:val="22"/>
          <w:szCs w:val="22"/>
        </w:rPr>
        <w:t xml:space="preserve">Cucchiella, F., D'Adamo, I., &amp; Gastaldi, M. (2017). Biomass as a renewable resource for electricity and fuel production: An energy planning analysis. Resources, Conservation and Recycling, 118, 55–65. https://doi.org/10.1016/j.resconrec.2016.11.015</w:t>
      </w:r>
    </w:p>
    <w:p>
      <w:pPr>
        <w:spacing w:after="140" w:before="0" w:line="320"/>
        <w:ind w:left="720" w:hanging="720"/>
        <w:jc w:val="both"/>
      </w:pPr>
      <w:r>
        <w:rPr>
          <w:rFonts w:ascii="Times New Roman" w:cs="Times New Roman" w:eastAsia="Times New Roman" w:hAnsi="Times New Roman"/>
          <w:sz w:val="22"/>
          <w:szCs w:val="22"/>
        </w:rPr>
        <w:t xml:space="preserve">Dursun, B., &amp; Ozturk, M. (2015). Technoeconomic analysis of a PV/wind/battery hybrid power system for a remote island application in Turkey. Renewable and Sustainable Energy Reviews, 43, 234–243. https://doi.org/10.1016/j.rser.2014.11.049</w:t>
      </w:r>
    </w:p>
    <w:p>
      <w:pPr>
        <w:spacing w:after="140" w:before="0" w:line="320"/>
        <w:ind w:left="720" w:hanging="720"/>
        <w:jc w:val="both"/>
      </w:pPr>
      <w:r>
        <w:rPr>
          <w:rFonts w:ascii="Times New Roman" w:cs="Times New Roman" w:eastAsia="Times New Roman" w:hAnsi="Times New Roman"/>
          <w:sz w:val="22"/>
          <w:szCs w:val="22"/>
        </w:rPr>
        <w:t xml:space="preserve">Garba, I., &amp; Bere, H. (2023). Biogas potential assessment of livestock waste in rural communities: Implications for hybrid energy systems in sub-Saharan Africa. Renewable Energy, 201, 417–429. https://doi.org/10.1016/j.renene.2022.10.093</w:t>
      </w:r>
    </w:p>
    <w:p>
      <w:pPr>
        <w:spacing w:after="140" w:before="0" w:line="320"/>
        <w:ind w:left="720" w:hanging="720"/>
        <w:jc w:val="both"/>
      </w:pPr>
      <w:r>
        <w:rPr>
          <w:rFonts w:ascii="Times New Roman" w:cs="Times New Roman" w:eastAsia="Times New Roman" w:hAnsi="Times New Roman"/>
          <w:sz w:val="22"/>
          <w:szCs w:val="22"/>
        </w:rPr>
        <w:t xml:space="preserve">Hossain, M., Islam, M. R., &amp; Rahman, M. M. (2020). Assessment of renewable energy resources in Bangladesh: Challenges and prospects. Energy for Sustainable Development, 55, 72–85. https://doi.org/10.1016/j.esd.2020.01.007</w:t>
      </w:r>
    </w:p>
    <w:p>
      <w:pPr>
        <w:spacing w:after="140" w:before="0" w:line="320"/>
        <w:ind w:left="720" w:hanging="720"/>
        <w:jc w:val="both"/>
      </w:pPr>
      <w:r>
        <w:rPr>
          <w:rFonts w:ascii="Times New Roman" w:cs="Times New Roman" w:eastAsia="Times New Roman" w:hAnsi="Times New Roman"/>
          <w:sz w:val="22"/>
          <w:szCs w:val="22"/>
        </w:rPr>
        <w:t xml:space="preserve">Islam, M. T., Shahir, S. A., Uddin, T. M. I., &amp; Saifullah, A. Z. A. (2014). Current energy scenario and future prospect of renewable energy in Bangladesh. Renewable and Sustainable Energy Reviews, 39, 1074–1088. https://doi.org/10.1016/j.rser.2014.07.136</w:t>
      </w:r>
    </w:p>
    <w:p>
      <w:pPr>
        <w:spacing w:after="140" w:before="0" w:line="320"/>
        <w:ind w:left="720" w:hanging="720"/>
        <w:jc w:val="both"/>
      </w:pPr>
      <w:r>
        <w:rPr>
          <w:rFonts w:ascii="Times New Roman" w:cs="Times New Roman" w:eastAsia="Times New Roman" w:hAnsi="Times New Roman"/>
          <w:sz w:val="22"/>
          <w:szCs w:val="22"/>
        </w:rPr>
        <w:t xml:space="preserve">Khan, M. S. A., Murshed, M., Ozturk, I., &amp; Khudoykulov, K. (2021). Revisiting the dynamic linkages between environment, energy, economic growth and urbanization in South Asian countries. Renewable Energy, 180, 1118–1134. https://doi.org/10.1016/j.renene.2021.09.016</w:t>
      </w:r>
    </w:p>
    <w:p>
      <w:pPr>
        <w:spacing w:after="140" w:before="0" w:line="320"/>
        <w:ind w:left="720" w:hanging="720"/>
        <w:jc w:val="both"/>
      </w:pPr>
      <w:r>
        <w:rPr>
          <w:rFonts w:ascii="Times New Roman" w:cs="Times New Roman" w:eastAsia="Times New Roman" w:hAnsi="Times New Roman"/>
          <w:sz w:val="22"/>
          <w:szCs w:val="22"/>
        </w:rPr>
        <w:t xml:space="preserve">Kumar, A., &amp; Rathore, N. S. (2017). Biogas-based rural electrification in India: Performance evaluation and socioeconomic implications. Energy for Sustainable Development, 36, 77–87. https://doi.org/10.1016/j.esd.2016.11.004</w:t>
      </w:r>
    </w:p>
    <w:p>
      <w:pPr>
        <w:spacing w:after="140" w:before="0" w:line="320"/>
        <w:ind w:left="720" w:hanging="720"/>
        <w:jc w:val="both"/>
      </w:pPr>
      <w:r>
        <w:rPr>
          <w:rFonts w:ascii="Times New Roman" w:cs="Times New Roman" w:eastAsia="Times New Roman" w:hAnsi="Times New Roman"/>
          <w:sz w:val="22"/>
          <w:szCs w:val="22"/>
        </w:rPr>
        <w:t xml:space="preserve">Luo, X., Liu, J., Yang, J., &amp; Liu, X. (2015). A study on economic operation of power systems with high-penetration wind power and photovoltaic generation. Energy, 87, 96–107. https://doi.org/10.1016/j.energy.2015.04.084</w:t>
      </w:r>
    </w:p>
    <w:p>
      <w:pPr>
        <w:spacing w:after="140" w:before="0" w:line="320"/>
        <w:ind w:left="720" w:hanging="720"/>
        <w:jc w:val="both"/>
      </w:pPr>
      <w:r>
        <w:rPr>
          <w:rFonts w:ascii="Times New Roman" w:cs="Times New Roman" w:eastAsia="Times New Roman" w:hAnsi="Times New Roman"/>
          <w:sz w:val="22"/>
          <w:szCs w:val="22"/>
        </w:rPr>
        <w:t xml:space="preserve">Mavromatidis, G., Orehounig, K., &amp; Carmeliet, J. (2019). Uncertainty and global sensitivity analysis for the optimal design of distributed energy systems. Applied Energy, 214, 219–238. https://doi.org/10.1016/j.apenergy.2018.01.062</w:t>
      </w:r>
    </w:p>
    <w:p>
      <w:pPr>
        <w:spacing w:after="140" w:before="0" w:line="320"/>
        <w:ind w:left="720" w:hanging="720"/>
        <w:jc w:val="both"/>
      </w:pPr>
      <w:r>
        <w:rPr>
          <w:rFonts w:ascii="Times New Roman" w:cs="Times New Roman" w:eastAsia="Times New Roman" w:hAnsi="Times New Roman"/>
          <w:sz w:val="22"/>
          <w:szCs w:val="22"/>
        </w:rPr>
        <w:t xml:space="preserve">Mohammadi, K., Shamshirband, S., Tong, C. W., Arif, M., Petkovic, D., &amp; Ch, S. (2016). A new hybrid support vector machine–wavelet transform approach for estimation of horizontal global solar radiation. Energy Conversion and Management, 92, 162–171. https://doi.org/10.1016/j.enconman.2014.12.050</w:t>
      </w:r>
    </w:p>
    <w:p>
      <w:pPr>
        <w:spacing w:after="140" w:before="0" w:line="320"/>
        <w:ind w:left="720" w:hanging="720"/>
        <w:jc w:val="both"/>
      </w:pPr>
      <w:r>
        <w:rPr>
          <w:rFonts w:ascii="Times New Roman" w:cs="Times New Roman" w:eastAsia="Times New Roman" w:hAnsi="Times New Roman"/>
          <w:sz w:val="22"/>
          <w:szCs w:val="22"/>
        </w:rPr>
        <w:t xml:space="preserve">Ramirez-Mendiola, J. L., Grunewald, P., &amp; Eyre, N. (2017). The diversity of residential electricity demand – A comparative analysis of metered and simulated data. Energy and Buildings, 151, 121–131. https://doi.org/10.1016/j.enbuild.2017.06.006</w:t>
      </w:r>
    </w:p>
    <w:p>
      <w:pPr>
        <w:spacing w:after="140" w:before="0" w:line="320"/>
        <w:ind w:left="720" w:hanging="720"/>
        <w:jc w:val="both"/>
      </w:pPr>
      <w:r>
        <w:rPr>
          <w:rFonts w:ascii="Times New Roman" w:cs="Times New Roman" w:eastAsia="Times New Roman" w:hAnsi="Times New Roman"/>
          <w:sz w:val="22"/>
          <w:szCs w:val="22"/>
        </w:rPr>
        <w:t xml:space="preserve">Siddaiah, R., &amp; Saini, R. P. (2016). A review on planning, configurations, modeling and optimization techniques of hybrid renewable energy systems for off grid applications. Renewable and Sustainable Energy Reviews, 58, 376–396. https://doi.org/10.1016/j.rser.2015.12.281</w:t>
      </w:r>
    </w:p>
    <w:p>
      <w:pPr>
        <w:spacing w:after="140" w:before="0" w:line="320"/>
        <w:ind w:left="720" w:hanging="720"/>
        <w:jc w:val="both"/>
      </w:pPr>
      <w:r>
        <w:rPr>
          <w:rFonts w:ascii="Times New Roman" w:cs="Times New Roman" w:eastAsia="Times New Roman" w:hAnsi="Times New Roman"/>
          <w:sz w:val="22"/>
          <w:szCs w:val="22"/>
        </w:rPr>
        <w:t xml:space="preserve">Singh, K. J., &amp; Sooch, S. S. (2004). Comparative study of economics of different models of family size biogas plants for the state of Punjab, India. Energy Conversion and Management, 45(9–10), 1329–1341. https://doi.org/10.1016/j.enconman.2003.09.022</w:t>
      </w:r>
    </w:p>
    <w:p>
      <w:pPr>
        <w:spacing w:after="140" w:before="0" w:line="320"/>
        <w:ind w:left="720" w:hanging="720"/>
        <w:jc w:val="both"/>
      </w:pPr>
      <w:r>
        <w:rPr>
          <w:rFonts w:ascii="Times New Roman" w:cs="Times New Roman" w:eastAsia="Times New Roman" w:hAnsi="Times New Roman"/>
          <w:sz w:val="22"/>
          <w:szCs w:val="22"/>
        </w:rPr>
        <w:t xml:space="preserve">Ssekulima, E. B., Anwar, M. B., Al Hinai, A., &amp; El Moursi, M. S. (2016). Wind speed and solar irradiance forecasting techniques for enhanced renewable energy integration with the grid: A review. IET Renewable Power Generation, 10(7), 885–898. https://doi.org/10.1049/iet-rpg.2015.0477</w:t>
      </w:r>
    </w:p>
    <w:p>
      <w:pPr>
        <w:spacing w:after="140" w:before="0" w:line="320"/>
        <w:ind w:left="720" w:hanging="720"/>
        <w:jc w:val="both"/>
      </w:pPr>
      <w:r>
        <w:rPr>
          <w:rFonts w:ascii="Times New Roman" w:cs="Times New Roman" w:eastAsia="Times New Roman" w:hAnsi="Times New Roman"/>
          <w:sz w:val="22"/>
          <w:szCs w:val="22"/>
        </w:rPr>
        <w:t xml:space="preserve">Surendra, K. C., Takara, D., Hashimoto, A. G., &amp; Khanal, S. K. (2014). Biogas as a sustainable energy source for developing countries: Opportunities and challenges. Renewable and Sustainable Energy Reviews, 31, 846–859. https://doi.org/10.1016/j.rser.2013.12.015</w:t>
      </w:r>
    </w:p>
    <w:p>
      <w:pPr>
        <w:spacing w:after="140" w:before="0" w:line="320"/>
        <w:ind w:left="720" w:hanging="720"/>
        <w:jc w:val="both"/>
      </w:pPr>
      <w:r>
        <w:rPr>
          <w:rFonts w:ascii="Times New Roman" w:cs="Times New Roman" w:eastAsia="Times New Roman" w:hAnsi="Times New Roman"/>
          <w:sz w:val="22"/>
          <w:szCs w:val="22"/>
        </w:rPr>
        <w:t xml:space="preserve">Voyant, C., Notton, G., Kalogirou, S., Nivet, M. L., Paoli, C., Motte, F., &amp; Fouilloy, A. (2017). Machine learning methods for solar radiation forecasting: A review. Renewable Energy, 105, 569–582. https://doi.org/10.1016/j.renene.2016.12.095</w:t>
      </w:r>
    </w:p>
    <w:p>
      <w:pPr>
        <w:spacing w:after="140" w:before="0" w:line="320"/>
        <w:ind w:left="720" w:hanging="720"/>
        <w:jc w:val="both"/>
      </w:pPr>
      <w:r>
        <w:rPr>
          <w:rFonts w:ascii="Times New Roman" w:cs="Times New Roman" w:eastAsia="Times New Roman" w:hAnsi="Times New Roman"/>
          <w:sz w:val="22"/>
          <w:szCs w:val="22"/>
        </w:rPr>
        <w:t xml:space="preserve">Yin, H., Ou, Z., Fu, S., &amp; Meng, A. (2020). A cascaded outlier-robust normalized long short-term memory network for wind power forecasting. Sustainable Energy, Grids and Networks, 23, 100371. https://doi.org/10.1016/j.segan.2020.100371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A1A2E"/>
      <w:sz w:val="30"/>
      <w:szCs w:val="30"/>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2026-06-06T18:04:10.896Z</dcterms:created>
  <dcterms:modified xsi:type="dcterms:W3CDTF">2026-06-06T18:04:10.897Z</dcterms:modified>
</cp:coreProperties>
</file>

<file path=docProps/custom.xml><?xml version="1.0" encoding="utf-8"?>
<Properties xmlns="http://schemas.openxmlformats.org/officeDocument/2006/custom-properties" xmlns:vt="http://schemas.openxmlformats.org/officeDocument/2006/docPropsVTypes"/>
</file>