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sz w:val="22"/>
          <w:szCs w:val="22"/>
        </w:rPr>
      </w:pPr>
      <w:r>
        <w:rPr>
          <w:rFonts w:eastAsia="Noto Sans CJK SC Regular" w:cs="FreeSans"/>
          <w:b/>
          <w:bCs/>
          <w:color w:val="00000A"/>
          <w:sz w:val="22"/>
          <w:szCs w:val="22"/>
          <w:lang w:val="en-US" w:eastAsia="zh-CN" w:bidi="hi-IN"/>
        </w:rPr>
        <w:t>Technical problems and</w:t>
      </w:r>
      <w:r>
        <w:rPr>
          <w:b/>
          <w:bCs/>
          <w:sz w:val="22"/>
          <w:szCs w:val="22"/>
        </w:rPr>
        <w:t xml:space="preserve"> solution </w:t>
      </w:r>
    </w:p>
    <w:p>
      <w:pPr>
        <w:pStyle w:val="Normal"/>
        <w:jc w:val="center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tbl>
      <w:tblPr>
        <w:tblW w:w="10799" w:type="dxa"/>
        <w:jc w:val="left"/>
        <w:tblInd w:w="-267" w:type="dxa"/>
        <w:tblCellMar>
          <w:top w:w="55" w:type="dxa"/>
          <w:left w:w="2" w:type="dxa"/>
          <w:bottom w:w="55" w:type="dxa"/>
          <w:right w:w="50" w:type="dxa"/>
        </w:tblCellMar>
      </w:tblPr>
      <w:tblGrid>
        <w:gridCol w:w="360"/>
        <w:gridCol w:w="1530"/>
        <w:gridCol w:w="2970"/>
        <w:gridCol w:w="3603"/>
        <w:gridCol w:w="2336"/>
      </w:tblGrid>
      <w:tr>
        <w:trPr/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SL#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Issue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t>Problems</w:t>
            </w:r>
          </w:p>
        </w:tc>
        <w:tc>
          <w:tcPr>
            <w:tcW w:w="3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</w:t>
            </w:r>
            <w:r>
              <w:rPr>
                <w:sz w:val="22"/>
                <w:szCs w:val="22"/>
              </w:rPr>
              <w:t>Solutions</w:t>
            </w:r>
          </w:p>
        </w:tc>
        <w:tc>
          <w:tcPr>
            <w:tcW w:w="2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Note</w:t>
            </w:r>
          </w:p>
        </w:tc>
      </w:tr>
      <w:tr>
        <w:trPr/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Layout-align is not working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Where ‘layout-align’ works and where not?</w:t>
            </w:r>
          </w:p>
        </w:tc>
        <w:tc>
          <w:tcPr>
            <w:tcW w:w="3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1. ‘layout-align’ works where we define ‘layout=row/column’</w:t>
            </w:r>
          </w:p>
          <w:p>
            <w:pPr>
              <w:pStyle w:val="TableContents"/>
              <w:jc w:val="left"/>
              <w:rPr/>
            </w:pPr>
            <w:r>
              <w:rPr>
                <w:rStyle w:val="InternetLink"/>
                <w:sz w:val="22"/>
                <w:szCs w:val="22"/>
              </w:rPr>
              <w:t>https://material.angularjs.org/latest/layout/alignment</w:t>
            </w:r>
          </w:p>
        </w:tc>
        <w:tc>
          <w:tcPr>
            <w:tcW w:w="2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Scroll behaving  improperly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get Scroll when needed in a portion of whole page?</w:t>
            </w:r>
          </w:p>
        </w:tc>
        <w:tc>
          <w:tcPr>
            <w:tcW w:w="3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use proper height , class=”scollable”  and ms-scroll </w:t>
            </w:r>
          </w:p>
        </w:tc>
        <w:tc>
          <w:tcPr>
            <w:tcW w:w="2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Inner async call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maintain sequence in case of two or more async </w:t>
            </w:r>
            <w:r>
              <w:rPr>
                <w:rFonts w:eastAsia="Noto Sans CJK SC Regular" w:cs="FreeSans"/>
                <w:color w:val="00000A"/>
                <w:sz w:val="22"/>
                <w:szCs w:val="22"/>
                <w:lang w:val="en-US" w:eastAsia="zh-CN" w:bidi="hi-IN"/>
              </w:rPr>
              <w:t>functions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3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call second async </w:t>
            </w:r>
            <w:r>
              <w:rPr>
                <w:rFonts w:eastAsia="Noto Sans CJK SC Regular" w:cs="FreeSans"/>
                <w:color w:val="00000A"/>
                <w:sz w:val="22"/>
                <w:szCs w:val="22"/>
                <w:lang w:val="en-US" w:eastAsia="zh-CN" w:bidi="hi-IN"/>
              </w:rPr>
              <w:t>functions</w:t>
            </w:r>
            <w:r>
              <w:rPr>
                <w:sz w:val="22"/>
                <w:szCs w:val="22"/>
              </w:rPr>
              <w:t xml:space="preserve"> inside callback of first async function </w:t>
            </w:r>
          </w:p>
        </w:tc>
        <w:tc>
          <w:tcPr>
            <w:tcW w:w="2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Object reference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assign a </w:t>
            </w:r>
            <w:r>
              <w:rPr>
                <w:rFonts w:eastAsia="Noto Sans CJK SC Regular" w:cs="FreeSans"/>
                <w:color w:val="00000A"/>
                <w:sz w:val="22"/>
                <w:szCs w:val="22"/>
                <w:lang w:val="en-US" w:eastAsia="zh-CN" w:bidi="hi-IN"/>
              </w:rPr>
              <w:t>variable</w:t>
            </w:r>
            <w:r>
              <w:rPr>
                <w:sz w:val="22"/>
                <w:szCs w:val="22"/>
              </w:rPr>
              <w:t xml:space="preserve"> with the value of another variable without reference?</w:t>
            </w:r>
          </w:p>
        </w:tc>
        <w:tc>
          <w:tcPr>
            <w:tcW w:w="3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Var2 with new reference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var2 = angular.copy(var1);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var2 with same reference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var2 = var1 </w:t>
            </w:r>
          </w:p>
        </w:tc>
        <w:tc>
          <w:tcPr>
            <w:tcW w:w="2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Include updated data in previously bound data set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replace an </w:t>
            </w:r>
            <w:r>
              <w:rPr>
                <w:rFonts w:eastAsia="Noto Sans CJK SC Regular" w:cs="FreeSans"/>
                <w:color w:val="00000A"/>
                <w:kern w:val="0"/>
                <w:sz w:val="22"/>
                <w:szCs w:val="22"/>
                <w:lang w:val="en-US" w:eastAsia="zh-CN" w:bidi="hi-IN"/>
              </w:rPr>
              <w:t>obj</w:t>
            </w:r>
            <w:r>
              <w:rPr>
                <w:sz w:val="22"/>
                <w:szCs w:val="22"/>
              </w:rPr>
              <w:t xml:space="preserve"> without changing reference</w:t>
            </w:r>
          </w:p>
        </w:tc>
        <w:tc>
          <w:tcPr>
            <w:tcW w:w="3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285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angular.copy(source,destination)</w:t>
            </w:r>
          </w:p>
          <w:p>
            <w:pPr>
              <w:pStyle w:val="Normal"/>
              <w:spacing w:lineRule="atLeast" w:line="285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//destination is the bound data set</w:t>
            </w:r>
          </w:p>
          <w:p>
            <w:pPr>
              <w:pStyle w:val="Normal"/>
              <w:spacing w:lineRule="atLeast" w:line="285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// source is the updated data</w:t>
            </w:r>
          </w:p>
        </w:tc>
        <w:tc>
          <w:tcPr>
            <w:tcW w:w="2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tLeast" w:line="285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Dont use this;</w:t>
            </w:r>
          </w:p>
          <w:p>
            <w:pPr>
              <w:pStyle w:val="Normal"/>
              <w:spacing w:lineRule="atLeast" w:line="285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Arr.splice(0,arr.length())</w:t>
            </w:r>
          </w:p>
          <w:p>
            <w:pPr>
              <w:pStyle w:val="Normal"/>
              <w:spacing w:lineRule="atLeast" w:line="285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newarr.forEach(arr.push(item))</w:t>
            </w:r>
          </w:p>
        </w:tc>
      </w:tr>
      <w:tr>
        <w:trPr/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Alignment</w:t>
            </w: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layout-align </w:t>
            </w:r>
          </w:p>
        </w:tc>
        <w:tc>
          <w:tcPr>
            <w:tcW w:w="3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PreformattedText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b w:val="false"/>
                <w:i w:val="false"/>
                <w:caps w:val="false"/>
                <w:smallCaps w:val="false"/>
                <w:color w:val="242729"/>
                <w:spacing w:val="0"/>
                <w:sz w:val="22"/>
                <w:szCs w:val="22"/>
              </w:rPr>
              <w:t xml:space="preserve"> </w:t>
            </w:r>
            <w:r>
              <w:rPr>
                <w:rStyle w:val="SourceText"/>
                <w:b w:val="false"/>
                <w:i w:val="false"/>
                <w:caps w:val="false"/>
                <w:smallCaps w:val="false"/>
                <w:color w:val="242729"/>
                <w:spacing w:val="0"/>
                <w:sz w:val="22"/>
                <w:szCs w:val="22"/>
              </w:rPr>
              <w:t xml:space="preserve">Layout-align depends on defined layout if </w:t>
            </w:r>
          </w:p>
          <w:p>
            <w:pPr>
              <w:pStyle w:val="PreformattedText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b w:val="false"/>
                <w:i w:val="false"/>
                <w:caps w:val="false"/>
                <w:smallCaps w:val="false"/>
                <w:color w:val="242729"/>
                <w:spacing w:val="0"/>
                <w:sz w:val="22"/>
                <w:szCs w:val="22"/>
              </w:rPr>
              <w:t xml:space="preserve">layout = row then layout-align = </w:t>
            </w:r>
            <w:r>
              <w:rPr>
                <w:rStyle w:val="SourceText"/>
                <w:rFonts w:eastAsia="Nimbus Mono L" w:cs="Liberation Mono"/>
                <w:b w:val="false"/>
                <w:i w:val="false"/>
                <w:caps w:val="false"/>
                <w:smallCaps w:val="false"/>
                <w:color w:val="242729"/>
                <w:spacing w:val="0"/>
                <w:kern w:val="0"/>
                <w:sz w:val="22"/>
                <w:szCs w:val="22"/>
                <w:lang w:val="en-US" w:eastAsia="zh-CN" w:bidi="hi-IN"/>
              </w:rPr>
              <w:t>horizontal</w:t>
            </w:r>
            <w:r>
              <w:rPr>
                <w:rStyle w:val="SourceText"/>
                <w:b w:val="false"/>
                <w:i w:val="false"/>
                <w:caps w:val="false"/>
                <w:smallCaps w:val="false"/>
                <w:color w:val="242729"/>
                <w:spacing w:val="0"/>
                <w:sz w:val="22"/>
                <w:szCs w:val="22"/>
              </w:rPr>
              <w:t xml:space="preserve"> </w:t>
            </w:r>
            <w:r>
              <w:rPr>
                <w:rStyle w:val="SourceText"/>
                <w:rFonts w:eastAsia="Nimbus Mono L" w:cs="Liberation Mono"/>
                <w:b w:val="false"/>
                <w:i w:val="false"/>
                <w:caps w:val="false"/>
                <w:smallCaps w:val="false"/>
                <w:color w:val="242729"/>
                <w:spacing w:val="0"/>
                <w:kern w:val="0"/>
                <w:sz w:val="22"/>
                <w:szCs w:val="22"/>
                <w:lang w:val="en-US" w:eastAsia="zh-CN" w:bidi="hi-IN"/>
              </w:rPr>
              <w:t>vertical</w:t>
            </w:r>
          </w:p>
          <w:p>
            <w:pPr>
              <w:pStyle w:val="PreformattedText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b w:val="false"/>
                <w:i w:val="false"/>
                <w:caps w:val="false"/>
                <w:smallCaps w:val="false"/>
                <w:color w:val="242729"/>
                <w:spacing w:val="0"/>
                <w:kern w:val="0"/>
                <w:sz w:val="22"/>
                <w:szCs w:val="22"/>
                <w:lang w:val="en-US" w:eastAsia="zh-CN" w:bidi="hi-IN"/>
              </w:rPr>
              <w:t xml:space="preserve">layout = </w:t>
            </w:r>
            <w:r>
              <w:rPr>
                <w:rStyle w:val="SourceText"/>
                <w:rFonts w:eastAsia="Nimbus Mono L" w:cs="Liberation Mono"/>
                <w:b w:val="false"/>
                <w:i w:val="false"/>
                <w:caps w:val="false"/>
                <w:smallCaps w:val="false"/>
                <w:color w:val="242729"/>
                <w:spacing w:val="0"/>
                <w:kern w:val="0"/>
                <w:sz w:val="22"/>
                <w:szCs w:val="22"/>
                <w:lang w:val="en-US" w:eastAsia="zh-CN" w:bidi="hi-IN"/>
              </w:rPr>
              <w:t>column</w:t>
            </w:r>
            <w:r>
              <w:rPr>
                <w:rStyle w:val="SourceText"/>
                <w:b w:val="false"/>
                <w:i w:val="false"/>
                <w:caps w:val="false"/>
                <w:smallCaps w:val="false"/>
                <w:color w:val="242729"/>
                <w:spacing w:val="0"/>
                <w:kern w:val="0"/>
                <w:sz w:val="22"/>
                <w:szCs w:val="22"/>
                <w:lang w:val="en-US" w:eastAsia="zh-CN" w:bidi="hi-IN"/>
              </w:rPr>
              <w:t xml:space="preserve"> then layout-align = </w:t>
            </w:r>
            <w:r>
              <w:rPr>
                <w:rStyle w:val="SourceText"/>
                <w:rFonts w:eastAsia="Nimbus Mono L" w:cs="Liberation Mono"/>
                <w:b w:val="false"/>
                <w:i w:val="false"/>
                <w:caps w:val="false"/>
                <w:smallCaps w:val="false"/>
                <w:color w:val="242729"/>
                <w:spacing w:val="0"/>
                <w:kern w:val="0"/>
                <w:sz w:val="22"/>
                <w:szCs w:val="22"/>
                <w:lang w:val="en-US" w:eastAsia="zh-CN" w:bidi="hi-IN"/>
              </w:rPr>
              <w:t>vertical  horizontal</w:t>
            </w:r>
          </w:p>
        </w:tc>
        <w:tc>
          <w:tcPr>
            <w:tcW w:w="2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PreformattedText"/>
              <w:widowControl/>
              <w:spacing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Directive reload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Data is not refreshed in directive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PreformattedText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Directive controller executes one time.</w:t>
            </w:r>
          </w:p>
          <w:p>
            <w:pPr>
              <w:pStyle w:val="PreformattedText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It will be refreshed when its parent state reload</w:t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PreformattedText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 xml:space="preserve">Use ng-repeat 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eastAsia="Noto Sans CJK SC Regular" w:cs="FreeSans"/>
                <w:color w:val="00000A"/>
                <w:sz w:val="22"/>
                <w:szCs w:val="22"/>
                <w:lang w:val="en-US" w:eastAsia="zh-CN" w:bidi="hi-IN"/>
              </w:rPr>
              <w:t xml:space="preserve">self-executing function 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eastAsia="Noto Sans CJK SC Regular" w:cs="FreeSans"/>
                <w:color w:val="00000A"/>
                <w:sz w:val="22"/>
                <w:szCs w:val="22"/>
                <w:lang w:val="en-US" w:eastAsia="zh-CN" w:bidi="hi-IN"/>
              </w:rPr>
              <w:t>Why we use self-executing function in all js files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PreformattedText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For using self-executing functions variable and functions will get their own scope</w:t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PreformattedText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Controller service separation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Why operations on data are performed in services?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reduce load on </w:t>
            </w:r>
            <w:r>
              <w:rPr>
                <w:rFonts w:eastAsia="Noto Sans CJK SC Regular" w:cs="FreeSans"/>
                <w:color w:val="00000A"/>
                <w:sz w:val="22"/>
                <w:szCs w:val="22"/>
                <w:lang w:val="en-US" w:eastAsia="zh-CN" w:bidi="hi-IN"/>
              </w:rPr>
              <w:t>view</w:t>
            </w:r>
            <w:r>
              <w:rPr>
                <w:sz w:val="22"/>
                <w:szCs w:val="22"/>
              </w:rPr>
              <w:t xml:space="preserve"> end.</w:t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Reduce junk on controller</w:t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/>
            </w:pPr>
            <w:r>
              <w:rPr/>
              <w:t>Controller handles view events</w:t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/>
            </w:pPr>
            <w:r>
              <w:rPr/>
              <w:t>controller collects data for service</w:t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/>
            </w:pPr>
            <w:r>
              <w:rPr/>
              <w:t>Controller saves data</w:t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Controller handles id generation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Accordion remains open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collapsed all content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Use style=”display:none”</w:t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11.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Keep first item open for accordion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Collapse first open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ng-style="$index!=0 &amp;&amp; {display:'none'}"</w:t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</w:rPr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12.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ng-class vs ng-style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Difference between ng-class and ng-style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</w:rPr>
            </w:pPr>
            <w:r>
              <w:rPr/>
              <w:t xml:space="preserve"> </w:t>
            </w:r>
            <w:r>
              <w:rPr/>
              <w:t>For set logic in class attribute then use ng-class for set logic in style then use ng-style</w:t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</w:rPr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13.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Validation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 form in HTML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See html form validation documents</w:t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14.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Static vs Homogeneous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difference between sub-menu and info menu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Sub-menu:Heterogeneous Routing.  fixed/static hard coded different state for fixed items. </w:t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Info-menu- Homogeneous routing. Dynamic items. All items are in same state. Should use directive for routing</w:t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Now we call sub-menu the link against what we do save operation</w:t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Sub-menu can both homogeneous or heterogeneous routing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15.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State vs directive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Difference between 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state and directives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State: separate workspace operation area. Information can be shared with param. Separate binding mechanism</w:t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directive: scope optional. Customized html component</w:t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16.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 xml:space="preserve">Async callback traceability 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How to know which async call callback  is arrived if  multiple async call is placed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Pass call reference in 6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params of getItem/getItems </w:t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Hold passed param as 2</w:t>
            </w:r>
            <w:r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param of callback</w:t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17.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For async c</w:t>
            </w:r>
            <w:r>
              <w:rPr/>
              <w:t>all couldnt track view data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Data can’t be tracked through debugger still data showed in view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Reason </w:t>
            </w:r>
            <w:r>
              <w:rPr>
                <w:rFonts w:eastAsia="Noto Sans CJK SC Regular" w:cs="FreeSans"/>
                <w:color w:val="00000A"/>
                <w:kern w:val="0"/>
                <w:sz w:val="22"/>
                <w:szCs w:val="22"/>
                <w:lang w:val="en-US" w:eastAsia="zh-CN" w:bidi="hi-IN"/>
              </w:rPr>
              <w:t>multipoint</w:t>
            </w:r>
            <w:r>
              <w:rPr>
                <w:sz w:val="22"/>
                <w:szCs w:val="22"/>
              </w:rPr>
              <w:t xml:space="preserve"> callBack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Only callback when all data available</w:t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18.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Data save was not working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Id generation  data save throwing error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If no template obj then id gen will through error</w:t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Id object hierarchy is created as per template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19.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data-fetch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data-fetch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Always fetch-data with context. Never fetch all data from root</w:t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It will crash the system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20.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How to call other service function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When interface manager should be used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If a function has a callback param then interface manager shoul</w:t>
            </w:r>
            <w:r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 be used. But if the function has return value then we can not use interface manager. In that case inject the service in controller and directly call function through service.</w:t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 xml:space="preserve">Never work with return data from other service </w:t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always use interface manager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Print json in html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Print json in html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&lt;pre&gt;{{obj | json}}&lt;/pre&gt;</w:t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Json stringify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Json stringify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angular.toJson(data)</w:t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23.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Reference vs value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 and value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In javascript always reference is passed when we assign a obj or array to other variable. We can not copy only value with javascript. But when we use obj=angular.copy(obj) (if destination is not used) then it will copy value in newly created obj then this obj reference will be passed to this variable</w:t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ng-sortable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eastAsia="Noto Sans CJK SC Regular" w:cs="FreeSans"/>
                <w:color w:val="00000A"/>
                <w:kern w:val="0"/>
                <w:sz w:val="22"/>
                <w:szCs w:val="22"/>
                <w:lang w:val="en-US" w:eastAsia="zh-CN" w:bidi="hi-IN"/>
              </w:rPr>
              <w:t>rearrange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Noto Sans CJK SC Regular" w:cs="FreeSans"/>
                <w:color w:val="00000A"/>
                <w:kern w:val="0"/>
                <w:sz w:val="22"/>
                <w:szCs w:val="22"/>
                <w:lang w:val="en-US" w:eastAsia="zh-CN" w:bidi="hi-IN"/>
              </w:rPr>
              <w:t>an array item through html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Use ng-sortable directive in ng-repeat parrent div</w:t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Filter data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Filter data from getItems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Use searchparams as second param of getItems. Key,value, path can be provided in search params</w:t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  <w:t>Mostly use PATH parameter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Primary key learning</w:t>
            </w:r>
          </w:p>
        </w:tc>
        <w:tc>
          <w:tcPr>
            <w:tcW w:w="297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TECHDISER_ID</w:t>
            </w:r>
          </w:p>
        </w:tc>
        <w:tc>
          <w:tcPr>
            <w:tcW w:w="3603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t_id is unique in whole project. </w:t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 xml:space="preserve">If any relation between obj is needed then only use t_id for relation. </w:t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 xml:space="preserve">Object t_id must be store if obj reference is needed. </w:t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In child obj do not hold parent obj Id.</w:t>
            </w:r>
          </w:p>
        </w:tc>
        <w:tc>
          <w:tcPr>
            <w:tcW w:w="23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jc w:val="center"/>
        <w:rPr>
          <w:rFonts w:ascii="Liberation Serif" w:hAnsi="Liberation Serif"/>
          <w:sz w:val="22"/>
          <w:szCs w:val="22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04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9347</TotalTime>
  <Application>LibreOffice/6.4.6.2$Linux_X86_64 LibreOffice_project/40$Build-2</Application>
  <Pages>3</Pages>
  <Words>728</Words>
  <Characters>4053</Characters>
  <CharactersWithSpaces>4705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2020-05-20T12:20:43Z</dcterms:created>
  <dc:creator/>
  <dc:description/>
  <dc:language>en-US</dc:language>
  <cp:lastModifiedBy/>
  <dcterms:modified xsi:type="dcterms:W3CDTF">2021-01-11T19:47:53Z</dcterms:modified>
  <cp:revision>98</cp:revision>
  <dc:subject/>
  <dc:title/>
</cp:coreProperties>
</file>