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rPr>
          <w:rFonts w:ascii="Google Sans" w:cs="Google Sans" w:eastAsia="Google Sans" w:hAnsi="Google Sans"/>
          <w:b w:val="1"/>
          <w:bCs w:val="1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Phase 1: Systematic Dataset Audit Execution Plan V2 (Agile MVP Approach)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This revised execution plan shifts the Phase 1 audit from a massive, computationally heavy operation to a lean, Minimum Viable Product (MVP) pipeline. By starting small, the 6-member team can prove the end-to-end framework without being blocked by GPU limitations or annotation burnout.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1. The "Pilot-First" Strategy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Instead of boiling the ocean with 12 datasets and heavy LLMs right away, Phase 1 will focus exclusively on establishing a working pipeline.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Target Dataset: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SST-2 (Stanford Sentiment Treebank - Binary). It is widely understood, small enough to iterate quickly, and has known label noise.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Initial Model: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TF-IDF combined with Logistic Regression. This replaces the heavy BERT model for the initial run, reducing training time from hours to seconds and requiring zero GPUs.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2. Step-by-Step Execution Process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Step 2.1: Lightweight Automated Error Detection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Feature Extraction: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Convert the SST-2 text snippets into numerical vectors using TF-IDF (Term Frequency-Inverse Document Frequency).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Fast Cross-Validation: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Train a Logistic Regression classifier using 5-fold cross-validation on the TF-IDF features.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Probability Extraction: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Extract the out-of-sample predicted probabilities for every instance in the SST-2 dataset.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Cleanlab Integration: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Feed the original labels and the new predicted probabilities into the cleanlab library to generate a ranked list of the most suspicious labels.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Step 2.2: Focused Human Validation (Team of 6)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With a 6-member team, manual validation becomes highly efficient if focused properly.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Targeted Sample: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Extract only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top 50 to 100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most confidently flagged errors from cleanlab.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Task Distribution: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Divide the 6-member team into two sub-committees of 3 members each. Each sub-committee will independently review a batch of the top flagged samples in a shared spreadsheet.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Consensus: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Flag an error as "Confirmed" only if a majority of the reviewing members in a sub-committee agree that the original dataset label is incorrect.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Step 2.3: Error Typology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Categorize the confirmed errors from the top sample into simple buckets: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Context Stripping: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Impossible to label correctly without more surrounding text.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Objective Mislabels: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Clear human error (e.g., labeling "great movie" as negative).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Ambiguous: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Highly subjective sentiment.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3. The Scale-Up Plan (Post-MVP)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Once the SST-2 pilot proves that the data loads, the model trains, cleanlab flags errors, and the team can validate them, the infrastructure is complete.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000000"/>
          <w:rtl w:val="0"/>
        </w:rPr>
        <w:t xml:space="preserve">Only then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should the team consider scaling:</w:t>
      </w:r>
    </w:p>
    <w:tbl>
      <w:tblPr>
        <w:tblStyle w:val="Table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1f3f4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b w:val="1"/>
                <w:bCs w:val="1"/>
                <w:color w:val="00000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shd w:fill="auto" w:val="clear"/>
                <w:rtl w:val="0"/>
              </w:rPr>
              <w:t xml:space="preserve">Phase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1f3f4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b w:val="1"/>
                <w:bCs w:val="1"/>
                <w:color w:val="00000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shd w:fill="auto" w:val="clear"/>
                <w:rtl w:val="0"/>
              </w:rPr>
              <w:t xml:space="preserve">Model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1f3f4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b w:val="1"/>
                <w:bCs w:val="1"/>
                <w:color w:val="00000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shd w:fill="auto" w:val="clear"/>
                <w:rtl w:val="0"/>
              </w:rPr>
              <w:t xml:space="preserve">Dataset(s)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1f3f4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b w:val="1"/>
                <w:bCs w:val="1"/>
                <w:color w:val="00000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shd w:fill="auto" w:val="clear"/>
                <w:rtl w:val="0"/>
              </w:rPr>
              <w:t xml:space="preserve">Compute Requirement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Pilot (MVP)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TF-IDF + Logistic Regression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SST-2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Standard Laptop CPU (Minutes)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Scale 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DistilBERT or BERT-base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SST-2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Basic GPU (e.g., Google Colab Free Tier)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Scale 2 (Optional)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BERT-base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SNLI or HateXplain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Lab GPU / Colab Pro (Hours)</w:t>
            </w:r>
          </w:p>
        </w:tc>
      </w:tr>
    </w:tbl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4. Resource Requirements (Revised)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Compute: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Standard laptops for the MVP. Free-tier Google Colab for initial BERT testing later. No 500-hour GPU cluster required to start.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Human Resources: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6 team members. Excellent for parallelizing the annotation review of the top flagged samples and pairing up for programming the pipeline.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