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55555"/>
          <w:sz w:val="20"/>
          <w:szCs w:val="20"/>
        </w:rPr>
        <w:t xml:space="preserve">Research Proposal</w:t>
      </w:r>
    </w:p>
    <w:p>
      <w:pPr>
        <w:spacing w:after="100"/>
        <w:jc w:val="center"/>
      </w:pPr>
      <w:r>
        <w:rPr>
          <w:b/>
          <w:bCs/>
          <w:sz w:val="32"/>
          <w:szCs w:val="32"/>
        </w:rPr>
        <w:t xml:space="preserve">TLS and Post-Quantum Cryptographic Readiness of Bangladesh's .bd Domain Infrastructure: A Sector-Wise Empirical Measurement Study</w:t>
      </w:r>
    </w:p>
    <w:p>
      <w:pPr>
        <w:spacing w:after="60"/>
        <w:jc w:val="center"/>
      </w:pPr>
      <w:r>
        <w:rPr>
          <w:sz w:val="22"/>
          <w:szCs w:val="22"/>
        </w:rPr>
        <w:t xml:space="preserve">Sameer (Md Sakib Rahman)</w:t>
      </w:r>
    </w:p>
    <w:p>
      <w:pPr>
        <w:spacing w:after="60"/>
        <w:jc w:val="center"/>
      </w:pPr>
      <w:r>
        <w:rPr>
          <w:i/>
          <w:iCs/>
          <w:sz w:val="22"/>
          <w:szCs w:val="22"/>
        </w:rPr>
        <w:t xml:space="preserve">Department of Computer Science and Engineering, International Islamic University Chittagong (IIUC)</w:t>
      </w:r>
    </w:p>
    <w:p>
      <w:pPr>
        <w:spacing w:after="300"/>
        <w:jc w:val="center"/>
      </w:pPr>
      <w:r>
        <w:rPr>
          <w:i/>
          <w:iCs/>
          <w:color w:val="808080"/>
          <w:sz w:val="20"/>
          <w:szCs w:val="20"/>
        </w:rPr>
        <w:t xml:space="preserve">[Co-author / Supervisor: to be added]</w:t>
      </w:r>
    </w:p>
    <w:p>
      <w:pPr>
        <w:pStyle w:val="Heading1"/>
        <w:spacing w:after="160" w:before="360"/>
      </w:pPr>
      <w:r>
        <w:t xml:space="preserve">Abstract</w:t>
      </w:r>
    </w:p>
    <w:p>
      <w:pPr>
        <w:spacing w:after="160" w:line="276"/>
      </w:pPr>
      <w:r>
        <w:rPr>
          <w:sz w:val="22"/>
          <w:szCs w:val="22"/>
        </w:rPr>
        <w:t xml:space="preserve">Transport Layer Security (TLS) underpins the confidentiality and authenticity of nearly all sensitive Internet traffic, but its classical public-key components (RSA, ECDHE, ECDSA) are provably vulnerable to a sufficiently large quantum computer via Shor's algorithm</w:t>
      </w:r>
      <w:r>
        <w:t xml:space="preserve"> [6]</w:t>
      </w:r>
      <w:r>
        <w:rPr>
          <w:sz w:val="22"/>
          <w:szCs w:val="22"/>
        </w:rPr>
        <w:t xml:space="preserve">. A June 2026 sector-wise measurement study of 32,011 domains found that although 49.3% of scanned domains supported a hybrid post-quantum key exchange mechanism, 0% used post-quantum certificate signatures, and 15.70% of domains -- concentrated in banking, government, and defence -- still relied on the legacy TLS 1.2 protocol</w:t>
      </w:r>
      <w:r>
        <w:t xml:space="preserve"> [1]</w:t>
      </w:r>
      <w:r>
        <w:rPr>
          <w:sz w:val="22"/>
          <w:szCs w:val="22"/>
        </w:rPr>
        <w:t xml:space="preserve">. That dataset, however, is overwhelmingly Indian (Tranco top-sites plus Reserve Bank of India-listed banks); no equivalent measurement exists for Bangladesh's .bd national domain space. Existing Bangladesh-specific security literature has assessed government, financial, and e-commerce websites for application-layer vulnerabilities (SQL injection, XSS, CSRF) using active scanning tools</w:t>
      </w:r>
      <w:r>
        <w:t xml:space="preserve"> [14]</w:t>
      </w:r>
      <w:r>
        <w:t xml:space="preserve"> [15]</w:t>
      </w:r>
      <w:r>
        <w:t xml:space="preserve"> [16]</w:t>
      </w:r>
      <w:r>
        <w:t xml:space="preserve"> [17]</w:t>
      </w:r>
      <w:r>
        <w:rPr>
          <w:sz w:val="22"/>
          <w:szCs w:val="22"/>
        </w:rPr>
        <w:t xml:space="preserve">, but none has measured transport-layer cryptographic configuration, and none has considered post-quantum readiness. Separately, Bangladesh's .bd ccTLD had zero DNSSEC coverage across roughly 50,000 domains until August 2025</w:t>
      </w:r>
      <w:r>
        <w:t xml:space="preserve"> [18]</w:t>
      </w:r>
      <w:r>
        <w:rPr>
          <w:sz w:val="22"/>
          <w:szCs w:val="22"/>
        </w:rPr>
        <w:t xml:space="preserve">, suggesting a broader pattern of delayed cryptographic modernization in national infrastructure. This proposal describes a passive, non-intrusive TLS handshake measurement study of a stratified sample of .bd domains across the government, banking, university, e-commerce, and telecom sectors, recording TLS version, cipher suite, certificate properties, and hybrid post-quantum key exchange (X25519MLKEM768) support. Results will be compared sector-by-sector against the Indian baseline </w:t>
      </w:r>
      <w:r>
        <w:t xml:space="preserve"> [1]</w:t>
      </w:r>
      <w:r>
        <w:rPr>
          <w:sz w:val="22"/>
          <w:szCs w:val="22"/>
        </w:rPr>
        <w:t xml:space="preserve"> and against a prior banking-sector TLS study </w:t>
      </w:r>
      <w:r>
        <w:t xml:space="preserve"> [2]</w:t>
      </w:r>
      <w:r>
        <w:rPr>
          <w:sz w:val="22"/>
          <w:szCs w:val="22"/>
        </w:rPr>
        <w:t xml:space="preserve">, producing the first published cryptographic-posture report for Bangladesh's national domain infrastructure.</w:t>
      </w:r>
    </w:p>
    <w:p>
      <w:pPr>
        <w:pStyle w:val="Heading1"/>
        <w:spacing w:after="160" w:before="360"/>
      </w:pPr>
      <w:r>
        <w:t xml:space="preserve">1. Introduction and Motivation</w:t>
      </w:r>
    </w:p>
    <w:p>
      <w:pPr>
        <w:spacing w:after="160" w:line="276"/>
      </w:pPr>
      <w:r>
        <w:rPr>
          <w:sz w:val="22"/>
          <w:szCs w:val="22"/>
        </w:rPr>
        <w:t xml:space="preserve">TLS secures the majority of sensitive communication on the modern Internet, including financial transactions, government records, and authentication credentials. Its security guarantees rest on public-key primitives -- RSA for certificate signatures and key exchange, elliptic-curve Diffie-Hellman (ECDHE) for ephemeral key agreement, and ECDSA for signatures -- whose hardness assumptions (integer factorization and the discrete logarithm problem) are broken in polynomial time by Shor's quantum algorithm </w:t>
      </w:r>
      <w:r>
        <w:t xml:space="preserve"> [6]</w:t>
      </w:r>
      <w:r>
        <w:rPr>
          <w:sz w:val="22"/>
          <w:szCs w:val="22"/>
        </w:rPr>
        <w:t xml:space="preserve">. While large-scale fault-tolerant quantum computers do not yet exist, the threat is not purely future-dated: encrypted traffic captured today can be stored and decrypted retroactively once such hardware becomes available, a risk known as Harvest-Now-Decrypt-Later (HNDL) </w:t>
      </w:r>
      <w:r>
        <w:t xml:space="preserve"> [1]</w:t>
      </w:r>
      <w:r>
        <w:t xml:space="preserve"> [13]</w:t>
      </w:r>
      <w:r>
        <w:rPr>
          <w:sz w:val="22"/>
          <w:szCs w:val="22"/>
        </w:rPr>
        <w:t xml:space="preserve">. In response, NIST has standardized post-quantum cryptographic (PQC) algorithms -- ML-KEM (FIPS 203) for key exchange, ML-DSA (FIPS 204) and SLH-DSA (FIPS 205) for signatures </w:t>
      </w:r>
      <w:r>
        <w:t xml:space="preserve"> [7]</w:t>
      </w:r>
      <w:r>
        <w:rPr>
          <w:sz w:val="22"/>
          <w:szCs w:val="22"/>
        </w:rPr>
        <w:t xml:space="preserve"> -- and the IETF has defined a hybrid TLS 1.3 key-share mechanism, X25519MLKEM768, that combines a classical and a post-quantum key-exchange algorithm so that security holds even if one component is later broken </w:t>
      </w:r>
      <w:r>
        <w:t xml:space="preserve"> [10]</w:t>
      </w:r>
      <w:r>
        <w:rPr>
          <w:sz w:val="22"/>
          <w:szCs w:val="22"/>
        </w:rPr>
        <w:t xml:space="preserve">. TLS 1.3's flexible handshake design is a structural prerequisite for this hybrid mechanism; TLS 1.2, still widely deployed, cannot support it at all </w:t>
      </w:r>
      <w:r>
        <w:t xml:space="preserve"> [8]</w:t>
      </w:r>
      <w:r>
        <w:t xml:space="preserve"> [9]</w:t>
      </w:r>
      <w:r>
        <w:rPr>
          <w:sz w:val="22"/>
          <w:szCs w:val="22"/>
        </w:rPr>
        <w:t xml:space="preserve">.</w:t>
      </w:r>
    </w:p>
    <w:p>
      <w:pPr>
        <w:spacing w:after="160" w:line="276"/>
      </w:pPr>
      <w:r>
        <w:rPr>
          <w:sz w:val="22"/>
          <w:szCs w:val="22"/>
        </w:rPr>
        <w:t xml:space="preserve">Real-world adoption of these mechanisms is uneven. The most directly comparable prior study measured TLS and PQC posture across 32,011 domains spanning banking, government, defence, and cloud platforms, finding 52.41% TLS 1.3 adoption, 15.70% still on TLS 1.2, 49.3% hybrid PQC key-exchange support, and -- critically -- 0% adoption of post-quantum certificate signatures, leaving the authentication layer fully classical even where key exchange has modernized </w:t>
      </w:r>
      <w:r>
        <w:t xml:space="preserve"> [1]</w:t>
      </w:r>
      <w:r>
        <w:rPr>
          <w:sz w:val="22"/>
          <w:szCs w:val="22"/>
        </w:rPr>
        <w:t xml:space="preserve">. Although framed as a general Internet-scale study, its dataset is drawn from the Tranco global top-sites ranking together with 127 domains sourced specifically from the Reserve Bank of India's list of authorized banks; its own example domain table is dominated by .in and .bank.in entries. It is, in substance, a South Asian regional study -- just not a Bangladeshi one. A separate, earlier study scanning the world's 50 largest banks found fewer than 50% supported TLS 1.3 while roughly 94% still supported TLS 1.2, with a majority vulnerable to known attacks such as Lucky13 </w:t>
      </w:r>
      <w:r>
        <w:t xml:space="preserve"> [2]</w:t>
      </w:r>
      <w:r>
        <w:rPr>
          <w:sz w:val="22"/>
          <w:szCs w:val="22"/>
        </w:rPr>
        <w:t xml:space="preserve">, establishing that even well-resourced financial institutions often lag broader Internet-wide TLS trends.</w:t>
      </w:r>
    </w:p>
    <w:p>
      <w:pPr>
        <w:spacing w:after="160" w:line="276"/>
      </w:pPr>
      <w:r>
        <w:rPr>
          <w:sz w:val="22"/>
          <w:szCs w:val="22"/>
        </w:rPr>
        <w:t xml:space="preserve">No published study measures the TLS or post-quantum cryptographic posture of Bangladesh's .bd national domain space. This gap is notable given a documented pattern of delayed cryptographic modernization elsewhere in the same infrastructure: Bangladesh's .bd ccTLD had zero DNSSEC coverage -- across an estimated 50,000 domains spanning every government portal, university system, and bank -- until August 2025 </w:t>
      </w:r>
      <w:r>
        <w:t xml:space="preserve"> [18]</w:t>
      </w:r>
      <w:r>
        <w:rPr>
          <w:sz w:val="22"/>
          <w:szCs w:val="22"/>
        </w:rPr>
        <w:t xml:space="preserve">, and the 2016 Bangladesh Bank heist, in which attackers stole roughly USD 81 million after compromising bank server infrastructure with DNS implicated as a contributing vector </w:t>
      </w:r>
      <w:r>
        <w:t xml:space="preserve"> [17]</w:t>
      </w:r>
      <w:r>
        <w:t xml:space="preserve"> [18]</w:t>
      </w:r>
      <w:r>
        <w:rPr>
          <w:sz w:val="22"/>
          <w:szCs w:val="22"/>
        </w:rPr>
        <w:t xml:space="preserve">, remains the canonical Bangladeshi cybersecurity incident cited across the country's web-security literature. That literature, however, has consistently examined application-layer vulnerabilities -- SQL injection, XSS, CSRF, broken authentication, missing security headers -- using active vulnerability scanners such as OWASP ZAP and Acunetix </w:t>
      </w:r>
      <w:r>
        <w:t xml:space="preserve"> [14]</w:t>
      </w:r>
      <w:r>
        <w:t xml:space="preserve"> [15]</w:t>
      </w:r>
      <w:r>
        <w:t xml:space="preserve"> [16]</w:t>
      </w:r>
      <w:r>
        <w:t xml:space="preserve"> [17]</w:t>
      </w:r>
      <w:r>
        <w:rPr>
          <w:sz w:val="22"/>
          <w:szCs w:val="22"/>
        </w:rPr>
        <w:t xml:space="preserve">, and has never extended to transport-layer cryptographic configuration or post-quantum readiness. This proposal addresses that gap directly.</w:t>
      </w:r>
    </w:p>
    <w:p>
      <w:pPr>
        <w:pStyle w:val="Heading1"/>
        <w:spacing w:after="160" w:before="360"/>
      </w:pPr>
      <w:r>
        <w:t xml:space="preserve">2. Related Work</w:t>
      </w:r>
    </w:p>
    <w:p>
      <w:pPr>
        <w:pStyle w:val="Heading2"/>
        <w:spacing w:after="120" w:before="240"/>
      </w:pPr>
      <w:r>
        <w:t xml:space="preserve">2.1 Internet-Scale TLS Measurement Methodology</w:t>
      </w:r>
    </w:p>
    <w:p>
      <w:pPr>
        <w:spacing w:after="160" w:line="276"/>
      </w:pPr>
      <w:r>
        <w:rPr>
          <w:sz w:val="22"/>
          <w:szCs w:val="22"/>
        </w:rPr>
        <w:t xml:space="preserve">Large-scale active and passive TLS measurement has a well-established methodological lineage. Holz et al. performed one of the earliest comprehensive analyses of the X.509 public-key infrastructure, finding widespread certificate-quality problems including incorrect certification chains </w:t>
      </w:r>
      <w:r>
        <w:t xml:space="preserve"> [3]</w:t>
      </w:r>
      <w:r>
        <w:rPr>
          <w:sz w:val="22"/>
          <w:szCs w:val="22"/>
        </w:rPr>
        <w:t xml:space="preserve">. Durumeric et al. analyzed nearly eight billion TLS handshakes to detect and characterize HTTPS interception by middleboxes and antivirus software, finding that most tested interception products degrade connection security </w:t>
      </w:r>
      <w:r>
        <w:t xml:space="preserve"> [4]</w:t>
      </w:r>
      <w:r>
        <w:rPr>
          <w:sz w:val="22"/>
          <w:szCs w:val="22"/>
        </w:rPr>
        <w:t xml:space="preserve">. Holz et al. later tracked the early real-world deployment of TLS 1.3 across more than 275 million hosts using combined active and passive methods </w:t>
      </w:r>
      <w:r>
        <w:t xml:space="preserve"> [5]</w:t>
      </w:r>
      <w:r>
        <w:rPr>
          <w:sz w:val="22"/>
          <w:szCs w:val="22"/>
        </w:rPr>
        <w:t xml:space="preserve">. This proposal's passive handshake methodology (Section 4) descends directly from this lineage.</w:t>
      </w:r>
    </w:p>
    <w:p>
      <w:pPr>
        <w:pStyle w:val="Heading2"/>
        <w:spacing w:after="120" w:before="240"/>
      </w:pPr>
      <w:r>
        <w:t xml:space="preserve">2.2 Post-Quantum Cryptography and Hybrid TLS</w:t>
      </w:r>
    </w:p>
    <w:p>
      <w:pPr>
        <w:spacing w:after="160" w:line="276"/>
      </w:pPr>
      <w:r>
        <w:rPr>
          <w:sz w:val="22"/>
          <w:szCs w:val="22"/>
        </w:rPr>
        <w:t xml:space="preserve">Shor's algorithm established the theoretical basis for the classical-cryptography threat </w:t>
      </w:r>
      <w:r>
        <w:t xml:space="preserve"> [6]</w:t>
      </w:r>
      <w:r>
        <w:rPr>
          <w:sz w:val="22"/>
          <w:szCs w:val="22"/>
        </w:rPr>
        <w:t xml:space="preserve">. NIST's post-quantum standardization program defines the algorithms this study measures for </w:t>
      </w:r>
      <w:r>
        <w:t xml:space="preserve"> [7]</w:t>
      </w:r>
      <w:r>
        <w:rPr>
          <w:sz w:val="22"/>
          <w:szCs w:val="22"/>
        </w:rPr>
        <w:t xml:space="preserve">. RFC 8446 (TLS 1.3) </w:t>
      </w:r>
      <w:r>
        <w:t xml:space="preserve"> [8]</w:t>
      </w:r>
      <w:r>
        <w:rPr>
          <w:sz w:val="22"/>
          <w:szCs w:val="22"/>
        </w:rPr>
        <w:t xml:space="preserve"> and its predecessor RFC 5246 (TLS 1.2) </w:t>
      </w:r>
      <w:r>
        <w:t xml:space="preserve"> [9]</w:t>
      </w:r>
      <w:r>
        <w:rPr>
          <w:sz w:val="22"/>
          <w:szCs w:val="22"/>
        </w:rPr>
        <w:t xml:space="preserve"> define the protocol versions whose presence or absence is a core measurement target, and the IETF hybrid key-exchange draft </w:t>
      </w:r>
      <w:r>
        <w:t xml:space="preserve"> [10]</w:t>
      </w:r>
      <w:r>
        <w:rPr>
          <w:sz w:val="22"/>
          <w:szCs w:val="22"/>
        </w:rPr>
        <w:t xml:space="preserve"> specifies X25519MLKEM768, the exact mechanism this study checks for in negotiated TLS parameters. Alnahawi et al. provide a systematization of post-quantum TLS handshake approaches </w:t>
      </w:r>
      <w:r>
        <w:t xml:space="preserve"> [11]</w:t>
      </w:r>
      <w:r>
        <w:rPr>
          <w:sz w:val="22"/>
          <w:szCs w:val="22"/>
        </w:rPr>
        <w:t xml:space="preserve">, Durr-E-Shahwar et al. survey 134 studies on quantum cryptography and network security more broadly </w:t>
      </w:r>
      <w:r>
        <w:t xml:space="preserve"> [12]</w:t>
      </w:r>
      <w:r>
        <w:rPr>
          <w:sz w:val="22"/>
          <w:szCs w:val="22"/>
        </w:rPr>
        <w:t xml:space="preserve">, and Benitez maps quantum-vulnerable cryptographic dependencies across TLS, SSH, IPsec, and DNSSEC as a unified engineering problem </w:t>
      </w:r>
      <w:r>
        <w:t xml:space="preserve"> [13]</w:t>
      </w:r>
      <w:r>
        <w:rPr>
          <w:sz w:val="22"/>
          <w:szCs w:val="22"/>
        </w:rPr>
        <w:t xml:space="preserve">, a framing this proposal adopts when connecting its TLS findings to Bangladesh's separately documented DNSSEC delay </w:t>
      </w:r>
      <w:r>
        <w:t xml:space="preserve"> [18]</w:t>
      </w:r>
      <w:r>
        <w:rPr>
          <w:sz w:val="22"/>
          <w:szCs w:val="22"/>
        </w:rPr>
        <w:t xml:space="preserve">.</w:t>
      </w:r>
    </w:p>
    <w:p>
      <w:pPr>
        <w:pStyle w:val="Heading2"/>
        <w:spacing w:after="120" w:before="240"/>
      </w:pPr>
      <w:r>
        <w:t xml:space="preserve">2.3 Regional and Sector-Specific TLS Measurement</w:t>
      </w:r>
    </w:p>
    <w:p>
      <w:pPr>
        <w:spacing w:after="160" w:line="276"/>
      </w:pPr>
      <w:r>
        <w:rPr>
          <w:sz w:val="22"/>
          <w:szCs w:val="22"/>
        </w:rPr>
        <w:t xml:space="preserve">The two studies most directly relevant to this proposal's design are the 32,011-domain South Asian (predominantly Indian) sector-wise PQC readiness study </w:t>
      </w:r>
      <w:r>
        <w:t xml:space="preserve"> [1]</w:t>
      </w:r>
      <w:r>
        <w:rPr>
          <w:sz w:val="22"/>
          <w:szCs w:val="22"/>
        </w:rPr>
        <w:t xml:space="preserve">, which this proposal uses as its primary comparison baseline, and the 50-bank global banking-sector TLS survey </w:t>
      </w:r>
      <w:r>
        <w:t xml:space="preserve"> [2]</w:t>
      </w:r>
      <w:r>
        <w:rPr>
          <w:sz w:val="22"/>
          <w:szCs w:val="22"/>
        </w:rPr>
        <w:t xml:space="preserve">, which establishes that financial-sector TLS deployment frequently underperforms the broader web -- a pattern this proposal tests specifically for Bangladeshi banks.</w:t>
      </w:r>
    </w:p>
    <w:p>
      <w:pPr>
        <w:pStyle w:val="Heading2"/>
        <w:spacing w:after="120" w:before="240"/>
      </w:pPr>
      <w:r>
        <w:t xml:space="preserve">2.4 Bangladesh Web-Security Literature</w:t>
      </w:r>
    </w:p>
    <w:p>
      <w:pPr>
        <w:spacing w:after="160" w:line="276"/>
      </w:pPr>
      <w:r>
        <w:rPr>
          <w:sz w:val="22"/>
          <w:szCs w:val="22"/>
        </w:rPr>
        <w:t xml:space="preserve">Four prior studies have assessed the security of Bangladeshi web applications, all at the application-vulnerability layer. Farah et al. assessed XSS and CSRF vulnerabilities across Bangladeshi web applications, explicitly motivated by the 2016 Bangladesh Bank heist </w:t>
      </w:r>
      <w:r>
        <w:t xml:space="preserve"> [17]</w:t>
      </w:r>
      <w:r>
        <w:rPr>
          <w:sz w:val="22"/>
          <w:szCs w:val="22"/>
        </w:rPr>
        <w:t xml:space="preserve">. Moniruzzaman et al. combined penetration testing and source-code analysis across government, media, bank, defence, and educational websites against six attack vectors, finding 64% of sampled applications vulnerable; TLS was included only as one coarse pass/fail check within this broader scan, not as a dedicated configuration audit </w:t>
      </w:r>
      <w:r>
        <w:t xml:space="preserve"> [14]</w:t>
      </w:r>
      <w:r>
        <w:rPr>
          <w:sz w:val="22"/>
          <w:szCs w:val="22"/>
        </w:rPr>
        <w:t xml:space="preserve">. Rahman et al. focused specifically on the e-commerce sector, finding CSRF the most frequent vulnerability and XSS the most severe </w:t>
      </w:r>
      <w:r>
        <w:t xml:space="preserve"> [16]</w:t>
      </w:r>
      <w:r>
        <w:rPr>
          <w:sz w:val="22"/>
          <w:szCs w:val="22"/>
        </w:rPr>
        <w:t xml:space="preserve">. Masum et al. applied OWASP ZAP and Acunetix to government and financial websites, identifying header-configuration and cross-domain issues as the dominant risk categories </w:t>
      </w:r>
      <w:r>
        <w:t xml:space="preserve"> [15]</w:t>
      </w:r>
      <w:r>
        <w:rPr>
          <w:sz w:val="22"/>
          <w:szCs w:val="22"/>
        </w:rPr>
        <w:t xml:space="preserve">. None of these four studies examines TLS protocol version, cipher suite configuration, certificate cryptographic properties, or post-quantum readiness as a primary subject -- and all four rely on active vulnerability scanning, a materially more legally sensitive technique than the passive handshake approach proposed here.</w:t>
      </w:r>
    </w:p>
    <w:p>
      <w:pPr>
        <w:pStyle w:val="Heading2"/>
        <w:spacing w:after="120" w:before="240"/>
      </w:pPr>
      <w:r>
        <w:t xml:space="preserve">2.5 Bangladesh National Infrastructure: The DNSSEC Precedent</w:t>
      </w:r>
    </w:p>
    <w:p>
      <w:pPr>
        <w:spacing w:after="160" w:line="276"/>
      </w:pPr>
      <w:r>
        <w:rPr>
          <w:sz w:val="22"/>
          <w:szCs w:val="22"/>
        </w:rPr>
        <w:t xml:space="preserve">A 2026 APNIC technical report documents that Bangladesh's .bd ccTLD -- covering an estimated 50,000 domains across every government, university, and banking second-level domain -- had zero DNSSEC coverage until August 2025 </w:t>
      </w:r>
      <w:r>
        <w:t xml:space="preserve"> [18]</w:t>
      </w:r>
      <w:r>
        <w:rPr>
          <w:sz w:val="22"/>
          <w:szCs w:val="22"/>
        </w:rPr>
        <w:t xml:space="preserve">. While DNSSEC and TLS protect different layers (DNS response authenticity versus transport-layer confidentiality), this finding establishes a directly relevant precedent: Bangladesh's core Internet infrastructure has, at least once before, lagged badly on a deployed cryptographic protection until very recently. This proposal treats that finding as motivating context, not as evidence about TLS itself.</w:t>
      </w:r>
    </w:p>
    <w:p>
      <w:pPr>
        <w:pStyle w:val="Heading1"/>
        <w:spacing w:after="160" w:before="360"/>
      </w:pPr>
      <w:r>
        <w:t xml:space="preserve">3. Problem Statement and Research Gap</w:t>
      </w:r>
    </w:p>
    <w:p>
      <w:pPr>
        <w:spacing w:after="160" w:line="276"/>
      </w:pPr>
      <w:r>
        <w:rPr>
          <w:sz w:val="22"/>
          <w:szCs w:val="22"/>
        </w:rPr>
        <w:t xml:space="preserve">Synthesizing Sections 1 and 2, three gaps motivate this study:</w:t>
      </w:r>
    </w:p>
    <w:p>
      <w:pPr>
        <w:pStyle w:val="ListParagraph"/>
        <w:numPr>
          <w:ilvl w:val="0"/>
          <w:numId w:val="1"/>
        </w:numPr>
        <w:spacing w:after="100"/>
      </w:pPr>
      <w:r>
        <w:rPr>
          <w:sz w:val="22"/>
          <w:szCs w:val="22"/>
        </w:rPr>
        <w:t xml:space="preserve">No published measurement of TLS deployment or post-quantum readiness exists for Bangladesh's .bd domain space, at any sector granularity.</w:t>
      </w:r>
    </w:p>
    <w:p>
      <w:pPr>
        <w:pStyle w:val="ListParagraph"/>
        <w:numPr>
          <w:ilvl w:val="0"/>
          <w:numId w:val="1"/>
        </w:numPr>
        <w:spacing w:after="100"/>
      </w:pPr>
      <w:r>
        <w:rPr>
          <w:sz w:val="22"/>
          <w:szCs w:val="22"/>
        </w:rPr>
        <w:t xml:space="preserve">The nearest comparable study [1] is a South Asian regional measurement, not a global one, and its dataset excludes Bangladesh entirely -- meaning a like-for-like national comparison within the same region is possible but has never been done.</w:t>
      </w:r>
    </w:p>
    <w:p>
      <w:pPr>
        <w:pStyle w:val="ListParagraph"/>
        <w:numPr>
          <w:ilvl w:val="0"/>
          <w:numId w:val="1"/>
        </w:numPr>
        <w:spacing w:after="100"/>
      </w:pPr>
      <w:r>
        <w:rPr>
          <w:sz w:val="22"/>
          <w:szCs w:val="22"/>
        </w:rPr>
        <w:t xml:space="preserve">Existing Bangladeshi web-security literature [14]-[17] has repeatedly assessed application-layer vulnerabilities but has never once examined transport-layer cryptographic configuration, leaving open the basic empirical question of where Bangladesh's critical-sector websites currently stand on TLS version, cipher strength, certificate quality, and post-quantum migration.</w:t>
      </w:r>
    </w:p>
    <w:p>
      <w:pPr>
        <w:pStyle w:val="Heading1"/>
        <w:spacing w:after="160" w:before="360"/>
      </w:pPr>
      <w:r>
        <w:t xml:space="preserve">4. Research Objectives</w:t>
      </w:r>
    </w:p>
    <w:p>
      <w:pPr>
        <w:spacing w:after="160" w:line="276"/>
      </w:pPr>
      <w:r>
        <w:rPr>
          <w:sz w:val="22"/>
          <w:szCs w:val="22"/>
        </w:rPr>
        <w:t xml:space="preserve">This study aims to:</w:t>
      </w:r>
    </w:p>
    <w:p>
      <w:pPr>
        <w:pStyle w:val="ListParagraph"/>
        <w:numPr>
          <w:ilvl w:val="0"/>
          <w:numId w:val="1"/>
        </w:numPr>
        <w:spacing w:after="100"/>
      </w:pPr>
      <w:r>
        <w:rPr>
          <w:sz w:val="22"/>
          <w:szCs w:val="22"/>
        </w:rPr>
        <w:t xml:space="preserve">RO1: Construct a stratified corpus of .bd domains spanning government, banking/finance, university, e-commerce, and telecom sectors.</w:t>
      </w:r>
    </w:p>
    <w:p>
      <w:pPr>
        <w:pStyle w:val="ListParagraph"/>
        <w:numPr>
          <w:ilvl w:val="0"/>
          <w:numId w:val="1"/>
        </w:numPr>
        <w:spacing w:after="100"/>
      </w:pPr>
      <w:r>
        <w:rPr>
          <w:sz w:val="22"/>
          <w:szCs w:val="22"/>
        </w:rPr>
        <w:t xml:space="preserve">RO2: Passively measure, for each domain, negotiated TLS protocol version, cipher suite, key exchange group (including hybrid post-quantum X25519MLKEM768 support), certificate signature algorithm, certificate key size and type, certificate issuer, expiry and self-signed status, and HSTS header presence.</w:t>
      </w:r>
    </w:p>
    <w:p>
      <w:pPr>
        <w:pStyle w:val="ListParagraph"/>
        <w:numPr>
          <w:ilvl w:val="0"/>
          <w:numId w:val="1"/>
        </w:numPr>
        <w:spacing w:after="100"/>
      </w:pPr>
      <w:r>
        <w:rPr>
          <w:sz w:val="22"/>
          <w:szCs w:val="22"/>
        </w:rPr>
        <w:t xml:space="preserve">RO3: Produce a sector-wise breakdown of TLS and PQC readiness across the sampled .bd domains.</w:t>
      </w:r>
    </w:p>
    <w:p>
      <w:pPr>
        <w:pStyle w:val="ListParagraph"/>
        <w:numPr>
          <w:ilvl w:val="0"/>
          <w:numId w:val="1"/>
        </w:numPr>
        <w:spacing w:after="100"/>
      </w:pPr>
      <w:r>
        <w:rPr>
          <w:sz w:val="22"/>
          <w:szCs w:val="22"/>
        </w:rPr>
        <w:t xml:space="preserve">RO4: Compare Bangladesh's sector-wise results against the South Asian regional baseline [1] and the banking-specific baseline [2].</w:t>
      </w:r>
    </w:p>
    <w:p>
      <w:pPr>
        <w:pStyle w:val="ListParagraph"/>
        <w:numPr>
          <w:ilvl w:val="0"/>
          <w:numId w:val="1"/>
        </w:numPr>
        <w:spacing w:after="100"/>
      </w:pPr>
      <w:r>
        <w:rPr>
          <w:sz w:val="22"/>
          <w:szCs w:val="22"/>
        </w:rPr>
        <w:t xml:space="preserve">RO5: Publish the resulting dataset and measurement tooling as an open, reusable artifact for future longitudinal tracking of Bangladesh's PQC migration.</w:t>
      </w:r>
    </w:p>
    <w:p>
      <w:pPr>
        <w:pStyle w:val="Heading1"/>
        <w:spacing w:after="160" w:before="360"/>
      </w:pPr>
      <w:r>
        <w:t xml:space="preserve">5. Methodology</w:t>
      </w:r>
    </w:p>
    <w:p>
      <w:pPr>
        <w:pStyle w:val="Heading2"/>
        <w:spacing w:after="120" w:before="240"/>
      </w:pPr>
      <w:r>
        <w:t xml:space="preserve">5.1 Domain Corpus Construction</w:t>
      </w:r>
    </w:p>
    <w:p>
      <w:pPr>
        <w:spacing w:after="160" w:line="276"/>
      </w:pPr>
      <w:r>
        <w:rPr>
          <w:sz w:val="22"/>
          <w:szCs w:val="22"/>
        </w:rPr>
        <w:t xml:space="preserve">Domains will be drawn from authoritative sector lists rather than a general crawl, mirroring the approach used for the Reserve Bank of India bank list in the comparison baseline </w:t>
      </w:r>
      <w:r>
        <w:t xml:space="preserve"> [1]</w:t>
      </w:r>
      <w:r>
        <w:rPr>
          <w:sz w:val="22"/>
          <w:szCs w:val="22"/>
        </w:rPr>
        <w:t xml:space="preserve">: Bangladesh Bank's list of scheduled banks and non-bank financial institutions (banking sector); the University Grants Commission's list of approved universities (education sector); Bangladesh Telecommunication Regulatory Commission (BTRC)-licensed operators (telecom sector); ministry and directorate portals under the .gov.bd namespace (government sector); and a ranked sample of .com.bd e-commerce domains. A target corpus of approximately 2,000-3,000 domains is planned, subject to revision once list construction is complete.</w:t>
      </w:r>
    </w:p>
    <w:p>
      <w:pPr>
        <w:pStyle w:val="Heading2"/>
        <w:spacing w:after="120" w:before="240"/>
      </w:pPr>
      <w:r>
        <w:t xml:space="preserve">5.2 Measurement Framework</w:t>
      </w:r>
    </w:p>
    <w:p>
      <w:pPr>
        <w:spacing w:after="160" w:line="276"/>
      </w:pPr>
      <w:r>
        <w:rPr>
          <w:sz w:val="22"/>
          <w:szCs w:val="22"/>
        </w:rPr>
        <w:t xml:space="preserve">All measurement is passive: a TLS ClientHello is sent to each domain on port 443, identical in kind to any ordinary browser connection, and the negotiated ServerHello parameters are recorded. No exploit payloads, authentication bypass attempts, or application-layer probing of the kind used in prior Bangladeshi studies </w:t>
      </w:r>
      <w:r>
        <w:t xml:space="preserve"> [14]</w:t>
      </w:r>
      <w:r>
        <w:t xml:space="preserve"> [15]</w:t>
      </w:r>
      <w:r>
        <w:rPr>
          <w:sz w:val="22"/>
          <w:szCs w:val="22"/>
        </w:rPr>
        <w:t xml:space="preserve"> are performed. The measurement pipeline uses Python with the </w:t>
      </w:r>
      <w:r>
        <w:rPr>
          <w:i/>
          <w:iCs/>
          <w:sz w:val="22"/>
          <w:szCs w:val="22"/>
        </w:rPr>
        <w:t xml:space="preserve">openssl s_client</w:t>
      </w:r>
      <w:r>
        <w:rPr>
          <w:sz w:val="22"/>
          <w:szCs w:val="22"/>
        </w:rPr>
        <w:t xml:space="preserve"> command for handshake-level parameter extraction, </w:t>
      </w:r>
      <w:r>
        <w:rPr>
          <w:i/>
          <w:iCs/>
          <w:sz w:val="22"/>
          <w:szCs w:val="22"/>
        </w:rPr>
        <w:t xml:space="preserve">sslyze</w:t>
      </w:r>
      <w:r>
        <w:rPr>
          <w:sz w:val="22"/>
          <w:szCs w:val="22"/>
        </w:rPr>
        <w:t xml:space="preserve"> and/or </w:t>
      </w:r>
      <w:r>
        <w:rPr>
          <w:i/>
          <w:iCs/>
          <w:sz w:val="22"/>
          <w:szCs w:val="22"/>
        </w:rPr>
        <w:t xml:space="preserve">testssl.sh</w:t>
      </w:r>
      <w:r>
        <w:rPr>
          <w:sz w:val="22"/>
          <w:szCs w:val="22"/>
        </w:rPr>
        <w:t xml:space="preserve"> for structured TLS configuration scanning, and certificate parsing via </w:t>
      </w:r>
      <w:r>
        <w:rPr>
          <w:i/>
          <w:iCs/>
          <w:sz w:val="22"/>
          <w:szCs w:val="22"/>
        </w:rPr>
        <w:t xml:space="preserve">openssl x509</w:t>
      </w:r>
      <w:r>
        <w:rPr>
          <w:sz w:val="22"/>
          <w:szCs w:val="22"/>
        </w:rPr>
        <w:t xml:space="preserve">, broadly following the multi-tool validation approach (OpenSSL probing cross-checked against packet-level and browser-level observation) used in the comparison baseline </w:t>
      </w:r>
      <w:r>
        <w:t xml:space="preserve"> [1]</w:t>
      </w:r>
      <w:r>
        <w:rPr>
          <w:sz w:val="22"/>
          <w:szCs w:val="22"/>
        </w:rPr>
        <w:t xml:space="preserve">.</w:t>
      </w:r>
    </w:p>
    <w:p>
      <w:pPr>
        <w:pStyle w:val="Heading2"/>
        <w:spacing w:after="120" w:before="240"/>
      </w:pPr>
      <w:r>
        <w:t xml:space="preserve">5.3 Parameters Recorded</w:t>
      </w:r>
    </w:p>
    <w:p>
      <w:pPr>
        <w:pStyle w:val="ListParagraph"/>
        <w:numPr>
          <w:ilvl w:val="0"/>
          <w:numId w:val="1"/>
        </w:numPr>
        <w:spacing w:after="100"/>
      </w:pPr>
      <w:r>
        <w:rPr>
          <w:sz w:val="22"/>
          <w:szCs w:val="22"/>
        </w:rPr>
        <w:t xml:space="preserve">Negotiated TLS protocol version (SSLv3 / TLS 1.0-1.3)</w:t>
      </w:r>
    </w:p>
    <w:p>
      <w:pPr>
        <w:pStyle w:val="ListParagraph"/>
        <w:numPr>
          <w:ilvl w:val="0"/>
          <w:numId w:val="1"/>
        </w:numPr>
        <w:spacing w:after="100"/>
      </w:pPr>
      <w:r>
        <w:rPr>
          <w:sz w:val="22"/>
          <w:szCs w:val="22"/>
        </w:rPr>
        <w:t xml:space="preserve">Negotiated cipher suite</w:t>
      </w:r>
    </w:p>
    <w:p>
      <w:pPr>
        <w:pStyle w:val="ListParagraph"/>
        <w:numPr>
          <w:ilvl w:val="0"/>
          <w:numId w:val="1"/>
        </w:numPr>
        <w:spacing w:after="100"/>
      </w:pPr>
      <w:r>
        <w:rPr>
          <w:sz w:val="22"/>
          <w:szCs w:val="22"/>
        </w:rPr>
        <w:t xml:space="preserve">Negotiated key exchange group, with explicit classification of hybrid post-quantum groups (X25519MLKEM768) versus classical-only groups (X25519, secp256r1, secp384r1, RSA)</w:t>
      </w:r>
    </w:p>
    <w:p>
      <w:pPr>
        <w:pStyle w:val="ListParagraph"/>
        <w:numPr>
          <w:ilvl w:val="0"/>
          <w:numId w:val="1"/>
        </w:numPr>
        <w:spacing w:after="100"/>
      </w:pPr>
      <w:r>
        <w:rPr>
          <w:sz w:val="22"/>
          <w:szCs w:val="22"/>
        </w:rPr>
        <w:t xml:space="preserve">Certificate signature algorithm (RSA / ECDSA family) and public key size</w:t>
      </w:r>
    </w:p>
    <w:p>
      <w:pPr>
        <w:pStyle w:val="ListParagraph"/>
        <w:numPr>
          <w:ilvl w:val="0"/>
          <w:numId w:val="1"/>
        </w:numPr>
        <w:spacing w:after="100"/>
      </w:pPr>
      <w:r>
        <w:rPr>
          <w:sz w:val="22"/>
          <w:szCs w:val="22"/>
        </w:rPr>
        <w:t xml:space="preserve">Certificate issuer (Certificate Authority) and issuer concentration</w:t>
      </w:r>
    </w:p>
    <w:p>
      <w:pPr>
        <w:pStyle w:val="ListParagraph"/>
        <w:numPr>
          <w:ilvl w:val="0"/>
          <w:numId w:val="1"/>
        </w:numPr>
        <w:spacing w:after="100"/>
      </w:pPr>
      <w:r>
        <w:rPr>
          <w:sz w:val="22"/>
          <w:szCs w:val="22"/>
        </w:rPr>
        <w:t xml:space="preserve">Certificate expiry status and self-signed rate</w:t>
      </w:r>
    </w:p>
    <w:p>
      <w:pPr>
        <w:pStyle w:val="ListParagraph"/>
        <w:numPr>
          <w:ilvl w:val="0"/>
          <w:numId w:val="1"/>
        </w:numPr>
        <w:spacing w:after="100"/>
      </w:pPr>
      <w:r>
        <w:rPr>
          <w:sz w:val="22"/>
          <w:szCs w:val="22"/>
        </w:rPr>
        <w:t xml:space="preserve">Presence of the HTTP Strict Transport Security (HSTS) header</w:t>
      </w:r>
    </w:p>
    <w:p>
      <w:pPr>
        <w:pStyle w:val="Heading2"/>
        <w:spacing w:after="120" w:before="240"/>
      </w:pPr>
      <w:r>
        <w:t xml:space="preserve">5.4 Comparative Analysis</w:t>
      </w:r>
    </w:p>
    <w:p>
      <w:pPr>
        <w:spacing w:after="160" w:line="276"/>
      </w:pPr>
      <w:r>
        <w:rPr>
          <w:sz w:val="22"/>
          <w:szCs w:val="22"/>
        </w:rPr>
        <w:t xml:space="preserve">Sector-wise results will be compared against two published baselines: the South Asian regional PQC readiness study </w:t>
      </w:r>
      <w:r>
        <w:t xml:space="preserve"> [1]</w:t>
      </w:r>
      <w:r>
        <w:rPr>
          <w:sz w:val="22"/>
          <w:szCs w:val="22"/>
        </w:rPr>
        <w:t xml:space="preserve"> for TLS version and hybrid key-exchange adoption, and the 50-bank global TLS survey </w:t>
      </w:r>
      <w:r>
        <w:t xml:space="preserve"> [2]</w:t>
      </w:r>
      <w:r>
        <w:rPr>
          <w:sz w:val="22"/>
          <w:szCs w:val="22"/>
        </w:rPr>
        <w:t xml:space="preserve"> for the banking sector specifically. Where the comparison baseline reports device-dependent fallback behavior (the same domain negotiating TLS 1.3 on one client and TLS 1.2 on another) </w:t>
      </w:r>
      <w:r>
        <w:t xml:space="preserve"> [1]</w:t>
      </w:r>
      <w:r>
        <w:rPr>
          <w:sz w:val="22"/>
          <w:szCs w:val="22"/>
        </w:rPr>
        <w:t xml:space="preserve">, this study will note that its own single-vantage-point measurement captures only one negotiated configuration per domain and cannot itself characterize that variability -- a limitation discussed further in Section 7.</w:t>
      </w:r>
    </w:p>
    <w:p>
      <w:pPr>
        <w:pStyle w:val="Heading2"/>
        <w:spacing w:after="120" w:before="240"/>
      </w:pPr>
      <w:r>
        <w:t xml:space="preserve">5.5 Ethical and Legal Considerations</w:t>
      </w:r>
    </w:p>
    <w:p>
      <w:pPr>
        <w:spacing w:after="160" w:line="276"/>
      </w:pPr>
      <w:r>
        <w:rPr>
          <w:sz w:val="22"/>
          <w:szCs w:val="22"/>
        </w:rPr>
        <w:t xml:space="preserve">This study performs only passive TLS handshakes, equivalent to ordinary browser traffic, and does not use active vulnerability scanners such as OWASP ZAP or Acunetix, which prior Bangladeshi studies applied to government and financial infrastructure </w:t>
      </w:r>
      <w:r>
        <w:t xml:space="preserve"> [14]</w:t>
      </w:r>
      <w:r>
        <w:t xml:space="preserve"> [15]</w:t>
      </w:r>
      <w:r>
        <w:rPr>
          <w:sz w:val="22"/>
          <w:szCs w:val="22"/>
        </w:rPr>
        <w:t xml:space="preserve">. No authentication is attempted, no application logic is probed, and no data beyond publicly negotiated TLS handshake parameters is collected. This distinction is methodologically significant and will be stated explicitly in the paper's introduction to avoid the study being conflated with prior active-scanning literature on Bangladeshi websites.</w:t>
      </w:r>
    </w:p>
    <w:p>
      <w:pPr>
        <w:pStyle w:val="Heading2"/>
        <w:spacing w:after="120" w:before="240"/>
      </w:pPr>
      <w:r>
        <w:t xml:space="preserve">5.6 Computational Requirements</w:t>
      </w:r>
    </w:p>
    <w:p>
      <w:pPr>
        <w:spacing w:after="160" w:line="276"/>
      </w:pPr>
      <w:r>
        <w:rPr>
          <w:sz w:val="22"/>
          <w:szCs w:val="22"/>
        </w:rPr>
        <w:t xml:space="preserve">Measurement is CPU-bound and network-bound rather than GPU-bound; passive handshake scanning of a few thousand domains is feasible on standard consumer hardware. A free-tier cloud notebook environment will be used as a fallback for parallelized scanning runs if local execution time becomes a bottleneck.</w:t>
      </w:r>
    </w:p>
    <w:p>
      <w:pPr>
        <w:pStyle w:val="Heading1"/>
        <w:spacing w:after="160" w:before="360"/>
      </w:pPr>
      <w:r>
        <w:t xml:space="preserve">6. Proposed Timeline</w:t>
      </w:r>
    </w:p>
    <w:p>
      <w:pPr>
        <w:spacing w:after="160" w:line="276"/>
      </w:pPr>
      <w:r>
        <w:rPr>
          <w:sz w:val="22"/>
          <w:szCs w:val="22"/>
        </w:rPr>
        <w:t xml:space="preserve">The study is scoped to a one-month execution window, structured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F4E79" w:val="clear"/>
          </w:tcPr>
          <w:p>
            <w:r>
              <w:rPr>
                <w:b/>
                <w:bCs/>
                <w:color w:val="FFFFFF"/>
                <w:sz w:val="20"/>
                <w:szCs w:val="20"/>
              </w:rPr>
              <w:t xml:space="preserve">Phase</w:t>
            </w:r>
          </w:p>
        </w:tc>
        <w:tc>
          <w:tcPr>
            <w:tcW w:type="dxa" w:w="1200"/>
            <w:shd w:fill="1F4E79" w:val="clear"/>
          </w:tcPr>
          <w:p>
            <w:r>
              <w:rPr>
                <w:b/>
                <w:bCs/>
                <w:color w:val="FFFFFF"/>
                <w:sz w:val="20"/>
                <w:szCs w:val="20"/>
              </w:rPr>
              <w:t xml:space="preserve">Days</w:t>
            </w:r>
          </w:p>
        </w:tc>
        <w:tc>
          <w:tcPr>
            <w:tcW w:type="dxa" w:w="5200"/>
            <w:shd w:fill="1F4E79" w:val="clear"/>
          </w:tcPr>
          <w:p>
            <w:r>
              <w:rPr>
                <w:b/>
                <w:bCs/>
                <w:color w:val="FFFFFF"/>
                <w:sz w:val="20"/>
                <w:szCs w:val="20"/>
              </w:rPr>
              <w:t xml:space="preserve">Activities</w:t>
            </w:r>
          </w:p>
        </w:tc>
      </w:tr>
      <w:tr>
        <w:tc>
          <w:tcPr>
            <w:tcW w:type="dxa" w:w="2600"/>
          </w:tcPr>
          <w:p>
            <w:r>
              <w:rPr>
                <w:b w:val="false"/>
                <w:bCs w:val="false"/>
                <w:color w:val="000000"/>
                <w:sz w:val="20"/>
                <w:szCs w:val="20"/>
              </w:rPr>
              <w:t xml:space="preserve">1. Corpus construction</w:t>
            </w:r>
          </w:p>
        </w:tc>
        <w:tc>
          <w:tcPr>
            <w:tcW w:type="dxa" w:w="1200"/>
          </w:tcPr>
          <w:p>
            <w:r>
              <w:rPr>
                <w:b w:val="false"/>
                <w:bCs w:val="false"/>
                <w:color w:val="000000"/>
                <w:sz w:val="20"/>
                <w:szCs w:val="20"/>
              </w:rPr>
              <w:t xml:space="preserve">1-4</w:t>
            </w:r>
          </w:p>
        </w:tc>
        <w:tc>
          <w:tcPr>
            <w:tcW w:type="dxa" w:w="5200"/>
          </w:tcPr>
          <w:p>
            <w:r>
              <w:rPr>
                <w:b w:val="false"/>
                <w:bCs w:val="false"/>
                <w:color w:val="000000"/>
                <w:sz w:val="20"/>
                <w:szCs w:val="20"/>
              </w:rPr>
              <w:t xml:space="preserve">Compile sector domain lists from Bangladesh Bank, UGC, BTRC, and .gov.bd sources; deduplicate and validate DNS resolution.</w:t>
            </w:r>
          </w:p>
        </w:tc>
      </w:tr>
      <w:tr>
        <w:tc>
          <w:tcPr>
            <w:tcW w:type="dxa" w:w="2600"/>
          </w:tcPr>
          <w:p>
            <w:r>
              <w:rPr>
                <w:b w:val="false"/>
                <w:bCs w:val="false"/>
                <w:color w:val="000000"/>
                <w:sz w:val="20"/>
                <w:szCs w:val="20"/>
              </w:rPr>
              <w:t xml:space="preserve">2. Tooling setup</w:t>
            </w:r>
          </w:p>
        </w:tc>
        <w:tc>
          <w:tcPr>
            <w:tcW w:type="dxa" w:w="1200"/>
          </w:tcPr>
          <w:p>
            <w:r>
              <w:rPr>
                <w:b w:val="false"/>
                <w:bCs w:val="false"/>
                <w:color w:val="000000"/>
                <w:sz w:val="20"/>
                <w:szCs w:val="20"/>
              </w:rPr>
              <w:t xml:space="preserve">3-5</w:t>
            </w:r>
          </w:p>
        </w:tc>
        <w:tc>
          <w:tcPr>
            <w:tcW w:type="dxa" w:w="5200"/>
          </w:tcPr>
          <w:p>
            <w:r>
              <w:rPr>
                <w:b w:val="false"/>
                <w:bCs w:val="false"/>
                <w:color w:val="000000"/>
                <w:sz w:val="20"/>
                <w:szCs w:val="20"/>
              </w:rPr>
              <w:t xml:space="preserve">Build and test the passive scanning pipeline (openssl s_client, sslyze/testssl.sh, certificate parser); pilot run on a small sample.</w:t>
            </w:r>
          </w:p>
        </w:tc>
      </w:tr>
      <w:tr>
        <w:tc>
          <w:tcPr>
            <w:tcW w:type="dxa" w:w="2600"/>
          </w:tcPr>
          <w:p>
            <w:r>
              <w:rPr>
                <w:b w:val="false"/>
                <w:bCs w:val="false"/>
                <w:color w:val="000000"/>
                <w:sz w:val="20"/>
                <w:szCs w:val="20"/>
              </w:rPr>
              <w:t xml:space="preserve">3. Full-scale scanning</w:t>
            </w:r>
          </w:p>
        </w:tc>
        <w:tc>
          <w:tcPr>
            <w:tcW w:type="dxa" w:w="1200"/>
          </w:tcPr>
          <w:p>
            <w:r>
              <w:rPr>
                <w:b w:val="false"/>
                <w:bCs w:val="false"/>
                <w:color w:val="000000"/>
                <w:sz w:val="20"/>
                <w:szCs w:val="20"/>
              </w:rPr>
              <w:t xml:space="preserve">6-12</w:t>
            </w:r>
          </w:p>
        </w:tc>
        <w:tc>
          <w:tcPr>
            <w:tcW w:type="dxa" w:w="5200"/>
          </w:tcPr>
          <w:p>
            <w:r>
              <w:rPr>
                <w:b w:val="false"/>
                <w:bCs w:val="false"/>
                <w:color w:val="000000"/>
                <w:sz w:val="20"/>
                <w:szCs w:val="20"/>
              </w:rPr>
              <w:t xml:space="preserve">Run the complete measurement pass across all sectors; log failures/timeouts and re-attempt unreachable domains.</w:t>
            </w:r>
          </w:p>
        </w:tc>
      </w:tr>
      <w:tr>
        <w:tc>
          <w:tcPr>
            <w:tcW w:type="dxa" w:w="2600"/>
          </w:tcPr>
          <w:p>
            <w:r>
              <w:rPr>
                <w:b w:val="false"/>
                <w:bCs w:val="false"/>
                <w:color w:val="000000"/>
                <w:sz w:val="20"/>
                <w:szCs w:val="20"/>
              </w:rPr>
              <w:t xml:space="preserve">4. Analysis</w:t>
            </w:r>
          </w:p>
        </w:tc>
        <w:tc>
          <w:tcPr>
            <w:tcW w:type="dxa" w:w="1200"/>
          </w:tcPr>
          <w:p>
            <w:r>
              <w:rPr>
                <w:b w:val="false"/>
                <w:bCs w:val="false"/>
                <w:color w:val="000000"/>
                <w:sz w:val="20"/>
                <w:szCs w:val="20"/>
              </w:rPr>
              <w:t xml:space="preserve">13-18</w:t>
            </w:r>
          </w:p>
        </w:tc>
        <w:tc>
          <w:tcPr>
            <w:tcW w:type="dxa" w:w="5200"/>
          </w:tcPr>
          <w:p>
            <w:r>
              <w:rPr>
                <w:b w:val="false"/>
                <w:bCs w:val="false"/>
                <w:color w:val="000000"/>
                <w:sz w:val="20"/>
                <w:szCs w:val="20"/>
              </w:rPr>
              <w:t xml:space="preserve">Sector-wise tabulation; comparison against baselines [1], [2]; identify notable findings (e.g., PQC adoption rate, TLS 1.2 prevalence by sector).</w:t>
            </w:r>
          </w:p>
        </w:tc>
      </w:tr>
      <w:tr>
        <w:tc>
          <w:tcPr>
            <w:tcW w:type="dxa" w:w="2600"/>
          </w:tcPr>
          <w:p>
            <w:r>
              <w:rPr>
                <w:b w:val="false"/>
                <w:bCs w:val="false"/>
                <w:color w:val="000000"/>
                <w:sz w:val="20"/>
                <w:szCs w:val="20"/>
              </w:rPr>
              <w:t xml:space="preserve">5. Writing</w:t>
            </w:r>
          </w:p>
        </w:tc>
        <w:tc>
          <w:tcPr>
            <w:tcW w:type="dxa" w:w="1200"/>
          </w:tcPr>
          <w:p>
            <w:r>
              <w:rPr>
                <w:b w:val="false"/>
                <w:bCs w:val="false"/>
                <w:color w:val="000000"/>
                <w:sz w:val="20"/>
                <w:szCs w:val="20"/>
              </w:rPr>
              <w:t xml:space="preserve">19-25</w:t>
            </w:r>
          </w:p>
        </w:tc>
        <w:tc>
          <w:tcPr>
            <w:tcW w:type="dxa" w:w="5200"/>
          </w:tcPr>
          <w:p>
            <w:r>
              <w:rPr>
                <w:b w:val="false"/>
                <w:bCs w:val="false"/>
                <w:color w:val="000000"/>
                <w:sz w:val="20"/>
                <w:szCs w:val="20"/>
              </w:rPr>
              <w:t xml:space="preserve">Draft introduction, related work, methodology, results, and discussion sections.</w:t>
            </w:r>
          </w:p>
        </w:tc>
      </w:tr>
      <w:tr>
        <w:tc>
          <w:tcPr>
            <w:tcW w:type="dxa" w:w="2600"/>
          </w:tcPr>
          <w:p>
            <w:r>
              <w:rPr>
                <w:b w:val="false"/>
                <w:bCs w:val="false"/>
                <w:color w:val="000000"/>
                <w:sz w:val="20"/>
                <w:szCs w:val="20"/>
              </w:rPr>
              <w:t xml:space="preserve">6. Internal review and revision</w:t>
            </w:r>
          </w:p>
        </w:tc>
        <w:tc>
          <w:tcPr>
            <w:tcW w:type="dxa" w:w="1200"/>
          </w:tcPr>
          <w:p>
            <w:r>
              <w:rPr>
                <w:b w:val="false"/>
                <w:bCs w:val="false"/>
                <w:color w:val="000000"/>
                <w:sz w:val="20"/>
                <w:szCs w:val="20"/>
              </w:rPr>
              <w:t xml:space="preserve">26-28</w:t>
            </w:r>
          </w:p>
        </w:tc>
        <w:tc>
          <w:tcPr>
            <w:tcW w:type="dxa" w:w="5200"/>
          </w:tcPr>
          <w:p>
            <w:r>
              <w:rPr>
                <w:b w:val="false"/>
                <w:bCs w:val="false"/>
                <w:color w:val="000000"/>
                <w:sz w:val="20"/>
                <w:szCs w:val="20"/>
              </w:rPr>
              <w:t xml:space="preserve">Review against target venue formatting requirements; incorporate co-author/supervisor feedback.</w:t>
            </w:r>
          </w:p>
        </w:tc>
      </w:tr>
      <w:tr>
        <w:tc>
          <w:tcPr>
            <w:tcW w:type="dxa" w:w="2600"/>
          </w:tcPr>
          <w:p>
            <w:r>
              <w:rPr>
                <w:b w:val="false"/>
                <w:bCs w:val="false"/>
                <w:color w:val="000000"/>
                <w:sz w:val="20"/>
                <w:szCs w:val="20"/>
              </w:rPr>
              <w:t xml:space="preserve">7. Submission buffer</w:t>
            </w:r>
          </w:p>
        </w:tc>
        <w:tc>
          <w:tcPr>
            <w:tcW w:type="dxa" w:w="1200"/>
          </w:tcPr>
          <w:p>
            <w:r>
              <w:rPr>
                <w:b w:val="false"/>
                <w:bCs w:val="false"/>
                <w:color w:val="000000"/>
                <w:sz w:val="20"/>
                <w:szCs w:val="20"/>
              </w:rPr>
              <w:t xml:space="preserve">29-30</w:t>
            </w:r>
          </w:p>
        </w:tc>
        <w:tc>
          <w:tcPr>
            <w:tcW w:type="dxa" w:w="5200"/>
          </w:tcPr>
          <w:p>
            <w:r>
              <w:rPr>
                <w:b w:val="false"/>
                <w:bCs w:val="false"/>
                <w:color w:val="000000"/>
                <w:sz w:val="20"/>
                <w:szCs w:val="20"/>
              </w:rPr>
              <w:t xml:space="preserve">Final proofreading, reference verification, and submission.</w:t>
            </w:r>
          </w:p>
        </w:tc>
      </w:tr>
    </w:tbl>
    <w:p>
      <w:pPr>
        <w:spacing w:after="200"/>
      </w:pPr>
      <w:r>
        <w:rPr>
          <w:sz w:val="22"/>
          <w:szCs w:val="22"/>
        </w:rPr>
        <w:t xml:space="preserve"/>
      </w:r>
    </w:p>
    <w:p>
      <w:pPr>
        <w:pStyle w:val="Heading1"/>
        <w:spacing w:after="160" w:before="360"/>
      </w:pPr>
      <w:r>
        <w:t xml:space="preserve">7. Expected Contributions</w:t>
      </w:r>
    </w:p>
    <w:p>
      <w:pPr>
        <w:pStyle w:val="ListParagraph"/>
        <w:numPr>
          <w:ilvl w:val="0"/>
          <w:numId w:val="1"/>
        </w:numPr>
        <w:spacing w:after="100"/>
      </w:pPr>
      <w:r>
        <w:rPr>
          <w:sz w:val="22"/>
          <w:szCs w:val="22"/>
        </w:rPr>
        <w:t xml:space="preserve">The first published sector-wise TLS and post-quantum readiness measurement of Bangladesh's .bd domain infrastructure.</w:t>
      </w:r>
    </w:p>
    <w:p>
      <w:pPr>
        <w:pStyle w:val="ListParagraph"/>
        <w:numPr>
          <w:ilvl w:val="0"/>
          <w:numId w:val="1"/>
        </w:numPr>
        <w:spacing w:after="100"/>
      </w:pPr>
      <w:r>
        <w:rPr>
          <w:sz w:val="22"/>
          <w:szCs w:val="22"/>
        </w:rPr>
        <w:t xml:space="preserve">A direct, like-for-like regional comparison against the nearest existing South Asian baseline [1], reframing the novelty of this work around a within-region gap rather than a global one.</w:t>
      </w:r>
    </w:p>
    <w:p>
      <w:pPr>
        <w:pStyle w:val="ListParagraph"/>
        <w:numPr>
          <w:ilvl w:val="0"/>
          <w:numId w:val="1"/>
        </w:numPr>
        <w:spacing w:after="100"/>
      </w:pPr>
      <w:r>
        <w:rPr>
          <w:sz w:val="22"/>
          <w:szCs w:val="22"/>
        </w:rPr>
        <w:t xml:space="preserve">An open dataset and reusable scanning tool, enabling future longitudinal tracking of Bangladesh's post-quantum migration as browser and server support for hybrid key exchange continues to roll out.</w:t>
      </w:r>
    </w:p>
    <w:p>
      <w:pPr>
        <w:pStyle w:val="ListParagraph"/>
        <w:numPr>
          <w:ilvl w:val="0"/>
          <w:numId w:val="1"/>
        </w:numPr>
        <w:spacing w:after="100"/>
      </w:pPr>
      <w:r>
        <w:rPr>
          <w:sz w:val="22"/>
          <w:szCs w:val="22"/>
        </w:rPr>
        <w:t xml:space="preserve">A methodological contribution distinguishing passive cryptographic-configuration measurement from the active vulnerability scanning that has dominated prior Bangladeshi web-security research [14]-[17], and a discussion of why the former is both sufficient for this research question and more appropriate for scanning government and financial infrastructure without authorization.</w:t>
      </w:r>
    </w:p>
    <w:p>
      <w:pPr>
        <w:pStyle w:val="ListParagraph"/>
        <w:numPr>
          <w:ilvl w:val="0"/>
          <w:numId w:val="1"/>
        </w:numPr>
        <w:spacing w:after="100"/>
      </w:pPr>
      <w:r>
        <w:rPr>
          <w:sz w:val="22"/>
          <w:szCs w:val="22"/>
        </w:rPr>
        <w:t xml:space="preserve">Evidence-based input for national policy discussions on PQC migration timelines, building on the precedent set by Bangladesh's own recent DNSSEC rollout [18].</w:t>
      </w:r>
    </w:p>
    <w:p>
      <w:pPr>
        <w:pStyle w:val="Heading1"/>
        <w:spacing w:after="160" w:before="360"/>
      </w:pPr>
      <w:r>
        <w:t xml:space="preserve">8. Limitations</w:t>
      </w:r>
    </w:p>
    <w:p>
      <w:pPr>
        <w:pStyle w:val="ListParagraph"/>
        <w:numPr>
          <w:ilvl w:val="0"/>
          <w:numId w:val="1"/>
        </w:numPr>
        <w:spacing w:after="100"/>
      </w:pPr>
      <w:r>
        <w:rPr>
          <w:sz w:val="22"/>
          <w:szCs w:val="22"/>
        </w:rPr>
        <w:t xml:space="preserve">Single-vantage-point scanning: the comparison baseline documents that the same domain can negotiate different TLS configurations depending on client browser/OS/network position [1]; this study's results describe what one scanning client observes, not the full space of client-server negotiation outcomes.</w:t>
      </w:r>
    </w:p>
    <w:p>
      <w:pPr>
        <w:pStyle w:val="ListParagraph"/>
        <w:numPr>
          <w:ilvl w:val="0"/>
          <w:numId w:val="1"/>
        </w:numPr>
        <w:spacing w:after="100"/>
      </w:pPr>
      <w:r>
        <w:rPr>
          <w:sz w:val="22"/>
          <w:szCs w:val="22"/>
        </w:rPr>
        <w:t xml:space="preserve">One-month scope constrains corpus size relative to the 32,011-domain comparison baseline [1]; sector-wise sample sizes will be reported transparently, and statistical claims will be scoped to what the achieved sample size supports.</w:t>
      </w:r>
    </w:p>
    <w:p>
      <w:pPr>
        <w:pStyle w:val="ListParagraph"/>
        <w:numPr>
          <w:ilvl w:val="0"/>
          <w:numId w:val="1"/>
        </w:numPr>
        <w:spacing w:after="100"/>
      </w:pPr>
      <w:r>
        <w:rPr>
          <w:sz w:val="22"/>
          <w:szCs w:val="22"/>
        </w:rPr>
        <w:t xml:space="preserve">Passive scanning cannot detect application-layer vulnerabilities of the kind prior Bangladeshi studies found in the same sectors [14]-[17]; this study makes no claim about, and does not attempt to measure, those vulnerability classes.</w:t>
      </w:r>
    </w:p>
    <w:p>
      <w:pPr>
        <w:pStyle w:val="ListParagraph"/>
        <w:numPr>
          <w:ilvl w:val="0"/>
          <w:numId w:val="1"/>
        </w:numPr>
        <w:spacing w:after="100"/>
      </w:pPr>
      <w:r>
        <w:rPr>
          <w:sz w:val="22"/>
          <w:szCs w:val="22"/>
        </w:rPr>
        <w:t xml:space="preserve">CDN-fronted domains may report the CDN provider's TLS/PQC configuration rather than the origin server's own deployment, a limitation also noted in the comparison baseline [1].</w:t>
      </w:r>
    </w:p>
    <w:p>
      <w:r>
        <w:br w:type="page"/>
      </w:r>
    </w:p>
    <w:p>
      <w:pPr>
        <w:pStyle w:val="Heading1"/>
        <w:spacing w:after="160" w:before="360"/>
      </w:pPr>
      <w:r>
        <w:t xml:space="preserve">References</w:t>
      </w:r>
    </w:p>
    <w:p>
      <w:pPr>
        <w:spacing w:after="140"/>
        <w:ind w:left="360" w:hanging="360"/>
      </w:pPr>
      <w:r>
        <w:rPr>
          <w:b/>
          <w:bCs/>
          <w:sz w:val="20"/>
          <w:szCs w:val="20"/>
        </w:rPr>
        <w:t xml:space="preserve">[1] </w:t>
      </w:r>
      <w:r>
        <w:rPr>
          <w:sz w:val="20"/>
          <w:szCs w:val="20"/>
        </w:rPr>
        <w:t xml:space="preserve">V. M. Dubey and G. Varshney, "Measurement Study of Post-Quantum Readiness of Internet: 2026," arXiv:2606.16473, Jun. 2026.</w:t>
      </w:r>
    </w:p>
    <w:p>
      <w:pPr>
        <w:spacing w:after="140"/>
        <w:ind w:left="360" w:hanging="360"/>
      </w:pPr>
      <w:r>
        <w:rPr>
          <w:b/>
          <w:bCs/>
          <w:sz w:val="20"/>
          <w:szCs w:val="20"/>
        </w:rPr>
        <w:t xml:space="preserve">[2] </w:t>
      </w:r>
      <w:r>
        <w:rPr>
          <w:sz w:val="20"/>
          <w:szCs w:val="20"/>
        </w:rPr>
        <w:t xml:space="preserve">J. Chung and N. Vlajic, "Survey of Remote TLS Vulnerability Scanning Tools and Snapshot of TLS Use in Banking Sector," in Proc. IEEE Conf. Communications and Network Security (CNS), Austin, TX, USA, 2022, pp. 1-2.</w:t>
      </w:r>
    </w:p>
    <w:p>
      <w:pPr>
        <w:spacing w:after="140"/>
        <w:ind w:left="360" w:hanging="360"/>
      </w:pPr>
      <w:r>
        <w:rPr>
          <w:b/>
          <w:bCs/>
          <w:sz w:val="20"/>
          <w:szCs w:val="20"/>
        </w:rPr>
        <w:t xml:space="preserve">[3] </w:t>
      </w:r>
      <w:r>
        <w:rPr>
          <w:sz w:val="20"/>
          <w:szCs w:val="20"/>
        </w:rPr>
        <w:t xml:space="preserve">R. Holz, L. Braun, N. Kammenhuber, and G. Carle, "The SSL Landscape: A Thorough Analysis of the X.509 PKI Using Active and Passive Measurements," in Proc. ACM SIGCOMM Internet Measurement Conf. (IMC), Berlin, Germany, 2011, pp. 427-444.</w:t>
      </w:r>
    </w:p>
    <w:p>
      <w:pPr>
        <w:spacing w:after="140"/>
        <w:ind w:left="360" w:hanging="360"/>
      </w:pPr>
      <w:r>
        <w:rPr>
          <w:b/>
          <w:bCs/>
          <w:sz w:val="20"/>
          <w:szCs w:val="20"/>
        </w:rPr>
        <w:t xml:space="preserve">[4] </w:t>
      </w:r>
      <w:r>
        <w:rPr>
          <w:sz w:val="20"/>
          <w:szCs w:val="20"/>
        </w:rPr>
        <w:t xml:space="preserve">Z. Durumeric, Z. Ma, D. Springall, R. Barnes, N. Sullivan, E. Bursztein, M. Bailey, J. A. Halderman, and V. Paxson, "The Security Impact of HTTPS Interception," in Proc. Network and Distributed System Security Symp. (NDSS), 2017.</w:t>
      </w:r>
    </w:p>
    <w:p>
      <w:pPr>
        <w:spacing w:after="140"/>
        <w:ind w:left="360" w:hanging="360"/>
      </w:pPr>
      <w:r>
        <w:rPr>
          <w:b/>
          <w:bCs/>
          <w:sz w:val="20"/>
          <w:szCs w:val="20"/>
        </w:rPr>
        <w:t xml:space="preserve">[5] </w:t>
      </w:r>
      <w:r>
        <w:rPr>
          <w:sz w:val="20"/>
          <w:szCs w:val="20"/>
        </w:rPr>
        <w:t xml:space="preserve">R. Holz, J. Amann, A. Razaghpanah, and N. Vallina-Rodriguez, "The Era of TLS 1.3: Measuring Deployment and Use with Active and Passive Methods," arXiv:1907.12762, 2019.</w:t>
      </w:r>
    </w:p>
    <w:p>
      <w:pPr>
        <w:spacing w:after="140"/>
        <w:ind w:left="360" w:hanging="360"/>
      </w:pPr>
      <w:r>
        <w:rPr>
          <w:b/>
          <w:bCs/>
          <w:sz w:val="20"/>
          <w:szCs w:val="20"/>
        </w:rPr>
        <w:t xml:space="preserve">[6] </w:t>
      </w:r>
      <w:r>
        <w:rPr>
          <w:sz w:val="20"/>
          <w:szCs w:val="20"/>
        </w:rPr>
        <w:t xml:space="preserve">P. W. Shor, "Polynomial-Time Algorithms for Prime Factorization and Discrete Logarithms on a Quantum Computer," arXiv:quant-ph/9508027, 1995 (extended version of the 1994 FOCS paper).</w:t>
      </w:r>
    </w:p>
    <w:p>
      <w:pPr>
        <w:spacing w:after="140"/>
        <w:ind w:left="360" w:hanging="360"/>
      </w:pPr>
      <w:r>
        <w:rPr>
          <w:b/>
          <w:bCs/>
          <w:sz w:val="20"/>
          <w:szCs w:val="20"/>
        </w:rPr>
        <w:t xml:space="preserve">[7] </w:t>
      </w:r>
      <w:r>
        <w:rPr>
          <w:sz w:val="20"/>
          <w:szCs w:val="20"/>
        </w:rPr>
        <w:t xml:space="preserve">National Institute of Standards and Technology (NIST), "What Is Post-Quantum Cryptography?" nist.gov.</w:t>
      </w:r>
    </w:p>
    <w:p>
      <w:pPr>
        <w:spacing w:after="140"/>
        <w:ind w:left="360" w:hanging="360"/>
      </w:pPr>
      <w:r>
        <w:rPr>
          <w:b/>
          <w:bCs/>
          <w:sz w:val="20"/>
          <w:szCs w:val="20"/>
        </w:rPr>
        <w:t xml:space="preserve">[8] </w:t>
      </w:r>
      <w:r>
        <w:rPr>
          <w:sz w:val="20"/>
          <w:szCs w:val="20"/>
        </w:rPr>
        <w:t xml:space="preserve">E. Rescorla, "The Transport Layer Security (TLS) Protocol Version 1.3," IETF RFC 8446, Aug. 2018.</w:t>
      </w:r>
    </w:p>
    <w:p>
      <w:pPr>
        <w:spacing w:after="140"/>
        <w:ind w:left="360" w:hanging="360"/>
      </w:pPr>
      <w:r>
        <w:rPr>
          <w:b/>
          <w:bCs/>
          <w:sz w:val="20"/>
          <w:szCs w:val="20"/>
        </w:rPr>
        <w:t xml:space="preserve">[9] </w:t>
      </w:r>
      <w:r>
        <w:rPr>
          <w:sz w:val="20"/>
          <w:szCs w:val="20"/>
        </w:rPr>
        <w:t xml:space="preserve">T. Dierks and E. Rescorla, "The Transport Layer Security (TLS) Protocol Version 1.2," IETF RFC 5246, Aug. 2008.</w:t>
      </w:r>
    </w:p>
    <w:p>
      <w:pPr>
        <w:spacing w:after="140"/>
        <w:ind w:left="360" w:hanging="360"/>
      </w:pPr>
      <w:r>
        <w:rPr>
          <w:b/>
          <w:bCs/>
          <w:sz w:val="20"/>
          <w:szCs w:val="20"/>
        </w:rPr>
        <w:t xml:space="preserve">[10] </w:t>
      </w:r>
      <w:r>
        <w:rPr>
          <w:sz w:val="20"/>
          <w:szCs w:val="20"/>
        </w:rPr>
        <w:t xml:space="preserve">D. Stebila, S. Fluhrer, and S. Gueron, "Hybrid Key Exchange in TLS 1.3," IETF Internet-Draft draft-ietf-tls-hybrid-design-16, 2025 (Work in Progress).</w:t>
      </w:r>
    </w:p>
    <w:p>
      <w:pPr>
        <w:spacing w:after="140"/>
        <w:ind w:left="360" w:hanging="360"/>
      </w:pPr>
      <w:r>
        <w:rPr>
          <w:b/>
          <w:bCs/>
          <w:sz w:val="20"/>
          <w:szCs w:val="20"/>
        </w:rPr>
        <w:t xml:space="preserve">[11] </w:t>
      </w:r>
      <w:r>
        <w:rPr>
          <w:sz w:val="20"/>
          <w:szCs w:val="20"/>
        </w:rPr>
        <w:t xml:space="preserve">N. Alnahawi, J. Muller, J. Oupicky, and A. Wiesmaier, "SoK: Post-Quantum TLS Handshake," Cryptology ePrint Archive, Paper 2023/1873.</w:t>
      </w:r>
    </w:p>
    <w:p>
      <w:pPr>
        <w:spacing w:after="140"/>
        <w:ind w:left="360" w:hanging="360"/>
      </w:pPr>
      <w:r>
        <w:rPr>
          <w:b/>
          <w:bCs/>
          <w:sz w:val="20"/>
          <w:szCs w:val="20"/>
        </w:rPr>
        <w:t xml:space="preserve">[12] </w:t>
      </w:r>
      <w:r>
        <w:rPr>
          <w:sz w:val="20"/>
          <w:szCs w:val="20"/>
        </w:rPr>
        <w:t xml:space="preserve">Durr-E-Shahwar, M. Imran, A. B. Altamimi, W. Khan, S. Hussain, and M. Alsaffar, "Quantum Cryptography for Future Networks Security: A Systematic Review," IEEE Access, vol. 12, pp. 180048-180078, 2024.</w:t>
      </w:r>
    </w:p>
    <w:p>
      <w:pPr>
        <w:spacing w:after="140"/>
        <w:ind w:left="360" w:hanging="360"/>
      </w:pPr>
      <w:r>
        <w:rPr>
          <w:b/>
          <w:bCs/>
          <w:sz w:val="20"/>
          <w:szCs w:val="20"/>
        </w:rPr>
        <w:t xml:space="preserve">[13] </w:t>
      </w:r>
      <w:r>
        <w:rPr>
          <w:sz w:val="20"/>
          <w:szCs w:val="20"/>
        </w:rPr>
        <w:t xml:space="preserve">C. Benitez, "Mapping Quantum Threats: An Engineering Inventory of Cryptographic Dependencies," arXiv:2509.24623, 2026.</w:t>
      </w:r>
    </w:p>
    <w:p>
      <w:pPr>
        <w:spacing w:after="140"/>
        <w:ind w:left="360" w:hanging="360"/>
      </w:pPr>
      <w:r>
        <w:rPr>
          <w:b/>
          <w:bCs/>
          <w:sz w:val="20"/>
          <w:szCs w:val="20"/>
        </w:rPr>
        <w:t xml:space="preserve">[14] </w:t>
      </w:r>
      <w:r>
        <w:rPr>
          <w:sz w:val="20"/>
          <w:szCs w:val="20"/>
        </w:rPr>
        <w:t xml:space="preserve">M. Moniruzzaman, F. Chowdhury, and M. S. Ferdous, "Measuring Vulnerabilities of Bangladeshi Websites," in Proc. Int. Conf. Electrical, Computer and Communication Engineering (ECCE), Cox's Bazar, Bangladesh, 2019, pp. 1-7.</w:t>
      </w:r>
    </w:p>
    <w:p>
      <w:pPr>
        <w:spacing w:after="140"/>
        <w:ind w:left="360" w:hanging="360"/>
      </w:pPr>
      <w:r>
        <w:rPr>
          <w:b/>
          <w:bCs/>
          <w:sz w:val="20"/>
          <w:szCs w:val="20"/>
        </w:rPr>
        <w:t xml:space="preserve">[15] </w:t>
      </w:r>
      <w:r>
        <w:rPr>
          <w:sz w:val="20"/>
          <w:szCs w:val="20"/>
        </w:rPr>
        <w:t xml:space="preserve">Md. A. Masum, Md. R. I. Sachcha, and A. Nayem, "Security Analysis of Government &amp; Financial Websites of Bangladesh," Int. J. Education and Management Engineering (IJEME), vol. 12, no. 2, pp. 21-29, 2022.</w:t>
      </w:r>
    </w:p>
    <w:p>
      <w:pPr>
        <w:spacing w:after="140"/>
        <w:ind w:left="360" w:hanging="360"/>
      </w:pPr>
      <w:r>
        <w:rPr>
          <w:b/>
          <w:bCs/>
          <w:sz w:val="20"/>
          <w:szCs w:val="20"/>
        </w:rPr>
        <w:t xml:space="preserve">[16] </w:t>
      </w:r>
      <w:r>
        <w:rPr>
          <w:sz w:val="20"/>
          <w:szCs w:val="20"/>
        </w:rPr>
        <w:t xml:space="preserve">M. A. Rahman, M. Amjad, B. Ahmed, and M. S. Siddik, "Analyzing Web Application Vulnerabilities: An Empirical Study on E-Commerce Sector in Bangladesh," in Proc. Int. Conf. Computing Advancements, Jan. 2020, pp. 1-6.</w:t>
      </w:r>
    </w:p>
    <w:p>
      <w:pPr>
        <w:spacing w:after="140"/>
        <w:ind w:left="360" w:hanging="360"/>
      </w:pPr>
      <w:r>
        <w:rPr>
          <w:b/>
          <w:bCs/>
          <w:sz w:val="20"/>
          <w:szCs w:val="20"/>
        </w:rPr>
        <w:t xml:space="preserve">[17] </w:t>
      </w:r>
      <w:r>
        <w:rPr>
          <w:sz w:val="20"/>
          <w:szCs w:val="20"/>
        </w:rPr>
        <w:t xml:space="preserve">T. Farah, M. Shojol, M. Hassan, and D. Alam, "Assessment of Vulnerabilities of Web Applications of Bangladesh: A Case Study of XSS &amp; CSRF," in Proc. 6th Int. Conf. Digital Information and Communication Technology and its Applications (DICTAP), Konya, Turkey, 2016, pp. 74-78.</w:t>
      </w:r>
    </w:p>
    <w:p>
      <w:pPr>
        <w:spacing w:after="140"/>
        <w:ind w:left="360" w:hanging="360"/>
      </w:pPr>
      <w:r>
        <w:rPr>
          <w:b/>
          <w:bCs/>
          <w:sz w:val="20"/>
          <w:szCs w:val="20"/>
        </w:rPr>
        <w:t xml:space="preserve">[18] </w:t>
      </w:r>
      <w:r>
        <w:rPr>
          <w:sz w:val="20"/>
          <w:szCs w:val="20"/>
        </w:rPr>
        <w:t xml:space="preserve">Md. A. Awal, "From Workshop to Deployment: How Bangladesh ccTLD Implemented DNSSEC," APNIC Blog, Jun.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6"/>
        <w:szCs w:val="16"/>
      </w:rPr>
      <w:t xml:space="preserve">Research Proposal -- TLS/PQC Readiness of .bd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2026-09-09T07:02:33.892Z</dcterms:created>
  <dcterms:modified xsi:type="dcterms:W3CDTF">2026-09-09T07:02:33.892Z</dcterms:modified>
</cp:coreProperties>
</file>

<file path=docProps/custom.xml><?xml version="1.0" encoding="utf-8"?>
<Properties xmlns="http://schemas.openxmlformats.org/officeDocument/2006/custom-properties" xmlns:vt="http://schemas.openxmlformats.org/officeDocument/2006/docPropsVTypes"/>
</file>