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PROVISUAL — WEBSITE &amp; BUSINESS BUILD BRIEF</w:t>
      </w:r>
    </w:p>
    <w:p>
      <w:pPr>
        <w:jc w:val="center"/>
      </w:pPr>
      <w:r>
        <w:rPr>
          <w:b/>
        </w:rPr>
        <w:t>Version 1.0 · Launch Strategy · 2026</w:t>
      </w:r>
    </w:p>
    <w:p>
      <w:pPr>
        <w:pStyle w:val="Heading1"/>
      </w:pPr>
      <w:r>
        <w:t>1. Business Concept</w:t>
      </w:r>
    </w:p>
    <w:p>
      <w:r>
        <w:t>ProVisual should not be positioned as a traditional printing, wrapping or decoration company. The long-term positioning is a business-to-brand transformation platform: we help businesses build a stronger brand, communicate it consistently, make it visible and ultimately grow.</w:t>
      </w:r>
    </w:p>
    <w:p>
      <w:pPr>
        <w:pStyle w:val="IntenseQuote"/>
      </w:pPr>
      <w:r>
        <w:t>Core positioning: ProVisual helps businesses become brands — and brands become visible.</w:t>
      </w:r>
    </w:p>
    <w:p>
      <w:pPr>
        <w:jc w:val="center"/>
      </w:pPr>
      <w:r>
        <w:rPr>
          <w:b/>
        </w:rPr>
        <w:t>inVISIBLE → VISIBLE</w:t>
      </w:r>
    </w:p>
    <w:p>
      <w:r>
        <w:t>This transformation should become a recurring visual and communication device across the website, campaigns and before/after presentations.</w:t>
      </w:r>
    </w:p>
    <w:p>
      <w:pPr>
        <w:pStyle w:val="Heading1"/>
      </w:pPr>
      <w:r>
        <w:t>2. Launch Scope — Three Main Business Areas</w:t>
      </w:r>
    </w:p>
    <w:tbl>
      <w:tblPr>
        <w:tblStyle w:val="TableGrid"/>
        <w:tblW w:type="auto" w:w="0"/>
        <w:tblLook w:firstColumn="1" w:firstRow="1" w:lastColumn="0" w:lastRow="0" w:noHBand="0" w:noVBand="1" w:val="04A0"/>
      </w:tblPr>
      <w:tblGrid>
        <w:gridCol w:w="3360"/>
        <w:gridCol w:w="3360"/>
        <w:gridCol w:w="3360"/>
      </w:tblGrid>
      <w:tr>
        <w:tc>
          <w:tcPr>
            <w:tcW w:type="dxa" w:w="3360"/>
            <w:shd w:fill="111111"/>
          </w:tcPr>
          <w:p>
            <w:r>
              <w:rPr>
                <w:b/>
                <w:color w:val="FFFFFF"/>
              </w:rPr>
              <w:t>01 — BRANDIFY</w:t>
            </w:r>
          </w:p>
        </w:tc>
        <w:tc>
          <w:tcPr>
            <w:tcW w:type="dxa" w:w="3360"/>
            <w:shd w:fill="111111"/>
          </w:tcPr>
          <w:p>
            <w:r>
              <w:rPr>
                <w:b/>
                <w:color w:val="FFFFFF"/>
              </w:rPr>
              <w:t>02 — PACKAGING</w:t>
            </w:r>
          </w:p>
        </w:tc>
        <w:tc>
          <w:tcPr>
            <w:tcW w:type="dxa" w:w="3360"/>
            <w:shd w:fill="111111"/>
          </w:tcPr>
          <w:p>
            <w:r>
              <w:rPr>
                <w:b/>
                <w:color w:val="FFFFFF"/>
              </w:rPr>
              <w:t>03 — VEHICLE PROTECTION</w:t>
            </w:r>
          </w:p>
        </w:tc>
      </w:tr>
      <w:tr>
        <w:tc>
          <w:tcPr>
            <w:tcW w:type="dxa" w:w="3360"/>
          </w:tcPr>
          <w:p>
            <w:r>
              <w:t>Business growth and brand development.</w:t>
              <w:br/>
              <w:t>Initial focus: digital marketing / digital growth delivered through a trusted partner.</w:t>
              <w:br/>
              <w:t>Future: brand strategy, visual identity, vehicle branding, office branding, print &amp; apparel.</w:t>
            </w:r>
          </w:p>
        </w:tc>
        <w:tc>
          <w:tcPr>
            <w:tcW w:type="dxa" w:w="3360"/>
          </w:tcPr>
          <w:p>
            <w:r>
              <w:t>Packaging design and product presentation.</w:t>
              <w:br/>
              <w:t>Potential services: packaging identity, labels, boxes, product presentation, production, mockups/prototypes.</w:t>
            </w:r>
          </w:p>
        </w:tc>
        <w:tc>
          <w:tcPr>
            <w:tcW w:type="dxa" w:w="3360"/>
          </w:tcPr>
          <w:p>
            <w:r>
              <w:t>Umbrella category for Window Tint + Paint Protection Film (PPF).</w:t>
              <w:br/>
              <w:t>Use “Vehicle Protection” as the category; clearly expose TINT &amp; PPF as the actual services.</w:t>
            </w:r>
          </w:p>
        </w:tc>
      </w:tr>
    </w:tbl>
    <w:p>
      <w:pPr>
        <w:pStyle w:val="Heading1"/>
      </w:pPr>
      <w:r>
        <w:t>3. BRANDIFY — Initial Business Model</w:t>
      </w:r>
    </w:p>
    <w:p>
      <w:r>
        <w:t>At launch, Brandify’s digital marketing service will be fulfilled by a partner company. ProVisual remains the Norwegian client-facing contact and commercial intermediary.</w:t>
      </w:r>
    </w:p>
    <w:p>
      <w:r>
        <w:rPr>
          <w:rFonts w:ascii="Courier New" w:hAnsi="Courier New"/>
          <w:sz w:val="17"/>
        </w:rPr>
        <w:t>Client</w:t>
        <w:br/>
        <w:t xml:space="preserve">  ↓</w:t>
        <w:br/>
        <w:t>ProVisual — discovery / needs analysis / brief</w:t>
        <w:br/>
        <w:t xml:space="preserve">  ↓</w:t>
        <w:br/>
        <w:t>Specialist partner — solution + pricing</w:t>
        <w:br/>
        <w:t xml:space="preserve">  ↓</w:t>
        <w:br/>
        <w:t>ProVisual — client communication + invoicing</w:t>
        <w:br/>
        <w:t xml:space="preserve">  ↓</w:t>
        <w:br/>
        <w:t>Client</w:t>
      </w:r>
    </w:p>
    <w:p>
      <w:r>
        <w:t>The partner relationship should not dominate the public-facing website. The customer experience should feel like one clear ProVisual service with one point of contact.</w:t>
      </w:r>
    </w:p>
    <w:p>
      <w:pPr>
        <w:pStyle w:val="Heading1"/>
      </w:pPr>
      <w:r>
        <w:t>4. Conflict / Launch Protection</w:t>
      </w:r>
    </w:p>
    <w:p>
      <w:r>
        <w:t>Bildekor, Kontordekor and Trykk &amp; Klær must NOT be offered or publicly presented as available services at launch because they may conflict with the founder’s current employment at Foliexperten. The architecture should nevertheless be ready for these services to be activated later without a full rebuild.</w:t>
      </w:r>
    </w:p>
    <w:p>
      <w:r>
        <w:rPr>
          <w:rFonts w:ascii="Courier New" w:hAnsi="Courier New"/>
          <w:sz w:val="17"/>
        </w:rPr>
        <w:t>BRANDIFY</w:t>
        <w:br/>
        <w:t xml:space="preserve"> ├─ Brand Strategy</w:t>
        <w:br/>
        <w:t xml:space="preserve"> ├─ Visual Identity</w:t>
        <w:br/>
        <w:t xml:space="preserve"> ├─ Digital Growth</w:t>
        <w:br/>
        <w:t xml:space="preserve"> ├─ Bildekor       [FUTURE]</w:t>
        <w:br/>
        <w:t xml:space="preserve"> ├─ Kontordekor    [FUTURE]</w:t>
        <w:br/>
        <w:t xml:space="preserve"> └─ Trykk &amp; Klær   [FUTURE]</w:t>
      </w:r>
    </w:p>
    <w:p>
      <w:pPr>
        <w:pStyle w:val="Heading1"/>
      </w:pPr>
      <w:r>
        <w:t>5. Recommended Website Architecture</w:t>
      </w:r>
    </w:p>
    <w:p>
      <w:r>
        <w:rPr>
          <w:rFonts w:ascii="Courier New" w:hAnsi="Courier New"/>
          <w:sz w:val="17"/>
        </w:rPr>
        <w:t>HOME</w:t>
        <w:br/>
        <w:t>BRANDIFY</w:t>
        <w:br/>
        <w:t xml:space="preserve">  ├─ Brand Strategy</w:t>
        <w:br/>
        <w:t xml:space="preserve">  ├─ Visual Identity</w:t>
        <w:br/>
        <w:t xml:space="preserve">  └─ Digital Growth</w:t>
        <w:br/>
        <w:t>PACKAGING</w:t>
        <w:br/>
        <w:t xml:space="preserve">  ├─ Packaging Design</w:t>
        <w:br/>
        <w:t xml:space="preserve">  ├─ Labels</w:t>
        <w:br/>
        <w:t xml:space="preserve">  ├─ Product Identity</w:t>
        <w:br/>
        <w:t xml:space="preserve">  └─ Packaging Production</w:t>
        <w:br/>
        <w:t>VEHICLE PROTECTION</w:t>
        <w:br/>
        <w:t xml:space="preserve">  ├─ Window Tint</w:t>
        <w:br/>
        <w:t xml:space="preserve">  └─ PPF</w:t>
        <w:br/>
        <w:t>WORK</w:t>
        <w:br/>
        <w:t xml:space="preserve">  ├─ Case Studies</w:t>
        <w:br/>
        <w:t xml:space="preserve">  └─ Before / After</w:t>
        <w:br/>
        <w:t>INSIGHTS</w:t>
        <w:br/>
        <w:t xml:space="preserve">  ├─ Brand</w:t>
        <w:br/>
        <w:t xml:space="preserve">  ├─ Marketing</w:t>
        <w:br/>
        <w:t xml:space="preserve">  ├─ Packaging</w:t>
        <w:br/>
        <w:t xml:space="preserve">  └─ Guides</w:t>
        <w:br/>
        <w:t>ABOUT</w:t>
        <w:br/>
        <w:t>START A PROJECT</w:t>
      </w:r>
    </w:p>
    <w:p>
      <w:pPr>
        <w:pStyle w:val="Heading1"/>
      </w:pPr>
      <w:r>
        <w:t>6. Homepage — Required Direction</w:t>
      </w:r>
    </w:p>
    <w:p>
      <w:r>
        <w:t>The current visual direction is a useful starting point, but the message must evolve from “visual production company” to “business transformation company.”</w:t>
      </w:r>
    </w:p>
    <w:p>
      <w:r>
        <w:rPr>
          <w:b/>
        </w:rPr>
        <w:t xml:space="preserve">Hero concept: </w:t>
      </w:r>
      <w:r>
        <w:t>inVISIBLE / Make it / VISIBLE</w:t>
      </w:r>
    </w:p>
    <w:p>
      <w:r>
        <w:t>Suggested supporting message: “We help businesses build a stronger brand — from digital growth and packaging to the physical and visual touchpoints that make a business visible.”</w:t>
      </w:r>
    </w:p>
    <w:p>
      <w:r>
        <w:t>Primary CTA: START YOUR PROJECT →</w:t>
      </w:r>
    </w:p>
    <w:p>
      <w:r>
        <w:t>Secondary CTA: EXPLORE BRANDIFY →</w:t>
      </w:r>
    </w:p>
    <w:p>
      <w:pPr>
        <w:pStyle w:val="Heading1"/>
      </w:pPr>
      <w:r>
        <w:t>7. Brand Messaging Framework</w:t>
      </w:r>
    </w:p>
    <w:tbl>
      <w:tblPr>
        <w:tblStyle w:val="TableGrid"/>
        <w:tblW w:type="auto" w:w="0"/>
        <w:tblLook w:firstColumn="1" w:firstRow="1" w:lastColumn="0" w:lastRow="0" w:noHBand="0" w:noVBand="1" w:val="04A0"/>
      </w:tblPr>
      <w:tblGrid>
        <w:gridCol w:w="3360"/>
        <w:gridCol w:w="3360"/>
        <w:gridCol w:w="3360"/>
      </w:tblGrid>
      <w:tr>
        <w:tc>
          <w:tcPr>
            <w:tcW w:type="dxa" w:w="3360"/>
          </w:tcPr>
          <w:p>
            <w:r>
              <w:t>What we do</w:t>
            </w:r>
          </w:p>
        </w:tc>
        <w:tc>
          <w:tcPr>
            <w:tcW w:type="dxa" w:w="3360"/>
          </w:tcPr>
          <w:p>
            <w:r>
              <w:t>Customer benefit</w:t>
            </w:r>
          </w:p>
        </w:tc>
        <w:tc>
          <w:tcPr>
            <w:tcW w:type="dxa" w:w="3360"/>
          </w:tcPr>
          <w:p>
            <w:r>
              <w:t>Example message</w:t>
            </w:r>
          </w:p>
        </w:tc>
      </w:tr>
      <w:tr>
        <w:tc>
          <w:tcPr>
            <w:tcW w:type="dxa" w:w="3360"/>
          </w:tcPr>
          <w:p>
            <w:r>
              <w:t>Brand Strategy / Identity</w:t>
            </w:r>
          </w:p>
        </w:tc>
        <w:tc>
          <w:tcPr>
            <w:tcW w:type="dxa" w:w="3360"/>
          </w:tcPr>
          <w:p>
            <w:r>
              <w:t>Build a memorable brand</w:t>
            </w:r>
          </w:p>
        </w:tc>
        <w:tc>
          <w:tcPr>
            <w:tcW w:type="dxa" w:w="3360"/>
          </w:tcPr>
          <w:p>
            <w:r>
              <w:t>Build a brand people remember.</w:t>
            </w:r>
          </w:p>
        </w:tc>
      </w:tr>
      <w:tr>
        <w:tc>
          <w:tcPr>
            <w:tcW w:type="dxa" w:w="3360"/>
          </w:tcPr>
          <w:p>
            <w:r>
              <w:t>Packaging</w:t>
            </w:r>
          </w:p>
        </w:tc>
        <w:tc>
          <w:tcPr>
            <w:tcW w:type="dxa" w:w="3360"/>
          </w:tcPr>
          <w:p>
            <w:r>
              <w:t>Make products look like brands</w:t>
            </w:r>
          </w:p>
        </w:tc>
        <w:tc>
          <w:tcPr>
            <w:tcW w:type="dxa" w:w="3360"/>
          </w:tcPr>
          <w:p>
            <w:r>
              <w:t>Turn your product into a brand.</w:t>
            </w:r>
          </w:p>
        </w:tc>
      </w:tr>
      <w:tr>
        <w:tc>
          <w:tcPr>
            <w:tcW w:type="dxa" w:w="3360"/>
          </w:tcPr>
          <w:p>
            <w:r>
              <w:t>Digital Growth</w:t>
            </w:r>
          </w:p>
        </w:tc>
        <w:tc>
          <w:tcPr>
            <w:tcW w:type="dxa" w:w="3360"/>
          </w:tcPr>
          <w:p>
            <w:r>
              <w:t>Get found and generate customers</w:t>
            </w:r>
          </w:p>
        </w:tc>
        <w:tc>
          <w:tcPr>
            <w:tcW w:type="dxa" w:w="3360"/>
          </w:tcPr>
          <w:p>
            <w:r>
              <w:t>Get your business found by the right customers.</w:t>
            </w:r>
          </w:p>
        </w:tc>
      </w:tr>
      <w:tr>
        <w:tc>
          <w:tcPr>
            <w:tcW w:type="dxa" w:w="3360"/>
          </w:tcPr>
          <w:p>
            <w:r>
              <w:t>Vehicle Protection</w:t>
            </w:r>
          </w:p>
        </w:tc>
        <w:tc>
          <w:tcPr>
            <w:tcW w:type="dxa" w:w="3360"/>
          </w:tcPr>
          <w:p>
            <w:r>
              <w:t>Protect vehicle appearance/value</w:t>
            </w:r>
          </w:p>
        </w:tc>
        <w:tc>
          <w:tcPr>
            <w:tcW w:type="dxa" w:w="3360"/>
          </w:tcPr>
          <w:p>
            <w:r>
              <w:t>Protect what makes your car valuable.</w:t>
            </w:r>
          </w:p>
        </w:tc>
      </w:tr>
    </w:tbl>
    <w:p>
      <w:pPr>
        <w:pStyle w:val="Heading1"/>
      </w:pPr>
      <w:r>
        <w:t>8. The ProVisual Method</w:t>
      </w:r>
    </w:p>
    <w:p>
      <w:r>
        <w:t>This should become a proprietary framework connecting the three business areas.</w:t>
      </w:r>
    </w:p>
    <w:p>
      <w:r>
        <w:rPr>
          <w:rFonts w:ascii="Courier New" w:hAnsi="Courier New"/>
          <w:sz w:val="17"/>
        </w:rPr>
        <w:t>01 DISCOVER   → Understand the business and the problem</w:t>
        <w:br/>
        <w:t>02 BRANDIFY   → Define/build the brand and solution</w:t>
        <w:br/>
        <w:t>03 BUILD      → Create the required assets</w:t>
        <w:br/>
        <w:t>04 VISIBLE    → Put the brand where customers see it</w:t>
        <w:br/>
        <w:t>05 GROW       → Use digital channels to generate growth</w:t>
      </w:r>
    </w:p>
    <w:p>
      <w:pPr>
        <w:pStyle w:val="Heading1"/>
      </w:pPr>
      <w:r>
        <w:t>9. Portfolio / Case Studies</w:t>
      </w:r>
    </w:p>
    <w:p>
      <w:pPr>
        <w:pStyle w:val="ListBullet"/>
      </w:pPr>
      <w:r>
        <w:t>Only publish work that can legitimately be presented as ProVisual work.</w:t>
      </w:r>
    </w:p>
    <w:p>
      <w:pPr>
        <w:pStyle w:val="ListBullet"/>
      </w:pPr>
      <w:r>
        <w:t>Do not use projects, images or claims that create a conflict with Foliexperten.</w:t>
      </w:r>
    </w:p>
    <w:p>
      <w:pPr>
        <w:pStyle w:val="ListBullet"/>
      </w:pPr>
      <w:r>
        <w:t>Use case-study storytelling: Problem → Solution → Result.</w:t>
      </w:r>
    </w:p>
    <w:p>
      <w:pPr>
        <w:pStyle w:val="ListBullet"/>
      </w:pPr>
      <w:r>
        <w:t>Before / After should be a recurring visual format.</w:t>
      </w:r>
    </w:p>
    <w:p>
      <w:pPr>
        <w:pStyle w:val="ListBullet"/>
      </w:pPr>
      <w:r>
        <w:t>Do not use unsupported figures such as “350+ customers” or “1200+ projects” unless they genuinely belong to ProVisual.</w:t>
      </w:r>
    </w:p>
    <w:p>
      <w:pPr>
        <w:pStyle w:val="Heading1"/>
      </w:pPr>
      <w:r>
        <w:t>10. Lead Generation — Core Principle</w:t>
      </w:r>
    </w:p>
    <w:p>
      <w:r>
        <w:t>The website must be designed as a conversion system, not only as a portfolio website.</w:t>
      </w:r>
    </w:p>
    <w:p>
      <w:r>
        <w:rPr>
          <w:rFonts w:ascii="Courier New" w:hAnsi="Courier New"/>
          <w:sz w:val="17"/>
        </w:rPr>
        <w:t>AD</w:t>
        <w:br/>
        <w:t xml:space="preserve"> ↓</w:t>
        <w:br/>
        <w:t>SPECIFIC LANDING PAGE</w:t>
        <w:br/>
        <w:t xml:space="preserve"> ↓</w:t>
        <w:br/>
        <w:t>SPECIFIC OFFER / BENEFIT</w:t>
        <w:br/>
        <w:t xml:space="preserve"> ↓</w:t>
        <w:br/>
        <w:t>LOW-FRICTION CTA</w:t>
        <w:br/>
        <w:t xml:space="preserve"> ↓</w:t>
        <w:br/>
        <w:t>LEAD</w:t>
        <w:br/>
        <w:t xml:space="preserve"> ↓</w:t>
        <w:br/>
        <w:t>QUALIFICATION</w:t>
        <w:br/>
        <w:t xml:space="preserve"> ↓</w:t>
        <w:br/>
        <w:t>QUOTE / PURCHASE</w:t>
        <w:br/>
        <w:t xml:space="preserve"> ↓</w:t>
        <w:br/>
        <w:t>SALE</w:t>
      </w:r>
    </w:p>
    <w:p>
      <w:r>
        <w:t>Do NOT send every campaign to the homepage.</w:t>
      </w:r>
    </w:p>
    <w:p>
      <w:pPr>
        <w:pStyle w:val="Heading1"/>
      </w:pPr>
      <w:r>
        <w:t>11. Landing Pages</w:t>
      </w:r>
    </w:p>
    <w:p>
      <w:pPr>
        <w:pStyle w:val="ListBullet"/>
      </w:pPr>
      <w:r>
        <w:t>/brandify</w:t>
      </w:r>
    </w:p>
    <w:p>
      <w:pPr>
        <w:pStyle w:val="ListBullet"/>
      </w:pPr>
      <w:r>
        <w:t>/digital-growth</w:t>
      </w:r>
    </w:p>
    <w:p>
      <w:pPr>
        <w:pStyle w:val="ListBullet"/>
      </w:pPr>
      <w:r>
        <w:t>/packaging</w:t>
      </w:r>
    </w:p>
    <w:p>
      <w:pPr>
        <w:pStyle w:val="ListBullet"/>
      </w:pPr>
      <w:r>
        <w:t>/vehicle-protection</w:t>
      </w:r>
    </w:p>
    <w:p>
      <w:pPr>
        <w:pStyle w:val="ListBullet"/>
      </w:pPr>
      <w:r>
        <w:t>Future: /bildekor, /kontordekor, /trykk-klaer</w:t>
      </w:r>
    </w:p>
    <w:p>
      <w:r>
        <w:t>Each landing page should continue the exact promise made in the advertisement and have one primary conversion objective.</w:t>
      </w:r>
    </w:p>
    <w:p>
      <w:pPr>
        <w:pStyle w:val="Heading1"/>
      </w:pPr>
      <w:r>
        <w:t>12. Two Conversion Paths</w:t>
      </w:r>
    </w:p>
    <w:p>
      <w:pPr>
        <w:pStyle w:val="Heading2"/>
      </w:pPr>
      <w:r>
        <w:t>A. Fixed Offers</w:t>
      </w:r>
    </w:p>
    <w:p>
      <w:r>
        <w:t>Use for simple, repeatable services. Show clear scope, price or starting price, deliverables and a direct START / BUY / BOOK CTA.</w:t>
      </w:r>
    </w:p>
    <w:p>
      <w:pPr>
        <w:pStyle w:val="Heading2"/>
      </w:pPr>
      <w:r>
        <w:t>B. Custom Projects</w:t>
      </w:r>
    </w:p>
    <w:p>
      <w:r>
        <w:t>Use for complex branding, packaging and growth projects. Replace the generic contact form with a short qualification flow.</w:t>
      </w:r>
    </w:p>
    <w:p>
      <w:r>
        <w:rPr>
          <w:rFonts w:ascii="Courier New" w:hAnsi="Courier New"/>
          <w:sz w:val="17"/>
        </w:rPr>
        <w:t>What do you need?</w:t>
        <w:br/>
        <w:t>☐ Brand  ☐ Packaging  ☐ Digital Growth  ☐ Vehicle Protection  ☐ Other</w:t>
        <w:br/>
        <w:br/>
        <w:t>Approximate budget?</w:t>
        <w:br/>
        <w:t>☐ &lt;10k  ☐ 10–25k  ☐ 25–50k  ☐ 50k+</w:t>
        <w:br/>
        <w:br/>
        <w:t>Tell us about your project</w:t>
        <w:br/>
        <w:br/>
        <w:t>GET A PROPOSAL →</w:t>
      </w:r>
    </w:p>
    <w:p>
      <w:pPr>
        <w:pStyle w:val="Heading1"/>
      </w:pPr>
      <w:r>
        <w:t>13. Advertising Strategy — 2026</w:t>
      </w:r>
    </w:p>
    <w:p>
      <w:r>
        <w:t>Start with three acquisition engines rather than trying to dominate every platform at once:</w:t>
      </w:r>
    </w:p>
    <w:p>
      <w:pPr>
        <w:pStyle w:val="ListBullet"/>
      </w:pPr>
      <w:r>
        <w:t>Google Search — capture existing high-intent demand (PPF, tint, packaging, branding, digital marketing).</w:t>
      </w:r>
    </w:p>
    <w:p>
      <w:pPr>
        <w:pStyle w:val="ListBullet"/>
      </w:pPr>
      <w:r>
        <w:t>Meta / Instagram / Facebook — visual transformation, before/after, packaging and short-form creative.</w:t>
      </w:r>
    </w:p>
    <w:p>
      <w:pPr>
        <w:pStyle w:val="ListBullet"/>
      </w:pPr>
      <w:r>
        <w:t>TikTok — transformation videos, process content, strong hooks and native lead/landing-page tests.</w:t>
      </w:r>
    </w:p>
    <w:p>
      <w:r>
        <w:t>The objective is not cheap traffic. The objective is qualified, paying customers.</w:t>
      </w:r>
    </w:p>
    <w:p>
      <w:pPr>
        <w:pStyle w:val="Heading1"/>
      </w:pPr>
      <w:r>
        <w:t>14. Advertising Creative Concepts</w:t>
      </w:r>
    </w:p>
    <w:p>
      <w:r>
        <w:rPr>
          <w:b/>
        </w:rPr>
        <w:t xml:space="preserve">INVISIBLE — </w:t>
      </w:r>
      <w:r>
        <w:t>“Is your business invisible?” → “Let’s make it visible.” → BRANDIFY YOUR BUSINESS</w:t>
      </w:r>
    </w:p>
    <w:p>
      <w:r>
        <w:rPr>
          <w:b/>
        </w:rPr>
        <w:t xml:space="preserve">BEFORE / AFTER — </w:t>
      </w:r>
      <w:r>
        <w:t>BEFORE → BRANDIFY → AFTER. Use real transformations whenever possible.</w:t>
      </w:r>
    </w:p>
    <w:p>
      <w:r>
        <w:rPr>
          <w:b/>
        </w:rPr>
        <w:t xml:space="preserve">YOU DON'T NEED A NEW BUSINESS — </w:t>
      </w:r>
      <w:r>
        <w:t>“You don’t need a new business. You need to make the one you have visible.”</w:t>
      </w:r>
    </w:p>
    <w:p>
      <w:r>
        <w:rPr>
          <w:b/>
        </w:rPr>
        <w:t xml:space="preserve">PACKAGING — </w:t>
      </w:r>
      <w:r>
        <w:t>“Your product is good. Does it look like it?” → LET’S BRAND IT.</w:t>
      </w:r>
    </w:p>
    <w:p>
      <w:r>
        <w:rPr>
          <w:b/>
        </w:rPr>
        <w:t xml:space="preserve">VEHICLE PROTECTION — </w:t>
      </w:r>
      <w:r>
        <w:t>“Protect the car. Keep the value.” → GET A QUOTE.</w:t>
      </w:r>
    </w:p>
    <w:p>
      <w:pPr>
        <w:pStyle w:val="Heading1"/>
      </w:pPr>
      <w:r>
        <w:t>15. Proprietary Lead Magnet — Visibility Test</w:t>
      </w:r>
    </w:p>
    <w:p>
      <w:r>
        <w:t>Create a simple interactive assessment: “How visible is your business?” This can become a distinctive ProVisual acquisition tool.</w:t>
      </w:r>
    </w:p>
    <w:p>
      <w:r>
        <w:rPr>
          <w:rFonts w:ascii="Courier New" w:hAnsi="Courier New"/>
          <w:sz w:val="17"/>
        </w:rPr>
        <w:t>1. Do you have a recognizable brand?</w:t>
        <w:br/>
        <w:t>2. Does your packaging look professional?</w:t>
        <w:br/>
        <w:t>3. Can people find you online?</w:t>
        <w:br/>
        <w:t>4. Does your physical presence communicate your brand?</w:t>
        <w:br/>
        <w:t>5. Do you actively generate new customers?</w:t>
        <w:br/>
        <w:br/>
        <w:t>→ VISIBILITY SCORE: 42/100</w:t>
        <w:br/>
        <w:t>→ BRANDIFY YOUR BUSINESS</w:t>
      </w:r>
    </w:p>
    <w:p>
      <w:r>
        <w:t>The purpose is to turn an abstract brand problem into a measurable conversation and capture qualified leads.</w:t>
      </w:r>
    </w:p>
    <w:p>
      <w:pPr>
        <w:pStyle w:val="Heading1"/>
      </w:pPr>
      <w:r>
        <w:t>16. UX / UI Direction</w:t>
      </w:r>
    </w:p>
    <w:p>
      <w:pPr>
        <w:pStyle w:val="ListBullet"/>
      </w:pPr>
      <w:r>
        <w:t>Keep the existing ProVisual visual DNA: black, white and ProVisual orange.</w:t>
      </w:r>
    </w:p>
    <w:p>
      <w:pPr>
        <w:pStyle w:val="ListBullet"/>
      </w:pPr>
      <w:r>
        <w:t>Use large editorial typography and strong visual hierarchy.</w:t>
      </w:r>
    </w:p>
    <w:p>
      <w:pPr>
        <w:pStyle w:val="ListBullet"/>
      </w:pPr>
      <w:r>
        <w:t>Make the site feel like a premium creative/business studio, not a print shop.</w:t>
      </w:r>
    </w:p>
    <w:p>
      <w:pPr>
        <w:pStyle w:val="ListBullet"/>
      </w:pPr>
      <w:r>
        <w:t>Use fewer, larger content blocks rather than many small service cards.</w:t>
      </w:r>
    </w:p>
    <w:p>
      <w:pPr>
        <w:pStyle w:val="ListBullet"/>
      </w:pPr>
      <w:r>
        <w:t>Use subtle motion: text reveals, image transitions, hover states, before/after sliders and restrained scroll interactions.</w:t>
      </w:r>
    </w:p>
    <w:p>
      <w:pPr>
        <w:pStyle w:val="ListBullet"/>
      </w:pPr>
      <w:r>
        <w:t>Keep navigation simple and CTA visibility high.</w:t>
      </w:r>
    </w:p>
    <w:p>
      <w:pPr>
        <w:pStyle w:val="ListBullet"/>
      </w:pPr>
      <w:r>
        <w:t>Use strong photography and real work wherever possible.</w:t>
      </w:r>
    </w:p>
    <w:p>
      <w:pPr>
        <w:pStyle w:val="ListBullet"/>
      </w:pPr>
      <w:r>
        <w:t>Design mobile-first from the beginning.</w:t>
      </w:r>
    </w:p>
    <w:p>
      <w:pPr>
        <w:pStyle w:val="Heading1"/>
      </w:pPr>
      <w:r>
        <w:t>17. Tracking &amp; Measurement — Mandatory From Day One</w:t>
      </w:r>
    </w:p>
    <w:p>
      <w:pPr>
        <w:pStyle w:val="ListBullet"/>
      </w:pPr>
      <w:r>
        <w:t>Google Analytics 4</w:t>
      </w:r>
    </w:p>
    <w:p>
      <w:pPr>
        <w:pStyle w:val="ListBullet"/>
      </w:pPr>
      <w:r>
        <w:t>Google Tag Manager</w:t>
      </w:r>
    </w:p>
    <w:p>
      <w:pPr>
        <w:pStyle w:val="ListBullet"/>
      </w:pPr>
      <w:r>
        <w:t>Google Ads conversion tracking</w:t>
      </w:r>
    </w:p>
    <w:p>
      <w:pPr>
        <w:pStyle w:val="ListBullet"/>
      </w:pPr>
      <w:r>
        <w:t>Meta Pixel + Conversions API where technically appropriate</w:t>
      </w:r>
    </w:p>
    <w:p>
      <w:pPr>
        <w:pStyle w:val="ListBullet"/>
      </w:pPr>
      <w:r>
        <w:t>TikTok Pixel</w:t>
      </w:r>
    </w:p>
    <w:p>
      <w:pPr>
        <w:pStyle w:val="ListBullet"/>
      </w:pPr>
      <w:r>
        <w:t>Microsoft Clarity or equivalent session/behavior analytics</w:t>
      </w:r>
    </w:p>
    <w:p>
      <w:pPr>
        <w:pStyle w:val="ListBullet"/>
      </w:pPr>
      <w:r>
        <w:t>GDPR-compliant consent management</w:t>
      </w:r>
    </w:p>
    <w:p>
      <w:r>
        <w:t>Track at minimum:</w:t>
      </w:r>
    </w:p>
    <w:p>
      <w:r>
        <w:rPr>
          <w:rFonts w:ascii="Courier New" w:hAnsi="Courier New"/>
          <w:sz w:val="17"/>
        </w:rPr>
        <w:t>page_view</w:t>
        <w:br/>
        <w:t>service_view</w:t>
        <w:br/>
        <w:t>cta_click</w:t>
        <w:br/>
        <w:t>form_start</w:t>
        <w:br/>
        <w:t>form_submit</w:t>
        <w:br/>
        <w:t>quote_request</w:t>
        <w:br/>
        <w:t>qualified_lead</w:t>
        <w:br/>
        <w:t>purchase</w:t>
      </w:r>
    </w:p>
    <w:p>
      <w:r>
        <w:t>The system should eventually connect lead → quote → sale, so advertising can be optimized for revenue rather than form volume.</w:t>
      </w:r>
    </w:p>
    <w:p>
      <w:pPr>
        <w:pStyle w:val="Heading1"/>
      </w:pPr>
      <w:r>
        <w:t>18. Current Visual Reference</w:t>
      </w:r>
    </w:p>
    <w:p>
      <w:r>
        <w:t>The supplied ProVisuell homepage screenshot is the visual baseline: black/white/orange palette, bold typography, hero photography, ticker, case studies and strong orange CTAs. Retain the visual DNA but change the strategic message and information architecture.</w:t>
      </w:r>
    </w:p>
    <w:p>
      <w:r>
        <w:t>Important: the existing design should be treated as a starting point, not as the final site structure.</w:t>
      </w:r>
    </w:p>
    <w:p>
      <w:pPr>
        <w:pStyle w:val="Heading1"/>
      </w:pPr>
      <w:r>
        <w:t>19. What Must Change from the Current Site</w:t>
      </w:r>
    </w:p>
    <w:p>
      <w:pPr>
        <w:pStyle w:val="ListBullet"/>
      </w:pPr>
      <w:r>
        <w:t>Remove Bildekor / Kontordekor / Trykklær from the list of currently available homepage services.</w:t>
      </w:r>
    </w:p>
    <w:p>
      <w:pPr>
        <w:pStyle w:val="ListBullet"/>
      </w:pPr>
      <w:r>
        <w:t>Do not present ProVisual primarily as a decoration/printing company.</w:t>
      </w:r>
    </w:p>
    <w:p>
      <w:pPr>
        <w:pStyle w:val="ListBullet"/>
      </w:pPr>
      <w:r>
        <w:t>Replace generic “visual solutions” messaging with business/brand transformation messaging.</w:t>
      </w:r>
    </w:p>
    <w:p>
      <w:pPr>
        <w:pStyle w:val="ListBullet"/>
      </w:pPr>
      <w:r>
        <w:t>Introduce Brandify, Packaging and Vehicle Protection as the three launch pillars.</w:t>
      </w:r>
    </w:p>
    <w:p>
      <w:pPr>
        <w:pStyle w:val="ListBullet"/>
      </w:pPr>
      <w:r>
        <w:t>Add a clear methodology / process.</w:t>
      </w:r>
    </w:p>
    <w:p>
      <w:pPr>
        <w:pStyle w:val="ListBullet"/>
      </w:pPr>
      <w:r>
        <w:t>Add conversion-oriented landing pages and fixed/custom offer paths.</w:t>
      </w:r>
    </w:p>
    <w:p>
      <w:pPr>
        <w:pStyle w:val="ListBullet"/>
      </w:pPr>
      <w:r>
        <w:t>Add Before → After storytelling.</w:t>
      </w:r>
    </w:p>
    <w:p>
      <w:pPr>
        <w:pStyle w:val="ListBullet"/>
      </w:pPr>
      <w:r>
        <w:t>Add measurement/tracking from launch.</w:t>
      </w:r>
    </w:p>
    <w:p>
      <w:pPr>
        <w:pStyle w:val="ListBullet"/>
      </w:pPr>
      <w:r>
        <w:t>Remove unsupported customer/project statistics.</w:t>
      </w:r>
    </w:p>
    <w:p>
      <w:pPr>
        <w:pStyle w:val="Heading1"/>
      </w:pPr>
      <w:r>
        <w:t>20. Website Success Criteria</w:t>
      </w:r>
    </w:p>
    <w:p>
      <w:pPr>
        <w:pStyle w:val="ListBullet"/>
      </w:pPr>
      <w:r>
        <w:t>A visitor should understand what ProVisual does within a few seconds.</w:t>
      </w:r>
    </w:p>
    <w:p>
      <w:pPr>
        <w:pStyle w:val="ListBullet"/>
      </w:pPr>
      <w:r>
        <w:t>A visitor should understand the three launch business areas without reading the whole site.</w:t>
      </w:r>
    </w:p>
    <w:p>
      <w:pPr>
        <w:pStyle w:val="ListBullet"/>
      </w:pPr>
      <w:r>
        <w:t>Every major traffic source should have a relevant landing page.</w:t>
      </w:r>
    </w:p>
    <w:p>
      <w:pPr>
        <w:pStyle w:val="ListBullet"/>
      </w:pPr>
      <w:r>
        <w:t>Visitors should have a clear next action: start, buy, request a proposal or take the Visibility Test.</w:t>
      </w:r>
    </w:p>
    <w:p>
      <w:pPr>
        <w:pStyle w:val="ListBullet"/>
      </w:pPr>
      <w:r>
        <w:t>The website should collect structured lead data, not only generic messages.</w:t>
      </w:r>
    </w:p>
    <w:p>
      <w:pPr>
        <w:pStyle w:val="ListBullet"/>
      </w:pPr>
      <w:r>
        <w:t>The architecture must support future services without a complete rebuild.</w:t>
      </w:r>
    </w:p>
    <w:p>
      <w:pPr>
        <w:pStyle w:val="ListBullet"/>
      </w:pPr>
      <w:r>
        <w:t>The site should feel premium, contemporary and commercially credible in the Norwegian market.</w:t>
      </w:r>
    </w:p>
    <w:p>
      <w:pPr>
        <w:pStyle w:val="Heading1"/>
      </w:pPr>
      <w:r>
        <w:t>21. One-Sentence Brief for the Developer</w:t>
      </w:r>
    </w:p>
    <w:p>
      <w:r>
        <w:rPr>
          <w:b/>
        </w:rPr>
        <w:t>Build ProVisual as a premium, conversion-focused business-to-brand platform — not a traditional print/decor website — with BRANDIFY, PACKAGING and VEHICLE PROTECTION as the three launch pillars, centered around “inVISIBLE → VISIBLE” and designed from day one for paid traffic, lead qualification, measurement and future expansion.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