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D3917" w14:textId="77777777" w:rsidR="00196D7B" w:rsidRDefault="00196D7B" w:rsidP="00196D7B">
      <w:pPr>
        <w:jc w:val="center"/>
        <w:rPr>
          <w:rFonts w:ascii="Times New Roman" w:hAnsi="Times New Roman" w:cs="Times New Roman"/>
          <w:b/>
          <w:bCs/>
          <w:sz w:val="36"/>
          <w:szCs w:val="36"/>
        </w:rPr>
      </w:pPr>
    </w:p>
    <w:p w14:paraId="02F8B12F" w14:textId="0D684D99" w:rsidR="00196D7B" w:rsidRDefault="00196D7B" w:rsidP="00196D7B">
      <w:pPr>
        <w:jc w:val="center"/>
        <w:rPr>
          <w:rFonts w:ascii="Times New Roman" w:hAnsi="Times New Roman" w:cs="Times New Roman"/>
          <w:b/>
          <w:bCs/>
          <w:sz w:val="36"/>
          <w:szCs w:val="36"/>
        </w:rPr>
      </w:pPr>
      <w:r>
        <w:rPr>
          <w:rFonts w:ascii="Times New Roman" w:hAnsi="Times New Roman" w:cs="Times New Roman"/>
          <w:b/>
          <w:bCs/>
          <w:sz w:val="36"/>
          <w:szCs w:val="36"/>
        </w:rPr>
        <w:t>Project Title</w:t>
      </w:r>
      <w:r w:rsidR="00047FD3">
        <w:rPr>
          <w:rFonts w:ascii="Times New Roman" w:hAnsi="Times New Roman" w:cs="Times New Roman"/>
          <w:b/>
          <w:bCs/>
          <w:sz w:val="36"/>
          <w:szCs w:val="36"/>
        </w:rPr>
        <w:t>:</w:t>
      </w:r>
    </w:p>
    <w:p w14:paraId="61104595" w14:textId="19B21571" w:rsidR="00AD3C8B" w:rsidRDefault="008B3A08" w:rsidP="00ED11F5">
      <w:pPr>
        <w:rPr>
          <w:rFonts w:ascii="Times New Roman" w:hAnsi="Times New Roman" w:cs="Times New Roman"/>
          <w:b/>
          <w:bCs/>
          <w:sz w:val="36"/>
          <w:szCs w:val="36"/>
        </w:rPr>
      </w:pPr>
      <w:r w:rsidRPr="008B3A08">
        <w:rPr>
          <w:rFonts w:ascii="Times New Roman" w:hAnsi="Times New Roman" w:cs="Times New Roman"/>
          <w:b/>
          <w:bCs/>
          <w:sz w:val="36"/>
          <w:szCs w:val="36"/>
        </w:rPr>
        <w:t>COVID-19 Impact on Economy: Evidence from Bangladesh</w:t>
      </w:r>
    </w:p>
    <w:p w14:paraId="2D4D9947" w14:textId="14FE163B" w:rsidR="008B3A08" w:rsidRDefault="008B3A08">
      <w:pPr>
        <w:rPr>
          <w:rFonts w:ascii="Times New Roman" w:hAnsi="Times New Roman" w:cs="Times New Roman"/>
          <w:b/>
          <w:bCs/>
          <w:sz w:val="36"/>
          <w:szCs w:val="36"/>
        </w:rPr>
      </w:pPr>
    </w:p>
    <w:p w14:paraId="72A79C50" w14:textId="445A0378" w:rsidR="008B3A08" w:rsidRPr="00ED11F5" w:rsidRDefault="00ED11F5" w:rsidP="00ED11F5">
      <w:pPr>
        <w:jc w:val="center"/>
        <w:rPr>
          <w:rFonts w:ascii="Times New Roman" w:hAnsi="Times New Roman" w:cs="Times New Roman"/>
          <w:sz w:val="36"/>
          <w:szCs w:val="36"/>
        </w:rPr>
      </w:pPr>
      <w:r w:rsidRPr="00ED11F5">
        <w:rPr>
          <w:rFonts w:ascii="Times New Roman" w:hAnsi="Times New Roman" w:cs="Times New Roman"/>
          <w:sz w:val="36"/>
          <w:szCs w:val="36"/>
        </w:rPr>
        <w:t>Submitted by: Md Ahad Sheakh</w:t>
      </w:r>
    </w:p>
    <w:p w14:paraId="4C43DBA6" w14:textId="35F4DDB4" w:rsidR="00ED11F5" w:rsidRPr="00ED11F5" w:rsidRDefault="00ED11F5" w:rsidP="00ED11F5">
      <w:pPr>
        <w:jc w:val="center"/>
        <w:rPr>
          <w:rFonts w:ascii="Times New Roman" w:hAnsi="Times New Roman" w:cs="Times New Roman"/>
          <w:sz w:val="36"/>
          <w:szCs w:val="36"/>
        </w:rPr>
      </w:pPr>
      <w:r w:rsidRPr="00ED11F5">
        <w:rPr>
          <w:rFonts w:ascii="Times New Roman" w:hAnsi="Times New Roman" w:cs="Times New Roman"/>
          <w:sz w:val="36"/>
          <w:szCs w:val="36"/>
        </w:rPr>
        <w:t>Batch:23</w:t>
      </w:r>
    </w:p>
    <w:p w14:paraId="0DEA0980" w14:textId="201158EA" w:rsidR="00ED11F5" w:rsidRPr="00ED11F5" w:rsidRDefault="00ED11F5" w:rsidP="00ED11F5">
      <w:pPr>
        <w:jc w:val="center"/>
        <w:rPr>
          <w:rFonts w:ascii="Times New Roman" w:hAnsi="Times New Roman" w:cs="Times New Roman"/>
          <w:sz w:val="36"/>
          <w:szCs w:val="36"/>
        </w:rPr>
      </w:pPr>
      <w:r w:rsidRPr="00ED11F5">
        <w:rPr>
          <w:rFonts w:ascii="Times New Roman" w:hAnsi="Times New Roman" w:cs="Times New Roman"/>
          <w:sz w:val="36"/>
          <w:szCs w:val="36"/>
        </w:rPr>
        <w:t>Roll:01-023-01</w:t>
      </w:r>
    </w:p>
    <w:p w14:paraId="4F873292" w14:textId="10ABF48B" w:rsidR="008B3A08" w:rsidRDefault="008B3A08">
      <w:pPr>
        <w:rPr>
          <w:rFonts w:ascii="Times New Roman" w:hAnsi="Times New Roman" w:cs="Times New Roman"/>
          <w:b/>
          <w:bCs/>
          <w:sz w:val="36"/>
          <w:szCs w:val="36"/>
        </w:rPr>
      </w:pPr>
    </w:p>
    <w:p w14:paraId="2FD12262" w14:textId="0520D1B0" w:rsidR="008B3A08" w:rsidRDefault="008B3A08">
      <w:pPr>
        <w:rPr>
          <w:rFonts w:ascii="Times New Roman" w:hAnsi="Times New Roman" w:cs="Times New Roman"/>
          <w:b/>
          <w:bCs/>
          <w:sz w:val="36"/>
          <w:szCs w:val="36"/>
        </w:rPr>
      </w:pPr>
    </w:p>
    <w:p w14:paraId="5718F65F" w14:textId="73B08582" w:rsidR="008B3A08" w:rsidRDefault="008B3A08">
      <w:pPr>
        <w:rPr>
          <w:rFonts w:ascii="Times New Roman" w:hAnsi="Times New Roman" w:cs="Times New Roman"/>
          <w:b/>
          <w:bCs/>
          <w:sz w:val="36"/>
          <w:szCs w:val="36"/>
        </w:rPr>
      </w:pPr>
    </w:p>
    <w:p w14:paraId="55FEB4C0" w14:textId="27691294" w:rsidR="008B3A08" w:rsidRDefault="008B3A08">
      <w:pPr>
        <w:rPr>
          <w:rFonts w:ascii="Times New Roman" w:hAnsi="Times New Roman" w:cs="Times New Roman"/>
          <w:b/>
          <w:bCs/>
          <w:sz w:val="36"/>
          <w:szCs w:val="36"/>
        </w:rPr>
      </w:pPr>
    </w:p>
    <w:p w14:paraId="04FA6FAB" w14:textId="169A9391" w:rsidR="008B3A08" w:rsidRDefault="008B3A08">
      <w:pPr>
        <w:rPr>
          <w:rFonts w:ascii="Times New Roman" w:hAnsi="Times New Roman" w:cs="Times New Roman"/>
          <w:b/>
          <w:bCs/>
          <w:sz w:val="36"/>
          <w:szCs w:val="36"/>
        </w:rPr>
      </w:pPr>
    </w:p>
    <w:p w14:paraId="431BEE1A" w14:textId="218A3FC7" w:rsidR="008B3A08" w:rsidRDefault="008B3A08">
      <w:pPr>
        <w:rPr>
          <w:rFonts w:ascii="Times New Roman" w:hAnsi="Times New Roman" w:cs="Times New Roman"/>
          <w:b/>
          <w:bCs/>
          <w:sz w:val="36"/>
          <w:szCs w:val="36"/>
        </w:rPr>
      </w:pPr>
    </w:p>
    <w:p w14:paraId="4FBD7116" w14:textId="31A830E2" w:rsidR="008B3A08" w:rsidRDefault="008B3A08">
      <w:pPr>
        <w:rPr>
          <w:rFonts w:ascii="Times New Roman" w:hAnsi="Times New Roman" w:cs="Times New Roman"/>
          <w:b/>
          <w:bCs/>
          <w:sz w:val="36"/>
          <w:szCs w:val="36"/>
        </w:rPr>
      </w:pPr>
    </w:p>
    <w:p w14:paraId="1C682A6A" w14:textId="632FF5F4" w:rsidR="008B3A08" w:rsidRDefault="008B3A08">
      <w:pPr>
        <w:rPr>
          <w:rFonts w:ascii="Times New Roman" w:hAnsi="Times New Roman" w:cs="Times New Roman"/>
          <w:b/>
          <w:bCs/>
          <w:sz w:val="36"/>
          <w:szCs w:val="36"/>
        </w:rPr>
      </w:pPr>
    </w:p>
    <w:p w14:paraId="41FB7C7D" w14:textId="67E3A1FF" w:rsidR="008B3A08" w:rsidRDefault="008B3A08">
      <w:pPr>
        <w:rPr>
          <w:rFonts w:ascii="Times New Roman" w:hAnsi="Times New Roman" w:cs="Times New Roman"/>
          <w:b/>
          <w:bCs/>
          <w:sz w:val="36"/>
          <w:szCs w:val="36"/>
        </w:rPr>
      </w:pPr>
    </w:p>
    <w:p w14:paraId="22CAA4A1" w14:textId="531A8B08" w:rsidR="008B3A08" w:rsidRDefault="008B3A08">
      <w:pPr>
        <w:rPr>
          <w:rFonts w:ascii="Times New Roman" w:hAnsi="Times New Roman" w:cs="Times New Roman"/>
          <w:b/>
          <w:bCs/>
          <w:sz w:val="36"/>
          <w:szCs w:val="36"/>
        </w:rPr>
      </w:pPr>
    </w:p>
    <w:p w14:paraId="3C5483E1" w14:textId="11541DA4" w:rsidR="008B3A08" w:rsidRDefault="008B3A08">
      <w:pPr>
        <w:rPr>
          <w:rFonts w:ascii="Times New Roman" w:hAnsi="Times New Roman" w:cs="Times New Roman"/>
          <w:b/>
          <w:bCs/>
          <w:sz w:val="36"/>
          <w:szCs w:val="36"/>
        </w:rPr>
      </w:pPr>
    </w:p>
    <w:p w14:paraId="6301DA51" w14:textId="5921490A" w:rsidR="008B3A08" w:rsidRDefault="008B3A08">
      <w:pPr>
        <w:rPr>
          <w:rFonts w:ascii="Times New Roman" w:hAnsi="Times New Roman" w:cs="Times New Roman"/>
          <w:b/>
          <w:bCs/>
          <w:sz w:val="36"/>
          <w:szCs w:val="36"/>
        </w:rPr>
      </w:pPr>
    </w:p>
    <w:p w14:paraId="6CFBE8E2" w14:textId="172227A8" w:rsidR="008B3A08" w:rsidRDefault="008B3A08">
      <w:pPr>
        <w:rPr>
          <w:rFonts w:ascii="Times New Roman" w:hAnsi="Times New Roman" w:cs="Times New Roman"/>
          <w:b/>
          <w:bCs/>
          <w:sz w:val="36"/>
          <w:szCs w:val="36"/>
        </w:rPr>
      </w:pPr>
    </w:p>
    <w:p w14:paraId="14580DC2" w14:textId="11148806" w:rsidR="008B3A08" w:rsidRDefault="008B3A08">
      <w:pPr>
        <w:rPr>
          <w:rFonts w:ascii="Times New Roman" w:hAnsi="Times New Roman" w:cs="Times New Roman"/>
          <w:b/>
          <w:bCs/>
          <w:sz w:val="36"/>
          <w:szCs w:val="36"/>
        </w:rPr>
      </w:pPr>
    </w:p>
    <w:p w14:paraId="1F80EF52" w14:textId="3069F0EF" w:rsidR="008B3A08" w:rsidRDefault="008B3A08">
      <w:pPr>
        <w:rPr>
          <w:rFonts w:ascii="Times New Roman" w:hAnsi="Times New Roman" w:cs="Times New Roman"/>
          <w:b/>
          <w:bCs/>
          <w:sz w:val="36"/>
          <w:szCs w:val="36"/>
        </w:rPr>
      </w:pPr>
    </w:p>
    <w:p w14:paraId="5CA72034" w14:textId="77777777" w:rsidR="008B3A08" w:rsidRPr="008B3A08" w:rsidRDefault="008B3A08" w:rsidP="008B3A08">
      <w:pPr>
        <w:spacing w:line="360" w:lineRule="auto"/>
        <w:rPr>
          <w:rFonts w:ascii="Times New Roman" w:hAnsi="Times New Roman" w:cs="Times New Roman"/>
          <w:b/>
          <w:bCs/>
          <w:sz w:val="24"/>
          <w:szCs w:val="24"/>
        </w:rPr>
      </w:pPr>
      <w:r w:rsidRPr="008B3A08">
        <w:rPr>
          <w:rFonts w:ascii="Times New Roman" w:hAnsi="Times New Roman" w:cs="Times New Roman"/>
          <w:b/>
          <w:bCs/>
          <w:sz w:val="24"/>
          <w:szCs w:val="24"/>
        </w:rPr>
        <w:t>1. Introduction</w:t>
      </w:r>
    </w:p>
    <w:p w14:paraId="128B4BED" w14:textId="77777777" w:rsidR="008B3A08" w:rsidRPr="008B3A08" w:rsidRDefault="008B3A08" w:rsidP="00196D7B">
      <w:pPr>
        <w:spacing w:line="360" w:lineRule="auto"/>
        <w:jc w:val="both"/>
        <w:rPr>
          <w:rFonts w:ascii="Times New Roman" w:hAnsi="Times New Roman" w:cs="Times New Roman"/>
          <w:sz w:val="24"/>
          <w:szCs w:val="24"/>
        </w:rPr>
      </w:pPr>
      <w:r w:rsidRPr="008B3A08">
        <w:rPr>
          <w:rFonts w:ascii="Times New Roman" w:hAnsi="Times New Roman" w:cs="Times New Roman"/>
          <w:sz w:val="24"/>
          <w:szCs w:val="24"/>
        </w:rPr>
        <w:t>The COVID-19 pandemic, which began in late 2019 and spread globally in early 2020, created an unprecedented health crisis with profound social and economic consequences. For Bangladesh, a developing nation with a rapidly growing economy, the pandemic posed immense challenges. The economy experienced disruptions in key sectors, including Ready-Made Garments (RMG), agriculture, tourism, and Small and Medium Enterprises (SMEs), which led to job losses, reduced production, and severe revenue declines.</w:t>
      </w:r>
    </w:p>
    <w:p w14:paraId="04EC7F32" w14:textId="77777777" w:rsidR="008B3A08" w:rsidRPr="008B3A08" w:rsidRDefault="008B3A08" w:rsidP="00196D7B">
      <w:pPr>
        <w:spacing w:line="360" w:lineRule="auto"/>
        <w:jc w:val="both"/>
        <w:rPr>
          <w:rFonts w:ascii="Times New Roman" w:hAnsi="Times New Roman" w:cs="Times New Roman"/>
          <w:sz w:val="24"/>
          <w:szCs w:val="24"/>
        </w:rPr>
      </w:pPr>
      <w:r w:rsidRPr="008B3A08">
        <w:rPr>
          <w:rFonts w:ascii="Times New Roman" w:hAnsi="Times New Roman" w:cs="Times New Roman"/>
          <w:sz w:val="24"/>
          <w:szCs w:val="24"/>
        </w:rPr>
        <w:t>This project investigates the economic impact of COVID-19 in Bangladesh, analyzing sectoral disruptions, key macroeconomic indicators, and recovery trends. The data-driven approach used here aims to understand the pandemic's overall effects on Bangladesh's economy and to highlight government interventions that helped stabilize critical sectors during and after the crisis. This project is divided into multiple sections, starting with an overview of the literature, the study's objectives, research methodology, followed by a detailed analysis of sector-specific data and economic indicators.</w:t>
      </w:r>
    </w:p>
    <w:p w14:paraId="7FD84833" w14:textId="788D9374" w:rsidR="008B3A08" w:rsidRPr="008B3A08" w:rsidRDefault="008B3A08" w:rsidP="008B3A08">
      <w:pPr>
        <w:spacing w:line="360" w:lineRule="auto"/>
        <w:rPr>
          <w:rFonts w:ascii="Times New Roman" w:hAnsi="Times New Roman" w:cs="Times New Roman"/>
          <w:sz w:val="24"/>
          <w:szCs w:val="24"/>
        </w:rPr>
      </w:pPr>
    </w:p>
    <w:p w14:paraId="2756BEB8" w14:textId="77777777" w:rsidR="008B3A08" w:rsidRPr="008B3A08" w:rsidRDefault="008B3A08" w:rsidP="008B3A08">
      <w:pPr>
        <w:spacing w:line="360" w:lineRule="auto"/>
        <w:rPr>
          <w:rFonts w:ascii="Times New Roman" w:hAnsi="Times New Roman" w:cs="Times New Roman"/>
          <w:b/>
          <w:bCs/>
          <w:sz w:val="24"/>
          <w:szCs w:val="24"/>
        </w:rPr>
      </w:pPr>
      <w:r w:rsidRPr="008B3A08">
        <w:rPr>
          <w:rFonts w:ascii="Times New Roman" w:hAnsi="Times New Roman" w:cs="Times New Roman"/>
          <w:b/>
          <w:bCs/>
          <w:sz w:val="24"/>
          <w:szCs w:val="24"/>
        </w:rPr>
        <w:t>2. Literature Review</w:t>
      </w:r>
    </w:p>
    <w:p w14:paraId="45DF6BCA" w14:textId="77777777" w:rsidR="008B3A08" w:rsidRPr="008B3A08" w:rsidRDefault="008B3A08" w:rsidP="00196D7B">
      <w:pPr>
        <w:spacing w:line="360" w:lineRule="auto"/>
        <w:jc w:val="both"/>
        <w:rPr>
          <w:rFonts w:ascii="Times New Roman" w:hAnsi="Times New Roman" w:cs="Times New Roman"/>
          <w:sz w:val="24"/>
          <w:szCs w:val="24"/>
        </w:rPr>
      </w:pPr>
      <w:r w:rsidRPr="008B3A08">
        <w:rPr>
          <w:rFonts w:ascii="Times New Roman" w:hAnsi="Times New Roman" w:cs="Times New Roman"/>
          <w:sz w:val="24"/>
          <w:szCs w:val="24"/>
        </w:rPr>
        <w:t>The global economic slowdown during the COVID-19 pandemic has been widely documented. The World Bank (2021) and International Monetary Fund (2021) have highlighted the negative impacts of the pandemic on developing nations, especially those reliant on global trade. In Bangladesh, where export-oriented industries such as RMG contribute significantly to GDP, lockdowns in both domestic and international markets severely disrupted the flow of goods and labor.</w:t>
      </w:r>
    </w:p>
    <w:p w14:paraId="27370125" w14:textId="77777777" w:rsidR="008B3A08" w:rsidRPr="008B3A08" w:rsidRDefault="008B3A08" w:rsidP="00196D7B">
      <w:pPr>
        <w:spacing w:line="360" w:lineRule="auto"/>
        <w:jc w:val="both"/>
        <w:rPr>
          <w:rFonts w:ascii="Times New Roman" w:hAnsi="Times New Roman" w:cs="Times New Roman"/>
          <w:sz w:val="24"/>
          <w:szCs w:val="24"/>
        </w:rPr>
      </w:pPr>
      <w:r w:rsidRPr="008B3A08">
        <w:rPr>
          <w:rFonts w:ascii="Times New Roman" w:hAnsi="Times New Roman" w:cs="Times New Roman"/>
          <w:sz w:val="24"/>
          <w:szCs w:val="24"/>
        </w:rPr>
        <w:t>Existing studies have shown that the pandemic's impact on employment, income distribution, and poverty levels in Bangladesh was profound. According to Rahman (2020), approximately 17% of Bangladeshi households fell below the poverty line during the pandemic. Similarly, Hossain et al. (2021) have emphasized the importance of government interventions, such as stimulus packages for SMEs and RMG, in mitigating the economic fallout.</w:t>
      </w:r>
    </w:p>
    <w:p w14:paraId="0433BD57" w14:textId="77777777" w:rsidR="008B3A08" w:rsidRPr="008B3A08" w:rsidRDefault="008B3A08" w:rsidP="00196D7B">
      <w:pPr>
        <w:spacing w:line="360" w:lineRule="auto"/>
        <w:jc w:val="both"/>
        <w:rPr>
          <w:rFonts w:ascii="Times New Roman" w:hAnsi="Times New Roman" w:cs="Times New Roman"/>
          <w:sz w:val="24"/>
          <w:szCs w:val="24"/>
        </w:rPr>
      </w:pPr>
      <w:r w:rsidRPr="008B3A08">
        <w:rPr>
          <w:rFonts w:ascii="Times New Roman" w:hAnsi="Times New Roman" w:cs="Times New Roman"/>
          <w:sz w:val="24"/>
          <w:szCs w:val="24"/>
        </w:rPr>
        <w:t>This project builds on the work of these scholars by examining quantitative data to provide a more comprehensive understanding of the pandemic's sectoral and macroeconomic impacts in Bangladesh.</w:t>
      </w:r>
    </w:p>
    <w:p w14:paraId="4FF35E5D" w14:textId="79D48EE1" w:rsidR="008B3A08" w:rsidRPr="008B3A08" w:rsidRDefault="008B3A08" w:rsidP="008B3A08">
      <w:pPr>
        <w:spacing w:line="360" w:lineRule="auto"/>
        <w:rPr>
          <w:rFonts w:ascii="Times New Roman" w:hAnsi="Times New Roman" w:cs="Times New Roman"/>
          <w:sz w:val="24"/>
          <w:szCs w:val="24"/>
        </w:rPr>
      </w:pPr>
    </w:p>
    <w:p w14:paraId="4677F29F" w14:textId="77777777" w:rsidR="008B3A08" w:rsidRPr="008B3A08" w:rsidRDefault="008B3A08" w:rsidP="008B3A08">
      <w:pPr>
        <w:spacing w:line="360" w:lineRule="auto"/>
        <w:rPr>
          <w:rFonts w:ascii="Times New Roman" w:hAnsi="Times New Roman" w:cs="Times New Roman"/>
          <w:b/>
          <w:bCs/>
          <w:sz w:val="24"/>
          <w:szCs w:val="24"/>
        </w:rPr>
      </w:pPr>
      <w:r w:rsidRPr="008B3A08">
        <w:rPr>
          <w:rFonts w:ascii="Times New Roman" w:hAnsi="Times New Roman" w:cs="Times New Roman"/>
          <w:b/>
          <w:bCs/>
          <w:sz w:val="24"/>
          <w:szCs w:val="24"/>
        </w:rPr>
        <w:t>3. Objectives of the Study</w:t>
      </w:r>
    </w:p>
    <w:p w14:paraId="02A399A1" w14:textId="77777777" w:rsidR="008B3A08" w:rsidRPr="008B3A08" w:rsidRDefault="008B3A08" w:rsidP="00196D7B">
      <w:pPr>
        <w:spacing w:line="360" w:lineRule="auto"/>
        <w:jc w:val="both"/>
        <w:rPr>
          <w:rFonts w:ascii="Times New Roman" w:hAnsi="Times New Roman" w:cs="Times New Roman"/>
          <w:sz w:val="24"/>
          <w:szCs w:val="24"/>
        </w:rPr>
      </w:pPr>
      <w:r w:rsidRPr="008B3A08">
        <w:rPr>
          <w:rFonts w:ascii="Times New Roman" w:hAnsi="Times New Roman" w:cs="Times New Roman"/>
          <w:sz w:val="24"/>
          <w:szCs w:val="24"/>
        </w:rPr>
        <w:t>The primary objective of this study is to assess the economic impact of COVID-19 on Bangladesh. Specifically, the project aims to:</w:t>
      </w:r>
    </w:p>
    <w:p w14:paraId="59495D20" w14:textId="44FA8CDB" w:rsidR="008B3A08" w:rsidRPr="008B3A08" w:rsidRDefault="00196D7B" w:rsidP="00196D7B">
      <w:pPr>
        <w:numPr>
          <w:ilvl w:val="0"/>
          <w:numId w:val="1"/>
        </w:numPr>
        <w:tabs>
          <w:tab w:val="num"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3A08" w:rsidRPr="008B3A08">
        <w:rPr>
          <w:rFonts w:ascii="Times New Roman" w:hAnsi="Times New Roman" w:cs="Times New Roman"/>
          <w:sz w:val="24"/>
          <w:szCs w:val="24"/>
        </w:rPr>
        <w:t>Evaluate the sector-wise impact of COVID-19 in terms of employment, revenue, and</w:t>
      </w:r>
      <w:r>
        <w:rPr>
          <w:rFonts w:ascii="Times New Roman" w:hAnsi="Times New Roman" w:cs="Times New Roman"/>
          <w:sz w:val="24"/>
          <w:szCs w:val="24"/>
        </w:rPr>
        <w:t xml:space="preserve"> </w:t>
      </w:r>
      <w:r w:rsidR="008B3A08" w:rsidRPr="008B3A08">
        <w:rPr>
          <w:rFonts w:ascii="Times New Roman" w:hAnsi="Times New Roman" w:cs="Times New Roman"/>
          <w:sz w:val="24"/>
          <w:szCs w:val="24"/>
        </w:rPr>
        <w:t>production losses.</w:t>
      </w:r>
    </w:p>
    <w:p w14:paraId="6E8671D6" w14:textId="56D8D4DB" w:rsidR="008B3A08" w:rsidRPr="008B3A08" w:rsidRDefault="00196D7B" w:rsidP="00196D7B">
      <w:pPr>
        <w:numPr>
          <w:ilvl w:val="0"/>
          <w:numId w:val="1"/>
        </w:numPr>
        <w:tabs>
          <w:tab w:val="num"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3A08" w:rsidRPr="008B3A08">
        <w:rPr>
          <w:rFonts w:ascii="Times New Roman" w:hAnsi="Times New Roman" w:cs="Times New Roman"/>
          <w:sz w:val="24"/>
          <w:szCs w:val="24"/>
        </w:rPr>
        <w:t>Compare key macroeconomic indicators before and during the pandemic, including GDP growth, unemployment rates, and poverty rates.</w:t>
      </w:r>
    </w:p>
    <w:p w14:paraId="36CA0E16" w14:textId="360AE8DF" w:rsidR="008B3A08" w:rsidRPr="008B3A08" w:rsidRDefault="00196D7B" w:rsidP="00196D7B">
      <w:pPr>
        <w:numPr>
          <w:ilvl w:val="0"/>
          <w:numId w:val="1"/>
        </w:numPr>
        <w:tabs>
          <w:tab w:val="num"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3A08" w:rsidRPr="008B3A08">
        <w:rPr>
          <w:rFonts w:ascii="Times New Roman" w:hAnsi="Times New Roman" w:cs="Times New Roman"/>
          <w:sz w:val="24"/>
          <w:szCs w:val="24"/>
        </w:rPr>
        <w:t>Analyze recovery trends in major sectors, identifying which sectors are rebounding and which continue to struggle.</w:t>
      </w:r>
    </w:p>
    <w:p w14:paraId="008B38D7" w14:textId="7575A166" w:rsidR="008B3A08" w:rsidRPr="00047FD3" w:rsidRDefault="008B3A08" w:rsidP="00196D7B">
      <w:pPr>
        <w:pStyle w:val="ListParagraph"/>
        <w:numPr>
          <w:ilvl w:val="0"/>
          <w:numId w:val="1"/>
        </w:numPr>
        <w:spacing w:line="360" w:lineRule="auto"/>
        <w:jc w:val="both"/>
        <w:rPr>
          <w:rFonts w:ascii="Times New Roman" w:hAnsi="Times New Roman" w:cs="Times New Roman"/>
          <w:b/>
          <w:bCs/>
          <w:sz w:val="36"/>
          <w:szCs w:val="36"/>
        </w:rPr>
      </w:pPr>
      <w:r w:rsidRPr="00196D7B">
        <w:rPr>
          <w:rFonts w:ascii="Times New Roman" w:hAnsi="Times New Roman" w:cs="Times New Roman"/>
          <w:sz w:val="24"/>
          <w:szCs w:val="24"/>
        </w:rPr>
        <w:t>Examine the role of government intervention in economic stabilization and recovery.</w:t>
      </w:r>
    </w:p>
    <w:p w14:paraId="34B635CC" w14:textId="4D3AB2B8" w:rsidR="00047FD3" w:rsidRDefault="00047FD3" w:rsidP="00047FD3">
      <w:pPr>
        <w:pStyle w:val="ListParagraph"/>
        <w:spacing w:line="360" w:lineRule="auto"/>
        <w:ind w:left="900"/>
        <w:jc w:val="both"/>
        <w:rPr>
          <w:rFonts w:ascii="Times New Roman" w:hAnsi="Times New Roman" w:cs="Times New Roman"/>
          <w:sz w:val="24"/>
          <w:szCs w:val="24"/>
        </w:rPr>
      </w:pPr>
    </w:p>
    <w:p w14:paraId="64570F00" w14:textId="691DEC51" w:rsidR="00047FD3" w:rsidRPr="00047FD3" w:rsidRDefault="00047FD3" w:rsidP="00047FD3">
      <w:pPr>
        <w:spacing w:line="360" w:lineRule="auto"/>
        <w:jc w:val="both"/>
        <w:rPr>
          <w:rFonts w:ascii="Times New Roman" w:hAnsi="Times New Roman" w:cs="Times New Roman"/>
          <w:b/>
          <w:bCs/>
          <w:sz w:val="24"/>
          <w:szCs w:val="24"/>
        </w:rPr>
      </w:pPr>
      <w:r w:rsidRPr="00047FD3">
        <w:rPr>
          <w:rFonts w:ascii="Times New Roman" w:hAnsi="Times New Roman" w:cs="Times New Roman"/>
          <w:b/>
          <w:bCs/>
          <w:sz w:val="24"/>
          <w:szCs w:val="24"/>
        </w:rPr>
        <w:t>4. Research Methodology</w:t>
      </w:r>
    </w:p>
    <w:p w14:paraId="7AE768DC" w14:textId="6B328405" w:rsidR="00047FD3" w:rsidRDefault="00047FD3" w:rsidP="00047FD3">
      <w:pPr>
        <w:spacing w:line="360" w:lineRule="auto"/>
        <w:jc w:val="both"/>
        <w:rPr>
          <w:rFonts w:ascii="Times New Roman" w:hAnsi="Times New Roman" w:cs="Times New Roman"/>
          <w:sz w:val="24"/>
          <w:szCs w:val="24"/>
        </w:rPr>
      </w:pPr>
      <w:r w:rsidRPr="00047FD3">
        <w:rPr>
          <w:rFonts w:ascii="Times New Roman" w:hAnsi="Times New Roman" w:cs="Times New Roman"/>
          <w:sz w:val="24"/>
          <w:szCs w:val="24"/>
        </w:rPr>
        <w:t>This study is based on a quantitative approach, relying on secondary data from government reports, international organizations, and industry-specific analyses. Data covering the period from 2019 to 2022 were collected to reflect pre-pandemic conditions, the immediate impact of COVID-19, and recovery trends. The analysis is structured around three key tables that present the economic and sectoral effects of the pandemic in Bangladesh.</w:t>
      </w:r>
    </w:p>
    <w:p w14:paraId="0BFF9633" w14:textId="6731E908" w:rsidR="00C93D02" w:rsidRDefault="00C93D02" w:rsidP="00047FD3">
      <w:pPr>
        <w:spacing w:line="360" w:lineRule="auto"/>
        <w:jc w:val="both"/>
        <w:rPr>
          <w:rFonts w:ascii="Times New Roman" w:hAnsi="Times New Roman" w:cs="Times New Roman"/>
          <w:sz w:val="24"/>
          <w:szCs w:val="24"/>
        </w:rPr>
      </w:pPr>
    </w:p>
    <w:p w14:paraId="00C5D531" w14:textId="409060E3" w:rsidR="00C93D02" w:rsidRDefault="00C93D02" w:rsidP="00047FD3">
      <w:pPr>
        <w:spacing w:line="360" w:lineRule="auto"/>
        <w:jc w:val="both"/>
        <w:rPr>
          <w:rFonts w:ascii="Times New Roman" w:hAnsi="Times New Roman" w:cs="Times New Roman"/>
          <w:sz w:val="24"/>
          <w:szCs w:val="24"/>
        </w:rPr>
      </w:pPr>
    </w:p>
    <w:p w14:paraId="7DE1C51F" w14:textId="595427B4" w:rsidR="00C93D02" w:rsidRDefault="00C93D02" w:rsidP="00047FD3">
      <w:pPr>
        <w:spacing w:line="360" w:lineRule="auto"/>
        <w:jc w:val="both"/>
        <w:rPr>
          <w:rFonts w:ascii="Times New Roman" w:hAnsi="Times New Roman" w:cs="Times New Roman"/>
          <w:sz w:val="24"/>
          <w:szCs w:val="24"/>
        </w:rPr>
      </w:pPr>
    </w:p>
    <w:p w14:paraId="0C83FE88" w14:textId="3EC86E97" w:rsidR="00C93D02" w:rsidRDefault="00C93D02" w:rsidP="00047FD3">
      <w:pPr>
        <w:spacing w:line="360" w:lineRule="auto"/>
        <w:jc w:val="both"/>
        <w:rPr>
          <w:rFonts w:ascii="Times New Roman" w:hAnsi="Times New Roman" w:cs="Times New Roman"/>
          <w:sz w:val="24"/>
          <w:szCs w:val="24"/>
        </w:rPr>
      </w:pPr>
    </w:p>
    <w:p w14:paraId="72E031D5" w14:textId="77777777" w:rsidR="00C93D02" w:rsidRDefault="00C93D02" w:rsidP="00C93D02">
      <w:pPr>
        <w:pStyle w:val="ListParagraph"/>
        <w:spacing w:line="360" w:lineRule="auto"/>
        <w:ind w:left="900"/>
        <w:jc w:val="both"/>
        <w:rPr>
          <w:rFonts w:ascii="Times New Roman" w:hAnsi="Times New Roman" w:cs="Times New Roman"/>
          <w:b/>
          <w:bCs/>
          <w:sz w:val="24"/>
          <w:szCs w:val="24"/>
        </w:rPr>
      </w:pPr>
    </w:p>
    <w:p w14:paraId="6CD9A537" w14:textId="50682ACA" w:rsidR="00047FD3" w:rsidRPr="00ED11F5" w:rsidRDefault="00ED11F5" w:rsidP="00ED11F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C93D02" w:rsidRPr="00ED11F5">
        <w:rPr>
          <w:rFonts w:ascii="Times New Roman" w:hAnsi="Times New Roman" w:cs="Times New Roman"/>
          <w:b/>
          <w:bCs/>
          <w:sz w:val="24"/>
          <w:szCs w:val="24"/>
        </w:rPr>
        <w:t>.</w:t>
      </w:r>
      <w:r w:rsidR="00047FD3" w:rsidRPr="00ED11F5">
        <w:rPr>
          <w:rFonts w:ascii="Times New Roman" w:hAnsi="Times New Roman" w:cs="Times New Roman"/>
          <w:b/>
          <w:bCs/>
          <w:sz w:val="24"/>
          <w:szCs w:val="24"/>
        </w:rPr>
        <w:t>Data Analysis and Findings</w:t>
      </w:r>
    </w:p>
    <w:tbl>
      <w:tblPr>
        <w:tblStyle w:val="GridTable4-Accent1"/>
        <w:tblpPr w:leftFromText="180" w:rightFromText="180" w:vertAnchor="text" w:horzAnchor="margin" w:tblpY="498"/>
        <w:tblW w:w="9350" w:type="dxa"/>
        <w:tblLook w:val="04A0" w:firstRow="1" w:lastRow="0" w:firstColumn="1" w:lastColumn="0" w:noHBand="0" w:noVBand="1"/>
      </w:tblPr>
      <w:tblGrid>
        <w:gridCol w:w="1701"/>
        <w:gridCol w:w="1671"/>
        <w:gridCol w:w="1671"/>
        <w:gridCol w:w="1186"/>
        <w:gridCol w:w="1480"/>
        <w:gridCol w:w="1641"/>
      </w:tblGrid>
      <w:tr w:rsidR="00C93D02" w:rsidRPr="00127887" w14:paraId="021F3AD8" w14:textId="77777777" w:rsidTr="00C1388B">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701" w:type="dxa"/>
            <w:hideMark/>
          </w:tcPr>
          <w:p w14:paraId="0E4344BD" w14:textId="77777777" w:rsidR="00C93D02" w:rsidRPr="00127887" w:rsidRDefault="00C93D02" w:rsidP="00C93D02">
            <w:pPr>
              <w:jc w:val="center"/>
              <w:rPr>
                <w:rFonts w:ascii="Times New Roman" w:eastAsia="Times New Roman" w:hAnsi="Times New Roman" w:cs="Times New Roman"/>
                <w:color w:val="FFFFFF"/>
                <w:sz w:val="28"/>
                <w:szCs w:val="28"/>
              </w:rPr>
            </w:pPr>
            <w:r w:rsidRPr="00127887">
              <w:rPr>
                <w:rFonts w:ascii="Times New Roman" w:eastAsia="Times New Roman" w:hAnsi="Times New Roman" w:cs="Times New Roman"/>
                <w:color w:val="FFFFFF"/>
                <w:sz w:val="28"/>
                <w:szCs w:val="28"/>
              </w:rPr>
              <w:t>Sector</w:t>
            </w:r>
          </w:p>
        </w:tc>
        <w:tc>
          <w:tcPr>
            <w:tcW w:w="1671" w:type="dxa"/>
            <w:hideMark/>
          </w:tcPr>
          <w:p w14:paraId="45B0CC45" w14:textId="77777777" w:rsidR="00C93D02" w:rsidRPr="00127887" w:rsidRDefault="00C93D02" w:rsidP="00C93D0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z w:val="28"/>
                <w:szCs w:val="28"/>
              </w:rPr>
            </w:pPr>
            <w:r w:rsidRPr="00127887">
              <w:rPr>
                <w:rFonts w:ascii="Times New Roman" w:eastAsia="Times New Roman" w:hAnsi="Times New Roman" w:cs="Times New Roman"/>
                <w:color w:val="FFFFFF"/>
                <w:sz w:val="28"/>
                <w:szCs w:val="28"/>
              </w:rPr>
              <w:t>Pre-COVID Employment (2019)</w:t>
            </w:r>
          </w:p>
        </w:tc>
        <w:tc>
          <w:tcPr>
            <w:tcW w:w="1671" w:type="dxa"/>
            <w:hideMark/>
          </w:tcPr>
          <w:p w14:paraId="2A994317" w14:textId="77777777" w:rsidR="00C93D02" w:rsidRPr="00127887" w:rsidRDefault="00C93D02" w:rsidP="00C93D0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z w:val="28"/>
                <w:szCs w:val="28"/>
              </w:rPr>
            </w:pPr>
            <w:r w:rsidRPr="00127887">
              <w:rPr>
                <w:rFonts w:ascii="Times New Roman" w:eastAsia="Times New Roman" w:hAnsi="Times New Roman" w:cs="Times New Roman"/>
                <w:color w:val="FFFFFF"/>
                <w:sz w:val="28"/>
                <w:szCs w:val="28"/>
              </w:rPr>
              <w:t>Employment Loss (2020-2021)</w:t>
            </w:r>
          </w:p>
        </w:tc>
        <w:tc>
          <w:tcPr>
            <w:tcW w:w="1186" w:type="dxa"/>
            <w:hideMark/>
          </w:tcPr>
          <w:p w14:paraId="54AFA2E5" w14:textId="77777777" w:rsidR="00C93D02" w:rsidRPr="00127887" w:rsidRDefault="00C93D02" w:rsidP="00C93D0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z w:val="28"/>
                <w:szCs w:val="28"/>
              </w:rPr>
            </w:pPr>
            <w:r w:rsidRPr="00127887">
              <w:rPr>
                <w:rFonts w:ascii="Times New Roman" w:eastAsia="Times New Roman" w:hAnsi="Times New Roman" w:cs="Times New Roman"/>
                <w:color w:val="FFFFFF"/>
                <w:sz w:val="28"/>
                <w:szCs w:val="28"/>
              </w:rPr>
              <w:t>Revenue Loss (%)</w:t>
            </w:r>
          </w:p>
        </w:tc>
        <w:tc>
          <w:tcPr>
            <w:tcW w:w="1480" w:type="dxa"/>
            <w:hideMark/>
          </w:tcPr>
          <w:p w14:paraId="7109075A" w14:textId="77777777" w:rsidR="00C93D02" w:rsidRPr="00127887" w:rsidRDefault="00C93D02" w:rsidP="00C93D0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z w:val="28"/>
                <w:szCs w:val="28"/>
              </w:rPr>
            </w:pPr>
            <w:r w:rsidRPr="00127887">
              <w:rPr>
                <w:rFonts w:ascii="Times New Roman" w:eastAsia="Times New Roman" w:hAnsi="Times New Roman" w:cs="Times New Roman"/>
                <w:color w:val="FFFFFF"/>
                <w:sz w:val="28"/>
                <w:szCs w:val="28"/>
              </w:rPr>
              <w:t>Production Decline (%)</w:t>
            </w:r>
          </w:p>
        </w:tc>
        <w:tc>
          <w:tcPr>
            <w:tcW w:w="1641" w:type="dxa"/>
            <w:hideMark/>
          </w:tcPr>
          <w:p w14:paraId="026BF193" w14:textId="77777777" w:rsidR="00C93D02" w:rsidRPr="00127887" w:rsidRDefault="00C93D02" w:rsidP="00C93D0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z w:val="28"/>
                <w:szCs w:val="28"/>
              </w:rPr>
            </w:pPr>
            <w:r w:rsidRPr="00127887">
              <w:rPr>
                <w:rFonts w:ascii="Times New Roman" w:eastAsia="Times New Roman" w:hAnsi="Times New Roman" w:cs="Times New Roman"/>
                <w:color w:val="FFFFFF"/>
                <w:sz w:val="28"/>
                <w:szCs w:val="28"/>
              </w:rPr>
              <w:t>Government Support (BDT)</w:t>
            </w:r>
          </w:p>
        </w:tc>
      </w:tr>
      <w:tr w:rsidR="00C93D02" w:rsidRPr="00127887" w14:paraId="347FF98C" w14:textId="77777777" w:rsidTr="00C1388B">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701" w:type="dxa"/>
            <w:hideMark/>
          </w:tcPr>
          <w:p w14:paraId="03212AEB" w14:textId="77777777" w:rsidR="00C93D02" w:rsidRPr="00127887" w:rsidRDefault="00C93D02" w:rsidP="00C93D02">
            <w:pPr>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Ready-Made Garments (RMG)</w:t>
            </w:r>
          </w:p>
        </w:tc>
        <w:tc>
          <w:tcPr>
            <w:tcW w:w="1671" w:type="dxa"/>
            <w:hideMark/>
          </w:tcPr>
          <w:p w14:paraId="2A78378F" w14:textId="77777777" w:rsidR="00C93D02" w:rsidRPr="00127887" w:rsidRDefault="00C93D02" w:rsidP="00C93D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4.4 million</w:t>
            </w:r>
          </w:p>
        </w:tc>
        <w:tc>
          <w:tcPr>
            <w:tcW w:w="1671" w:type="dxa"/>
            <w:hideMark/>
          </w:tcPr>
          <w:p w14:paraId="60F83205" w14:textId="77777777" w:rsidR="00C93D02" w:rsidRPr="00127887" w:rsidRDefault="00C93D02" w:rsidP="00C93D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25% (~1.1 million)</w:t>
            </w:r>
          </w:p>
        </w:tc>
        <w:tc>
          <w:tcPr>
            <w:tcW w:w="1186" w:type="dxa"/>
            <w:hideMark/>
          </w:tcPr>
          <w:p w14:paraId="2CA3CF02" w14:textId="77777777" w:rsidR="00C93D02" w:rsidRPr="00127887" w:rsidRDefault="00C93D02" w:rsidP="00C93D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32%</w:t>
            </w:r>
          </w:p>
        </w:tc>
        <w:tc>
          <w:tcPr>
            <w:tcW w:w="1480" w:type="dxa"/>
            <w:hideMark/>
          </w:tcPr>
          <w:p w14:paraId="23495226" w14:textId="77777777" w:rsidR="00C93D02" w:rsidRPr="00127887" w:rsidRDefault="00C93D02" w:rsidP="00C93D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35%</w:t>
            </w:r>
          </w:p>
        </w:tc>
        <w:tc>
          <w:tcPr>
            <w:tcW w:w="1641" w:type="dxa"/>
            <w:hideMark/>
          </w:tcPr>
          <w:p w14:paraId="4EE14E26" w14:textId="77777777" w:rsidR="00C93D02" w:rsidRPr="00127887" w:rsidRDefault="00C93D02" w:rsidP="00C93D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5,000 crores</w:t>
            </w:r>
          </w:p>
        </w:tc>
      </w:tr>
      <w:tr w:rsidR="00C93D02" w:rsidRPr="00127887" w14:paraId="6A64659D" w14:textId="77777777" w:rsidTr="00C1388B">
        <w:trPr>
          <w:trHeight w:val="37"/>
        </w:trPr>
        <w:tc>
          <w:tcPr>
            <w:cnfStyle w:val="001000000000" w:firstRow="0" w:lastRow="0" w:firstColumn="1" w:lastColumn="0" w:oddVBand="0" w:evenVBand="0" w:oddHBand="0" w:evenHBand="0" w:firstRowFirstColumn="0" w:firstRowLastColumn="0" w:lastRowFirstColumn="0" w:lastRowLastColumn="0"/>
            <w:tcW w:w="1701" w:type="dxa"/>
            <w:hideMark/>
          </w:tcPr>
          <w:p w14:paraId="2C953F5C" w14:textId="77777777" w:rsidR="00C93D02" w:rsidRPr="00127887" w:rsidRDefault="00C93D02" w:rsidP="00C93D02">
            <w:pPr>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Agriculture</w:t>
            </w:r>
          </w:p>
        </w:tc>
        <w:tc>
          <w:tcPr>
            <w:tcW w:w="1671" w:type="dxa"/>
            <w:hideMark/>
          </w:tcPr>
          <w:p w14:paraId="74AC7B8B" w14:textId="77777777" w:rsidR="00C93D02" w:rsidRPr="00127887" w:rsidRDefault="00C93D02" w:rsidP="00C93D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40 million</w:t>
            </w:r>
          </w:p>
        </w:tc>
        <w:tc>
          <w:tcPr>
            <w:tcW w:w="1671" w:type="dxa"/>
            <w:hideMark/>
          </w:tcPr>
          <w:p w14:paraId="180C7C82" w14:textId="77777777" w:rsidR="00C93D02" w:rsidRPr="00127887" w:rsidRDefault="00C93D02" w:rsidP="00C93D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10% (~4 million)</w:t>
            </w:r>
          </w:p>
        </w:tc>
        <w:tc>
          <w:tcPr>
            <w:tcW w:w="1186" w:type="dxa"/>
            <w:hideMark/>
          </w:tcPr>
          <w:p w14:paraId="32114831" w14:textId="77777777" w:rsidR="00C93D02" w:rsidRPr="00127887" w:rsidRDefault="00C93D02" w:rsidP="00C93D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15%</w:t>
            </w:r>
          </w:p>
        </w:tc>
        <w:tc>
          <w:tcPr>
            <w:tcW w:w="1480" w:type="dxa"/>
            <w:hideMark/>
          </w:tcPr>
          <w:p w14:paraId="5C0B45C8" w14:textId="77777777" w:rsidR="00C93D02" w:rsidRPr="00127887" w:rsidRDefault="00C93D02" w:rsidP="00C93D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12%</w:t>
            </w:r>
          </w:p>
        </w:tc>
        <w:tc>
          <w:tcPr>
            <w:tcW w:w="1641" w:type="dxa"/>
            <w:hideMark/>
          </w:tcPr>
          <w:p w14:paraId="3780FC86" w14:textId="77777777" w:rsidR="00C93D02" w:rsidRPr="00127887" w:rsidRDefault="00C93D02" w:rsidP="00C93D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3,500 crores</w:t>
            </w:r>
          </w:p>
        </w:tc>
      </w:tr>
      <w:tr w:rsidR="00C93D02" w:rsidRPr="00127887" w14:paraId="5767CFC5" w14:textId="77777777" w:rsidTr="00C1388B">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701" w:type="dxa"/>
            <w:hideMark/>
          </w:tcPr>
          <w:p w14:paraId="289B1612" w14:textId="77777777" w:rsidR="00C93D02" w:rsidRPr="00127887" w:rsidRDefault="00C93D02" w:rsidP="00C93D02">
            <w:pPr>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Small &amp; Medium Enterprises</w:t>
            </w:r>
          </w:p>
        </w:tc>
        <w:tc>
          <w:tcPr>
            <w:tcW w:w="1671" w:type="dxa"/>
            <w:hideMark/>
          </w:tcPr>
          <w:p w14:paraId="60AA88CE" w14:textId="77777777" w:rsidR="00C93D02" w:rsidRPr="00127887" w:rsidRDefault="00C93D02" w:rsidP="00C93D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23 million</w:t>
            </w:r>
          </w:p>
        </w:tc>
        <w:tc>
          <w:tcPr>
            <w:tcW w:w="1671" w:type="dxa"/>
            <w:hideMark/>
          </w:tcPr>
          <w:p w14:paraId="094F1FA1" w14:textId="77777777" w:rsidR="00C93D02" w:rsidRPr="00127887" w:rsidRDefault="00C93D02" w:rsidP="00C93D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20% (~4.6 million)</w:t>
            </w:r>
          </w:p>
        </w:tc>
        <w:tc>
          <w:tcPr>
            <w:tcW w:w="1186" w:type="dxa"/>
            <w:hideMark/>
          </w:tcPr>
          <w:p w14:paraId="3B7D2055" w14:textId="77777777" w:rsidR="00C93D02" w:rsidRPr="00127887" w:rsidRDefault="00C93D02" w:rsidP="00C93D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40%</w:t>
            </w:r>
          </w:p>
        </w:tc>
        <w:tc>
          <w:tcPr>
            <w:tcW w:w="1480" w:type="dxa"/>
            <w:hideMark/>
          </w:tcPr>
          <w:p w14:paraId="4A4E233C" w14:textId="77777777" w:rsidR="00C93D02" w:rsidRPr="00127887" w:rsidRDefault="00C93D02" w:rsidP="00C93D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45%</w:t>
            </w:r>
          </w:p>
        </w:tc>
        <w:tc>
          <w:tcPr>
            <w:tcW w:w="1641" w:type="dxa"/>
            <w:hideMark/>
          </w:tcPr>
          <w:p w14:paraId="32AAA424" w14:textId="77777777" w:rsidR="00C93D02" w:rsidRPr="00127887" w:rsidRDefault="00C93D02" w:rsidP="00C93D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1,000 crores</w:t>
            </w:r>
          </w:p>
        </w:tc>
      </w:tr>
      <w:tr w:rsidR="00C93D02" w:rsidRPr="00127887" w14:paraId="4C57AB35" w14:textId="77777777" w:rsidTr="00C1388B">
        <w:trPr>
          <w:trHeight w:val="77"/>
        </w:trPr>
        <w:tc>
          <w:tcPr>
            <w:cnfStyle w:val="001000000000" w:firstRow="0" w:lastRow="0" w:firstColumn="1" w:lastColumn="0" w:oddVBand="0" w:evenVBand="0" w:oddHBand="0" w:evenHBand="0" w:firstRowFirstColumn="0" w:firstRowLastColumn="0" w:lastRowFirstColumn="0" w:lastRowLastColumn="0"/>
            <w:tcW w:w="1701" w:type="dxa"/>
            <w:hideMark/>
          </w:tcPr>
          <w:p w14:paraId="449A987A" w14:textId="77777777" w:rsidR="00C93D02" w:rsidRPr="00127887" w:rsidRDefault="00C93D02" w:rsidP="00C93D02">
            <w:pPr>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Construction</w:t>
            </w:r>
          </w:p>
        </w:tc>
        <w:tc>
          <w:tcPr>
            <w:tcW w:w="1671" w:type="dxa"/>
            <w:hideMark/>
          </w:tcPr>
          <w:p w14:paraId="79D846F9" w14:textId="77777777" w:rsidR="00C93D02" w:rsidRPr="00127887" w:rsidRDefault="00C93D02" w:rsidP="00C93D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2 million</w:t>
            </w:r>
          </w:p>
        </w:tc>
        <w:tc>
          <w:tcPr>
            <w:tcW w:w="1671" w:type="dxa"/>
            <w:hideMark/>
          </w:tcPr>
          <w:p w14:paraId="7927C9AC" w14:textId="77777777" w:rsidR="00C93D02" w:rsidRPr="00127887" w:rsidRDefault="00C93D02" w:rsidP="00C93D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18% (~0.36 million)</w:t>
            </w:r>
          </w:p>
        </w:tc>
        <w:tc>
          <w:tcPr>
            <w:tcW w:w="1186" w:type="dxa"/>
            <w:hideMark/>
          </w:tcPr>
          <w:p w14:paraId="0670B836" w14:textId="77777777" w:rsidR="00C93D02" w:rsidRPr="00127887" w:rsidRDefault="00C93D02" w:rsidP="00C93D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25%</w:t>
            </w:r>
          </w:p>
        </w:tc>
        <w:tc>
          <w:tcPr>
            <w:tcW w:w="1480" w:type="dxa"/>
            <w:hideMark/>
          </w:tcPr>
          <w:p w14:paraId="2D57924F" w14:textId="77777777" w:rsidR="00C93D02" w:rsidRPr="00127887" w:rsidRDefault="00C93D02" w:rsidP="00C93D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30%</w:t>
            </w:r>
          </w:p>
        </w:tc>
        <w:tc>
          <w:tcPr>
            <w:tcW w:w="1641" w:type="dxa"/>
            <w:hideMark/>
          </w:tcPr>
          <w:p w14:paraId="1394BE5D" w14:textId="77777777" w:rsidR="00C93D02" w:rsidRPr="00127887" w:rsidRDefault="00C93D02" w:rsidP="00C93D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500 crores</w:t>
            </w:r>
          </w:p>
        </w:tc>
      </w:tr>
      <w:tr w:rsidR="00C93D02" w:rsidRPr="00127887" w14:paraId="26744CE8" w14:textId="77777777" w:rsidTr="00C1388B">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701" w:type="dxa"/>
            <w:hideMark/>
          </w:tcPr>
          <w:p w14:paraId="5A4FFDA6" w14:textId="77777777" w:rsidR="00C93D02" w:rsidRPr="00127887" w:rsidRDefault="00C93D02" w:rsidP="00C93D02">
            <w:pPr>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Tourism and Hospitality</w:t>
            </w:r>
          </w:p>
        </w:tc>
        <w:tc>
          <w:tcPr>
            <w:tcW w:w="1671" w:type="dxa"/>
            <w:hideMark/>
          </w:tcPr>
          <w:p w14:paraId="49C2AAA3" w14:textId="77777777" w:rsidR="00C93D02" w:rsidRPr="00127887" w:rsidRDefault="00C93D02" w:rsidP="00C93D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1.2 million</w:t>
            </w:r>
          </w:p>
        </w:tc>
        <w:tc>
          <w:tcPr>
            <w:tcW w:w="1671" w:type="dxa"/>
            <w:hideMark/>
          </w:tcPr>
          <w:p w14:paraId="4C19072E" w14:textId="77777777" w:rsidR="00C93D02" w:rsidRPr="00127887" w:rsidRDefault="00C93D02" w:rsidP="00C93D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50% (~0.6 million)</w:t>
            </w:r>
          </w:p>
        </w:tc>
        <w:tc>
          <w:tcPr>
            <w:tcW w:w="1186" w:type="dxa"/>
            <w:hideMark/>
          </w:tcPr>
          <w:p w14:paraId="773552FD" w14:textId="77777777" w:rsidR="00C93D02" w:rsidRPr="00127887" w:rsidRDefault="00C93D02" w:rsidP="00C93D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70%</w:t>
            </w:r>
          </w:p>
        </w:tc>
        <w:tc>
          <w:tcPr>
            <w:tcW w:w="1480" w:type="dxa"/>
            <w:hideMark/>
          </w:tcPr>
          <w:p w14:paraId="53BDA799" w14:textId="77777777" w:rsidR="00C93D02" w:rsidRPr="00127887" w:rsidRDefault="00C93D02" w:rsidP="00C93D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80%</w:t>
            </w:r>
          </w:p>
        </w:tc>
        <w:tc>
          <w:tcPr>
            <w:tcW w:w="1641" w:type="dxa"/>
            <w:hideMark/>
          </w:tcPr>
          <w:p w14:paraId="2DD383CE" w14:textId="77777777" w:rsidR="00C93D02" w:rsidRPr="00127887" w:rsidRDefault="00C93D02" w:rsidP="00C93D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800 crores</w:t>
            </w:r>
          </w:p>
        </w:tc>
      </w:tr>
      <w:tr w:rsidR="00C93D02" w:rsidRPr="00127887" w14:paraId="184D1B72" w14:textId="77777777" w:rsidTr="00C1388B">
        <w:trPr>
          <w:trHeight w:val="77"/>
        </w:trPr>
        <w:tc>
          <w:tcPr>
            <w:cnfStyle w:val="001000000000" w:firstRow="0" w:lastRow="0" w:firstColumn="1" w:lastColumn="0" w:oddVBand="0" w:evenVBand="0" w:oddHBand="0" w:evenHBand="0" w:firstRowFirstColumn="0" w:firstRowLastColumn="0" w:lastRowFirstColumn="0" w:lastRowLastColumn="0"/>
            <w:tcW w:w="1701" w:type="dxa"/>
            <w:hideMark/>
          </w:tcPr>
          <w:p w14:paraId="56B7164E" w14:textId="77777777" w:rsidR="00C93D02" w:rsidRPr="00127887" w:rsidRDefault="00C93D02" w:rsidP="00C93D02">
            <w:pPr>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Transport Sector</w:t>
            </w:r>
          </w:p>
        </w:tc>
        <w:tc>
          <w:tcPr>
            <w:tcW w:w="1671" w:type="dxa"/>
            <w:hideMark/>
          </w:tcPr>
          <w:p w14:paraId="48DF86C0" w14:textId="77777777" w:rsidR="00C93D02" w:rsidRPr="00127887" w:rsidRDefault="00C93D02" w:rsidP="00C93D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1.8 million</w:t>
            </w:r>
          </w:p>
        </w:tc>
        <w:tc>
          <w:tcPr>
            <w:tcW w:w="1671" w:type="dxa"/>
            <w:hideMark/>
          </w:tcPr>
          <w:p w14:paraId="42415A7A" w14:textId="77777777" w:rsidR="00C93D02" w:rsidRPr="00127887" w:rsidRDefault="00C93D02" w:rsidP="00C93D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30% (~0.54 million)</w:t>
            </w:r>
          </w:p>
        </w:tc>
        <w:tc>
          <w:tcPr>
            <w:tcW w:w="1186" w:type="dxa"/>
            <w:hideMark/>
          </w:tcPr>
          <w:p w14:paraId="6038D548" w14:textId="77777777" w:rsidR="00C93D02" w:rsidRPr="00127887" w:rsidRDefault="00C93D02" w:rsidP="00C93D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60%</w:t>
            </w:r>
          </w:p>
        </w:tc>
        <w:tc>
          <w:tcPr>
            <w:tcW w:w="1480" w:type="dxa"/>
            <w:hideMark/>
          </w:tcPr>
          <w:p w14:paraId="7F5B189F" w14:textId="77777777" w:rsidR="00C93D02" w:rsidRPr="00127887" w:rsidRDefault="00C93D02" w:rsidP="00C93D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55%</w:t>
            </w:r>
          </w:p>
        </w:tc>
        <w:tc>
          <w:tcPr>
            <w:tcW w:w="1641" w:type="dxa"/>
            <w:hideMark/>
          </w:tcPr>
          <w:p w14:paraId="64CC9A6C" w14:textId="77777777" w:rsidR="00C93D02" w:rsidRPr="00127887" w:rsidRDefault="00C93D02" w:rsidP="00C93D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1,200 crores</w:t>
            </w:r>
          </w:p>
        </w:tc>
      </w:tr>
      <w:tr w:rsidR="00C93D02" w:rsidRPr="00127887" w14:paraId="58AF71BE" w14:textId="77777777" w:rsidTr="00C1388B">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701" w:type="dxa"/>
            <w:hideMark/>
          </w:tcPr>
          <w:p w14:paraId="6122A1B4" w14:textId="77777777" w:rsidR="00C93D02" w:rsidRPr="00127887" w:rsidRDefault="00C93D02" w:rsidP="00C93D02">
            <w:pPr>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Remittances (Migrant Workers)</w:t>
            </w:r>
          </w:p>
        </w:tc>
        <w:tc>
          <w:tcPr>
            <w:tcW w:w="1671" w:type="dxa"/>
            <w:hideMark/>
          </w:tcPr>
          <w:p w14:paraId="08A26690" w14:textId="77777777" w:rsidR="00C93D02" w:rsidRPr="00127887" w:rsidRDefault="00C93D02" w:rsidP="00C93D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N/A</w:t>
            </w:r>
          </w:p>
        </w:tc>
        <w:tc>
          <w:tcPr>
            <w:tcW w:w="1671" w:type="dxa"/>
            <w:hideMark/>
          </w:tcPr>
          <w:p w14:paraId="59455291" w14:textId="77777777" w:rsidR="00C93D02" w:rsidRPr="00127887" w:rsidRDefault="00C93D02" w:rsidP="00C93D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N/A</w:t>
            </w:r>
          </w:p>
        </w:tc>
        <w:tc>
          <w:tcPr>
            <w:tcW w:w="1186" w:type="dxa"/>
            <w:hideMark/>
          </w:tcPr>
          <w:p w14:paraId="537D5D9D" w14:textId="77777777" w:rsidR="00C93D02" w:rsidRPr="00127887" w:rsidRDefault="00C93D02" w:rsidP="00C93D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20% decline in total</w:t>
            </w:r>
          </w:p>
        </w:tc>
        <w:tc>
          <w:tcPr>
            <w:tcW w:w="1480" w:type="dxa"/>
            <w:hideMark/>
          </w:tcPr>
          <w:p w14:paraId="0B7D412E" w14:textId="77777777" w:rsidR="00C93D02" w:rsidRPr="00127887" w:rsidRDefault="00C93D02" w:rsidP="00C93D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N/A</w:t>
            </w:r>
          </w:p>
        </w:tc>
        <w:tc>
          <w:tcPr>
            <w:tcW w:w="1641" w:type="dxa"/>
            <w:hideMark/>
          </w:tcPr>
          <w:p w14:paraId="5F3A3FD3" w14:textId="77777777" w:rsidR="00C93D02" w:rsidRPr="00127887" w:rsidRDefault="00C93D02" w:rsidP="00C93D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r w:rsidRPr="00127887">
              <w:rPr>
                <w:rFonts w:ascii="Times New Roman" w:eastAsia="Times New Roman" w:hAnsi="Times New Roman" w:cs="Times New Roman"/>
                <w:color w:val="000000"/>
                <w:sz w:val="28"/>
                <w:szCs w:val="28"/>
              </w:rPr>
              <w:t>N/A</w:t>
            </w:r>
          </w:p>
        </w:tc>
      </w:tr>
    </w:tbl>
    <w:p w14:paraId="54086684" w14:textId="465A77D6" w:rsidR="00F5492E" w:rsidRPr="00352F90" w:rsidRDefault="00C1388B" w:rsidP="00F5492E">
      <w:pPr>
        <w:spacing w:line="360" w:lineRule="auto"/>
        <w:jc w:val="both"/>
        <w:rPr>
          <w:rFonts w:ascii="Times New Roman" w:hAnsi="Times New Roman" w:cs="Times New Roman"/>
          <w:sz w:val="24"/>
          <w:szCs w:val="24"/>
        </w:rPr>
      </w:pPr>
      <w:r w:rsidRPr="00352F90">
        <w:rPr>
          <w:rFonts w:ascii="Times New Roman" w:hAnsi="Times New Roman" w:cs="Times New Roman"/>
          <w:sz w:val="24"/>
          <w:szCs w:val="24"/>
        </w:rPr>
        <w:t>Table 1: Sectoral Impact of COVID-19 on the Economy of Bangladesh (2020-2021)</w:t>
      </w:r>
    </w:p>
    <w:p w14:paraId="53B5C00D" w14:textId="4DD83CC5" w:rsidR="00F5492E" w:rsidRDefault="00C93D02" w:rsidP="00F5492E">
      <w:pPr>
        <w:spacing w:line="360" w:lineRule="auto"/>
        <w:jc w:val="both"/>
        <w:rPr>
          <w:rFonts w:ascii="Times New Roman" w:hAnsi="Times New Roman" w:cs="Times New Roman"/>
          <w:b/>
          <w:bCs/>
          <w:sz w:val="24"/>
          <w:szCs w:val="24"/>
        </w:rPr>
      </w:pPr>
      <w:r>
        <w:rPr>
          <w:noProof/>
        </w:rPr>
        <w:drawing>
          <wp:anchor distT="0" distB="0" distL="114300" distR="114300" simplePos="0" relativeHeight="251658240" behindDoc="0" locked="0" layoutInCell="1" allowOverlap="1" wp14:anchorId="13005F64" wp14:editId="7BA03358">
            <wp:simplePos x="0" y="0"/>
            <wp:positionH relativeFrom="margin">
              <wp:align>left</wp:align>
            </wp:positionH>
            <wp:positionV relativeFrom="paragraph">
              <wp:posOffset>4874865</wp:posOffset>
            </wp:positionV>
            <wp:extent cx="5943600" cy="2617365"/>
            <wp:effectExtent l="0" t="0" r="0" b="12065"/>
            <wp:wrapNone/>
            <wp:docPr id="1" name="Chart 1">
              <a:extLst xmlns:a="http://schemas.openxmlformats.org/drawingml/2006/main">
                <a:ext uri="{FF2B5EF4-FFF2-40B4-BE49-F238E27FC236}">
                  <a16:creationId xmlns:a16="http://schemas.microsoft.com/office/drawing/2014/main" id="{03CAB697-1CBD-4209-9ED8-A6C6CA6794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49BA07EF" w14:textId="56747C7A" w:rsidR="00F5492E" w:rsidRPr="00F5492E" w:rsidRDefault="00F5492E" w:rsidP="00F5492E">
      <w:pPr>
        <w:spacing w:line="360" w:lineRule="auto"/>
        <w:jc w:val="both"/>
        <w:rPr>
          <w:rFonts w:ascii="Times New Roman" w:hAnsi="Times New Roman" w:cs="Times New Roman"/>
          <w:b/>
          <w:bCs/>
          <w:sz w:val="24"/>
          <w:szCs w:val="24"/>
        </w:rPr>
      </w:pPr>
    </w:p>
    <w:p w14:paraId="68F80568" w14:textId="1F27C3B8" w:rsidR="008B3A08" w:rsidRDefault="008B3A08">
      <w:pPr>
        <w:rPr>
          <w:rFonts w:ascii="Times New Roman" w:hAnsi="Times New Roman" w:cs="Times New Roman"/>
          <w:b/>
          <w:bCs/>
          <w:sz w:val="36"/>
          <w:szCs w:val="36"/>
        </w:rPr>
      </w:pPr>
    </w:p>
    <w:p w14:paraId="538C385E" w14:textId="1193F0DB" w:rsidR="00C93D02" w:rsidRDefault="00C93D02">
      <w:pPr>
        <w:rPr>
          <w:rFonts w:ascii="Times New Roman" w:hAnsi="Times New Roman" w:cs="Times New Roman"/>
          <w:b/>
          <w:bCs/>
          <w:sz w:val="36"/>
          <w:szCs w:val="36"/>
        </w:rPr>
      </w:pPr>
    </w:p>
    <w:p w14:paraId="738BAB24" w14:textId="50317D03" w:rsidR="00C93D02" w:rsidRDefault="00C93D02">
      <w:pPr>
        <w:rPr>
          <w:rFonts w:ascii="Times New Roman" w:hAnsi="Times New Roman" w:cs="Times New Roman"/>
          <w:b/>
          <w:bCs/>
          <w:sz w:val="36"/>
          <w:szCs w:val="36"/>
        </w:rPr>
      </w:pPr>
    </w:p>
    <w:p w14:paraId="1595BC87" w14:textId="2C6E31C1" w:rsidR="00C93D02" w:rsidRDefault="00C93D02">
      <w:pPr>
        <w:rPr>
          <w:rFonts w:ascii="Times New Roman" w:hAnsi="Times New Roman" w:cs="Times New Roman"/>
          <w:b/>
          <w:bCs/>
          <w:sz w:val="36"/>
          <w:szCs w:val="36"/>
        </w:rPr>
      </w:pPr>
    </w:p>
    <w:p w14:paraId="1A77811F" w14:textId="75A14B17" w:rsidR="00C93D02" w:rsidRDefault="00C93D02">
      <w:pPr>
        <w:rPr>
          <w:rFonts w:ascii="Times New Roman" w:hAnsi="Times New Roman" w:cs="Times New Roman"/>
          <w:b/>
          <w:bCs/>
          <w:sz w:val="36"/>
          <w:szCs w:val="36"/>
        </w:rPr>
      </w:pPr>
    </w:p>
    <w:p w14:paraId="47CAA079" w14:textId="437B2A2F" w:rsidR="00C93D02" w:rsidRDefault="00C93D02">
      <w:pPr>
        <w:rPr>
          <w:rFonts w:ascii="Times New Roman" w:hAnsi="Times New Roman" w:cs="Times New Roman"/>
          <w:b/>
          <w:bCs/>
          <w:sz w:val="36"/>
          <w:szCs w:val="36"/>
        </w:rPr>
      </w:pPr>
    </w:p>
    <w:p w14:paraId="618BEF82" w14:textId="77777777" w:rsidR="003D7E5F" w:rsidRPr="003D7E5F" w:rsidRDefault="003D7E5F" w:rsidP="003D7E5F">
      <w:pPr>
        <w:spacing w:line="360" w:lineRule="auto"/>
        <w:jc w:val="both"/>
        <w:rPr>
          <w:rFonts w:ascii="Times New Roman" w:hAnsi="Times New Roman" w:cs="Times New Roman"/>
          <w:sz w:val="24"/>
          <w:szCs w:val="24"/>
        </w:rPr>
      </w:pPr>
      <w:r w:rsidRPr="003D7E5F">
        <w:rPr>
          <w:rFonts w:ascii="Times New Roman" w:hAnsi="Times New Roman" w:cs="Times New Roman"/>
          <w:sz w:val="24"/>
          <w:szCs w:val="24"/>
        </w:rPr>
        <w:t>Table 1 reveals that the RMG sector, which is critical to Bangladesh's economy, was severely impacted during the pandemic. Employment losses of approximately 25% and a revenue decline of 32% demonstrate the vulnerability of export-dependent industries to global disruptions. Other sectors, such as agriculture, experienced relatively smaller declines due to their essential nature, while tourism and hospitality were hit hardest, losing 50% of employment and 70% of revenue.</w:t>
      </w:r>
    </w:p>
    <w:p w14:paraId="50703F71" w14:textId="76572C2C" w:rsidR="003D7E5F" w:rsidRDefault="003D7E5F" w:rsidP="003D7E5F">
      <w:pPr>
        <w:spacing w:line="360" w:lineRule="auto"/>
        <w:jc w:val="both"/>
        <w:rPr>
          <w:rFonts w:ascii="Times New Roman" w:hAnsi="Times New Roman" w:cs="Times New Roman"/>
          <w:sz w:val="24"/>
          <w:szCs w:val="24"/>
        </w:rPr>
      </w:pPr>
      <w:r w:rsidRPr="003D7E5F">
        <w:rPr>
          <w:rFonts w:ascii="Times New Roman" w:hAnsi="Times New Roman" w:cs="Times New Roman"/>
          <w:sz w:val="24"/>
          <w:szCs w:val="24"/>
        </w:rPr>
        <w:t>Government support varied by sector, with the RMG sector receiving the largest financial assistance, reflecting its importance to the national economy. SMEs, which make up a significant portion of Bangladesh's informal economy, saw steep revenue and production declines, while agriculture and transport received targeted aid to alleviate disruptions.</w:t>
      </w:r>
    </w:p>
    <w:p w14:paraId="09469131" w14:textId="3957E673" w:rsidR="00352F90" w:rsidRPr="003D7E5F" w:rsidRDefault="00352F90" w:rsidP="003D7E5F">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352F90">
        <w:rPr>
          <w:rFonts w:ascii="Times New Roman" w:hAnsi="Times New Roman" w:cs="Times New Roman"/>
          <w:sz w:val="24"/>
          <w:szCs w:val="24"/>
        </w:rPr>
        <w:t>able 2: Economic Indicators of Bangladesh Pre-COVID vs. During COVID-19 (2019-2021)</w:t>
      </w:r>
    </w:p>
    <w:tbl>
      <w:tblPr>
        <w:tblW w:w="9179" w:type="dxa"/>
        <w:tblLook w:val="04A0" w:firstRow="1" w:lastRow="0" w:firstColumn="1" w:lastColumn="0" w:noHBand="0" w:noVBand="1"/>
      </w:tblPr>
      <w:tblGrid>
        <w:gridCol w:w="3628"/>
        <w:gridCol w:w="1524"/>
        <w:gridCol w:w="1415"/>
        <w:gridCol w:w="1324"/>
        <w:gridCol w:w="1288"/>
      </w:tblGrid>
      <w:tr w:rsidR="00352F90" w:rsidRPr="00352F90" w14:paraId="29A5855B" w14:textId="77777777" w:rsidTr="00352F90">
        <w:trPr>
          <w:trHeight w:val="756"/>
        </w:trPr>
        <w:tc>
          <w:tcPr>
            <w:tcW w:w="3628" w:type="dxa"/>
            <w:tcBorders>
              <w:top w:val="nil"/>
              <w:left w:val="nil"/>
              <w:bottom w:val="single" w:sz="12" w:space="0" w:color="FFFFFF"/>
              <w:right w:val="single" w:sz="4" w:space="0" w:color="FFFFFF"/>
            </w:tcBorders>
            <w:shd w:val="clear" w:color="5B9BD5" w:fill="5B9BD5"/>
            <w:vAlign w:val="center"/>
            <w:hideMark/>
          </w:tcPr>
          <w:p w14:paraId="64DCEA01" w14:textId="77777777" w:rsidR="00352F90" w:rsidRPr="00352F90" w:rsidRDefault="00352F90" w:rsidP="00352F90">
            <w:pPr>
              <w:spacing w:after="0" w:line="240" w:lineRule="auto"/>
              <w:jc w:val="center"/>
              <w:rPr>
                <w:rFonts w:ascii="Times New Roman" w:eastAsia="Times New Roman" w:hAnsi="Times New Roman" w:cs="Times New Roman"/>
                <w:b/>
                <w:bCs/>
                <w:color w:val="FFFFFF"/>
                <w:sz w:val="24"/>
                <w:szCs w:val="24"/>
              </w:rPr>
            </w:pPr>
            <w:r w:rsidRPr="00352F90">
              <w:rPr>
                <w:rFonts w:ascii="Times New Roman" w:eastAsia="Times New Roman" w:hAnsi="Times New Roman" w:cs="Times New Roman"/>
                <w:b/>
                <w:bCs/>
                <w:color w:val="FFFFFF"/>
                <w:sz w:val="24"/>
                <w:szCs w:val="24"/>
              </w:rPr>
              <w:t>Economic Indicator</w:t>
            </w:r>
          </w:p>
        </w:tc>
        <w:tc>
          <w:tcPr>
            <w:tcW w:w="1524" w:type="dxa"/>
            <w:tcBorders>
              <w:top w:val="nil"/>
              <w:left w:val="single" w:sz="4" w:space="0" w:color="FFFFFF"/>
              <w:bottom w:val="single" w:sz="12" w:space="0" w:color="FFFFFF"/>
              <w:right w:val="single" w:sz="4" w:space="0" w:color="FFFFFF"/>
            </w:tcBorders>
            <w:shd w:val="clear" w:color="5B9BD5" w:fill="5B9BD5"/>
            <w:vAlign w:val="center"/>
            <w:hideMark/>
          </w:tcPr>
          <w:p w14:paraId="0A0A0547" w14:textId="77777777" w:rsidR="00352F90" w:rsidRPr="00352F90" w:rsidRDefault="00352F90" w:rsidP="00352F90">
            <w:pPr>
              <w:spacing w:after="0" w:line="240" w:lineRule="auto"/>
              <w:jc w:val="center"/>
              <w:rPr>
                <w:rFonts w:ascii="Times New Roman" w:eastAsia="Times New Roman" w:hAnsi="Times New Roman" w:cs="Times New Roman"/>
                <w:b/>
                <w:bCs/>
                <w:color w:val="FFFFFF"/>
                <w:sz w:val="24"/>
                <w:szCs w:val="24"/>
              </w:rPr>
            </w:pPr>
            <w:r w:rsidRPr="00352F90">
              <w:rPr>
                <w:rFonts w:ascii="Times New Roman" w:eastAsia="Times New Roman" w:hAnsi="Times New Roman" w:cs="Times New Roman"/>
                <w:b/>
                <w:bCs/>
                <w:color w:val="FFFFFF"/>
                <w:sz w:val="24"/>
                <w:szCs w:val="24"/>
              </w:rPr>
              <w:t>Pre-COVID (2019)</w:t>
            </w:r>
          </w:p>
        </w:tc>
        <w:tc>
          <w:tcPr>
            <w:tcW w:w="1415" w:type="dxa"/>
            <w:tcBorders>
              <w:top w:val="nil"/>
              <w:left w:val="single" w:sz="4" w:space="0" w:color="FFFFFF"/>
              <w:bottom w:val="single" w:sz="12" w:space="0" w:color="FFFFFF"/>
              <w:right w:val="single" w:sz="4" w:space="0" w:color="FFFFFF"/>
            </w:tcBorders>
            <w:shd w:val="clear" w:color="5B9BD5" w:fill="5B9BD5"/>
            <w:vAlign w:val="center"/>
            <w:hideMark/>
          </w:tcPr>
          <w:p w14:paraId="3D793143" w14:textId="77777777" w:rsidR="00352F90" w:rsidRPr="00352F90" w:rsidRDefault="00352F90" w:rsidP="00352F90">
            <w:pPr>
              <w:spacing w:after="0" w:line="240" w:lineRule="auto"/>
              <w:jc w:val="center"/>
              <w:rPr>
                <w:rFonts w:ascii="Times New Roman" w:eastAsia="Times New Roman" w:hAnsi="Times New Roman" w:cs="Times New Roman"/>
                <w:b/>
                <w:bCs/>
                <w:color w:val="FFFFFF"/>
                <w:sz w:val="24"/>
                <w:szCs w:val="24"/>
              </w:rPr>
            </w:pPr>
            <w:r w:rsidRPr="00352F90">
              <w:rPr>
                <w:rFonts w:ascii="Times New Roman" w:eastAsia="Times New Roman" w:hAnsi="Times New Roman" w:cs="Times New Roman"/>
                <w:b/>
                <w:bCs/>
                <w:color w:val="FFFFFF"/>
                <w:sz w:val="24"/>
                <w:szCs w:val="24"/>
              </w:rPr>
              <w:t>During COVID (2020)</w:t>
            </w:r>
          </w:p>
        </w:tc>
        <w:tc>
          <w:tcPr>
            <w:tcW w:w="1324" w:type="dxa"/>
            <w:tcBorders>
              <w:top w:val="nil"/>
              <w:left w:val="single" w:sz="4" w:space="0" w:color="FFFFFF"/>
              <w:bottom w:val="single" w:sz="12" w:space="0" w:color="FFFFFF"/>
              <w:right w:val="single" w:sz="4" w:space="0" w:color="FFFFFF"/>
            </w:tcBorders>
            <w:shd w:val="clear" w:color="5B9BD5" w:fill="5B9BD5"/>
            <w:vAlign w:val="center"/>
            <w:hideMark/>
          </w:tcPr>
          <w:p w14:paraId="6D63A137" w14:textId="77777777" w:rsidR="00352F90" w:rsidRPr="00352F90" w:rsidRDefault="00352F90" w:rsidP="00352F90">
            <w:pPr>
              <w:spacing w:after="0" w:line="240" w:lineRule="auto"/>
              <w:jc w:val="center"/>
              <w:rPr>
                <w:rFonts w:ascii="Times New Roman" w:eastAsia="Times New Roman" w:hAnsi="Times New Roman" w:cs="Times New Roman"/>
                <w:b/>
                <w:bCs/>
                <w:color w:val="FFFFFF"/>
                <w:sz w:val="24"/>
                <w:szCs w:val="24"/>
              </w:rPr>
            </w:pPr>
            <w:r w:rsidRPr="00352F90">
              <w:rPr>
                <w:rFonts w:ascii="Times New Roman" w:eastAsia="Times New Roman" w:hAnsi="Times New Roman" w:cs="Times New Roman"/>
                <w:b/>
                <w:bCs/>
                <w:color w:val="FFFFFF"/>
                <w:sz w:val="24"/>
                <w:szCs w:val="24"/>
              </w:rPr>
              <w:t>During COVID (2021)</w:t>
            </w:r>
          </w:p>
        </w:tc>
        <w:tc>
          <w:tcPr>
            <w:tcW w:w="1288" w:type="dxa"/>
            <w:tcBorders>
              <w:top w:val="nil"/>
              <w:left w:val="single" w:sz="4" w:space="0" w:color="FFFFFF"/>
              <w:bottom w:val="single" w:sz="12" w:space="0" w:color="FFFFFF"/>
              <w:right w:val="nil"/>
            </w:tcBorders>
            <w:shd w:val="clear" w:color="5B9BD5" w:fill="5B9BD5"/>
            <w:vAlign w:val="center"/>
            <w:hideMark/>
          </w:tcPr>
          <w:p w14:paraId="222CBEEE" w14:textId="77777777" w:rsidR="00352F90" w:rsidRPr="00352F90" w:rsidRDefault="00352F90" w:rsidP="00352F90">
            <w:pPr>
              <w:spacing w:after="0" w:line="240" w:lineRule="auto"/>
              <w:jc w:val="center"/>
              <w:rPr>
                <w:rFonts w:ascii="Times New Roman" w:eastAsia="Times New Roman" w:hAnsi="Times New Roman" w:cs="Times New Roman"/>
                <w:b/>
                <w:bCs/>
                <w:color w:val="FFFFFF"/>
                <w:sz w:val="24"/>
                <w:szCs w:val="24"/>
              </w:rPr>
            </w:pPr>
            <w:r w:rsidRPr="00352F90">
              <w:rPr>
                <w:rFonts w:ascii="Times New Roman" w:eastAsia="Times New Roman" w:hAnsi="Times New Roman" w:cs="Times New Roman"/>
                <w:b/>
                <w:bCs/>
                <w:color w:val="FFFFFF"/>
                <w:sz w:val="24"/>
                <w:szCs w:val="24"/>
              </w:rPr>
              <w:t>Change (%)</w:t>
            </w:r>
          </w:p>
        </w:tc>
      </w:tr>
      <w:tr w:rsidR="00352F90" w:rsidRPr="00352F90" w14:paraId="3B7607DE" w14:textId="77777777" w:rsidTr="00352F90">
        <w:trPr>
          <w:trHeight w:val="260"/>
        </w:trPr>
        <w:tc>
          <w:tcPr>
            <w:tcW w:w="3628" w:type="dxa"/>
            <w:tcBorders>
              <w:top w:val="single" w:sz="4" w:space="0" w:color="FFFFFF"/>
              <w:left w:val="nil"/>
              <w:bottom w:val="single" w:sz="4" w:space="0" w:color="FFFFFF"/>
              <w:right w:val="single" w:sz="4" w:space="0" w:color="FFFFFF"/>
            </w:tcBorders>
            <w:shd w:val="clear" w:color="BDD7EE" w:fill="BDD7EE"/>
            <w:vAlign w:val="center"/>
            <w:hideMark/>
          </w:tcPr>
          <w:p w14:paraId="4DF9C62E" w14:textId="77777777" w:rsidR="00352F90" w:rsidRPr="00352F90" w:rsidRDefault="00352F90" w:rsidP="00352F90">
            <w:pPr>
              <w:spacing w:after="0" w:line="240" w:lineRule="auto"/>
              <w:rPr>
                <w:rFonts w:ascii="Times New Roman" w:eastAsia="Times New Roman" w:hAnsi="Times New Roman" w:cs="Times New Roman"/>
                <w:b/>
                <w:bCs/>
                <w:color w:val="000000"/>
                <w:sz w:val="24"/>
                <w:szCs w:val="24"/>
              </w:rPr>
            </w:pPr>
            <w:r w:rsidRPr="00352F90">
              <w:rPr>
                <w:rFonts w:ascii="Times New Roman" w:eastAsia="Times New Roman" w:hAnsi="Times New Roman" w:cs="Times New Roman"/>
                <w:b/>
                <w:bCs/>
                <w:color w:val="000000"/>
                <w:sz w:val="24"/>
                <w:szCs w:val="24"/>
              </w:rPr>
              <w:t>GDP Growth Rate (%)</w:t>
            </w:r>
          </w:p>
        </w:tc>
        <w:tc>
          <w:tcPr>
            <w:tcW w:w="152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0234AF8D"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8.2</w:t>
            </w:r>
          </w:p>
        </w:tc>
        <w:tc>
          <w:tcPr>
            <w:tcW w:w="1415"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3A3F69B9"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3.5</w:t>
            </w:r>
          </w:p>
        </w:tc>
        <w:tc>
          <w:tcPr>
            <w:tcW w:w="132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2DC7AC36"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5.5</w:t>
            </w:r>
          </w:p>
        </w:tc>
        <w:tc>
          <w:tcPr>
            <w:tcW w:w="1288" w:type="dxa"/>
            <w:tcBorders>
              <w:top w:val="single" w:sz="4" w:space="0" w:color="FFFFFF"/>
              <w:left w:val="single" w:sz="4" w:space="0" w:color="FFFFFF"/>
              <w:bottom w:val="single" w:sz="4" w:space="0" w:color="FFFFFF"/>
              <w:right w:val="nil"/>
            </w:tcBorders>
            <w:shd w:val="clear" w:color="BDD7EE" w:fill="BDD7EE"/>
            <w:vAlign w:val="center"/>
            <w:hideMark/>
          </w:tcPr>
          <w:p w14:paraId="60266177" w14:textId="77777777" w:rsidR="00352F90" w:rsidRPr="00352F90" w:rsidRDefault="00352F90" w:rsidP="00352F90">
            <w:pPr>
              <w:spacing w:after="0" w:line="240" w:lineRule="auto"/>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-57% (2020)</w:t>
            </w:r>
          </w:p>
        </w:tc>
      </w:tr>
      <w:tr w:rsidR="00352F90" w:rsidRPr="00352F90" w14:paraId="26922F62" w14:textId="77777777" w:rsidTr="00352F90">
        <w:trPr>
          <w:trHeight w:val="260"/>
        </w:trPr>
        <w:tc>
          <w:tcPr>
            <w:tcW w:w="3628" w:type="dxa"/>
            <w:tcBorders>
              <w:top w:val="single" w:sz="4" w:space="0" w:color="FFFFFF"/>
              <w:left w:val="nil"/>
              <w:bottom w:val="single" w:sz="4" w:space="0" w:color="FFFFFF"/>
              <w:right w:val="single" w:sz="4" w:space="0" w:color="FFFFFF"/>
            </w:tcBorders>
            <w:shd w:val="clear" w:color="DDEBF7" w:fill="DDEBF7"/>
            <w:vAlign w:val="center"/>
            <w:hideMark/>
          </w:tcPr>
          <w:p w14:paraId="3A18B03B" w14:textId="77777777" w:rsidR="00352F90" w:rsidRPr="00352F90" w:rsidRDefault="00352F90" w:rsidP="00352F90">
            <w:pPr>
              <w:spacing w:after="0" w:line="240" w:lineRule="auto"/>
              <w:rPr>
                <w:rFonts w:ascii="Times New Roman" w:eastAsia="Times New Roman" w:hAnsi="Times New Roman" w:cs="Times New Roman"/>
                <w:b/>
                <w:bCs/>
                <w:color w:val="000000"/>
                <w:sz w:val="24"/>
                <w:szCs w:val="24"/>
              </w:rPr>
            </w:pPr>
            <w:r w:rsidRPr="00352F90">
              <w:rPr>
                <w:rFonts w:ascii="Times New Roman" w:eastAsia="Times New Roman" w:hAnsi="Times New Roman" w:cs="Times New Roman"/>
                <w:b/>
                <w:bCs/>
                <w:color w:val="000000"/>
                <w:sz w:val="24"/>
                <w:szCs w:val="24"/>
              </w:rPr>
              <w:t>Contribution of RMG to GDP (%)</w:t>
            </w:r>
          </w:p>
        </w:tc>
        <w:tc>
          <w:tcPr>
            <w:tcW w:w="152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14:paraId="602DA671"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11.2</w:t>
            </w:r>
          </w:p>
        </w:tc>
        <w:tc>
          <w:tcPr>
            <w:tcW w:w="1415"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14:paraId="5257232D"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7</w:t>
            </w:r>
          </w:p>
        </w:tc>
        <w:tc>
          <w:tcPr>
            <w:tcW w:w="132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14:paraId="73ED654A"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8.5</w:t>
            </w:r>
          </w:p>
        </w:tc>
        <w:tc>
          <w:tcPr>
            <w:tcW w:w="1288" w:type="dxa"/>
            <w:tcBorders>
              <w:top w:val="single" w:sz="4" w:space="0" w:color="FFFFFF"/>
              <w:left w:val="single" w:sz="4" w:space="0" w:color="FFFFFF"/>
              <w:bottom w:val="single" w:sz="4" w:space="0" w:color="FFFFFF"/>
              <w:right w:val="nil"/>
            </w:tcBorders>
            <w:shd w:val="clear" w:color="DDEBF7" w:fill="DDEBF7"/>
            <w:vAlign w:val="center"/>
            <w:hideMark/>
          </w:tcPr>
          <w:p w14:paraId="7553AFF5" w14:textId="77777777" w:rsidR="00352F90" w:rsidRPr="00352F90" w:rsidRDefault="00352F90" w:rsidP="00352F90">
            <w:pPr>
              <w:spacing w:after="0" w:line="240" w:lineRule="auto"/>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-37% (2020)</w:t>
            </w:r>
          </w:p>
        </w:tc>
      </w:tr>
      <w:tr w:rsidR="00352F90" w:rsidRPr="00352F90" w14:paraId="3F51E308" w14:textId="77777777" w:rsidTr="00352F90">
        <w:trPr>
          <w:trHeight w:val="504"/>
        </w:trPr>
        <w:tc>
          <w:tcPr>
            <w:tcW w:w="3628" w:type="dxa"/>
            <w:tcBorders>
              <w:top w:val="single" w:sz="4" w:space="0" w:color="FFFFFF"/>
              <w:left w:val="nil"/>
              <w:bottom w:val="single" w:sz="4" w:space="0" w:color="FFFFFF"/>
              <w:right w:val="single" w:sz="4" w:space="0" w:color="FFFFFF"/>
            </w:tcBorders>
            <w:shd w:val="clear" w:color="BDD7EE" w:fill="BDD7EE"/>
            <w:vAlign w:val="center"/>
            <w:hideMark/>
          </w:tcPr>
          <w:p w14:paraId="5130934C" w14:textId="77777777" w:rsidR="00352F90" w:rsidRPr="00352F90" w:rsidRDefault="00352F90" w:rsidP="00352F90">
            <w:pPr>
              <w:spacing w:after="0" w:line="240" w:lineRule="auto"/>
              <w:rPr>
                <w:rFonts w:ascii="Times New Roman" w:eastAsia="Times New Roman" w:hAnsi="Times New Roman" w:cs="Times New Roman"/>
                <w:b/>
                <w:bCs/>
                <w:color w:val="000000"/>
                <w:sz w:val="24"/>
                <w:szCs w:val="24"/>
              </w:rPr>
            </w:pPr>
            <w:r w:rsidRPr="00352F90">
              <w:rPr>
                <w:rFonts w:ascii="Times New Roman" w:eastAsia="Times New Roman" w:hAnsi="Times New Roman" w:cs="Times New Roman"/>
                <w:b/>
                <w:bCs/>
                <w:color w:val="000000"/>
                <w:sz w:val="24"/>
                <w:szCs w:val="24"/>
              </w:rPr>
              <w:t>Contribution of Agriculture to GDP (%)</w:t>
            </w:r>
          </w:p>
        </w:tc>
        <w:tc>
          <w:tcPr>
            <w:tcW w:w="152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4F8FBC80"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14.2</w:t>
            </w:r>
          </w:p>
        </w:tc>
        <w:tc>
          <w:tcPr>
            <w:tcW w:w="1415"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583F57EF"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13</w:t>
            </w:r>
          </w:p>
        </w:tc>
        <w:tc>
          <w:tcPr>
            <w:tcW w:w="132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111D5913"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13.5</w:t>
            </w:r>
          </w:p>
        </w:tc>
        <w:tc>
          <w:tcPr>
            <w:tcW w:w="1288" w:type="dxa"/>
            <w:tcBorders>
              <w:top w:val="single" w:sz="4" w:space="0" w:color="FFFFFF"/>
              <w:left w:val="single" w:sz="4" w:space="0" w:color="FFFFFF"/>
              <w:bottom w:val="single" w:sz="4" w:space="0" w:color="FFFFFF"/>
              <w:right w:val="nil"/>
            </w:tcBorders>
            <w:shd w:val="clear" w:color="BDD7EE" w:fill="BDD7EE"/>
            <w:vAlign w:val="center"/>
            <w:hideMark/>
          </w:tcPr>
          <w:p w14:paraId="2DEEDAF0" w14:textId="77777777" w:rsidR="00352F90" w:rsidRPr="00352F90" w:rsidRDefault="00352F90" w:rsidP="00352F90">
            <w:pPr>
              <w:spacing w:after="0" w:line="240" w:lineRule="auto"/>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-8.5% (2020)</w:t>
            </w:r>
          </w:p>
        </w:tc>
      </w:tr>
      <w:tr w:rsidR="00352F90" w:rsidRPr="00352F90" w14:paraId="585181FA" w14:textId="77777777" w:rsidTr="00352F90">
        <w:trPr>
          <w:trHeight w:val="260"/>
        </w:trPr>
        <w:tc>
          <w:tcPr>
            <w:tcW w:w="3628" w:type="dxa"/>
            <w:tcBorders>
              <w:top w:val="single" w:sz="4" w:space="0" w:color="FFFFFF"/>
              <w:left w:val="nil"/>
              <w:bottom w:val="single" w:sz="4" w:space="0" w:color="FFFFFF"/>
              <w:right w:val="single" w:sz="4" w:space="0" w:color="FFFFFF"/>
            </w:tcBorders>
            <w:shd w:val="clear" w:color="DDEBF7" w:fill="DDEBF7"/>
            <w:vAlign w:val="center"/>
            <w:hideMark/>
          </w:tcPr>
          <w:p w14:paraId="437F8C70" w14:textId="77777777" w:rsidR="00352F90" w:rsidRPr="00352F90" w:rsidRDefault="00352F90" w:rsidP="00352F90">
            <w:pPr>
              <w:spacing w:after="0" w:line="240" w:lineRule="auto"/>
              <w:rPr>
                <w:rFonts w:ascii="Times New Roman" w:eastAsia="Times New Roman" w:hAnsi="Times New Roman" w:cs="Times New Roman"/>
                <w:b/>
                <w:bCs/>
                <w:color w:val="000000"/>
                <w:sz w:val="24"/>
                <w:szCs w:val="24"/>
              </w:rPr>
            </w:pPr>
            <w:r w:rsidRPr="00352F90">
              <w:rPr>
                <w:rFonts w:ascii="Times New Roman" w:eastAsia="Times New Roman" w:hAnsi="Times New Roman" w:cs="Times New Roman"/>
                <w:b/>
                <w:bCs/>
                <w:color w:val="000000"/>
                <w:sz w:val="24"/>
                <w:szCs w:val="24"/>
              </w:rPr>
              <w:t>Contribution of SMEs to GDP (%)</w:t>
            </w:r>
          </w:p>
        </w:tc>
        <w:tc>
          <w:tcPr>
            <w:tcW w:w="152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14:paraId="0F3B790F"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25</w:t>
            </w:r>
          </w:p>
        </w:tc>
        <w:tc>
          <w:tcPr>
            <w:tcW w:w="1415"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14:paraId="779FFC27"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20</w:t>
            </w:r>
          </w:p>
        </w:tc>
        <w:tc>
          <w:tcPr>
            <w:tcW w:w="132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14:paraId="4F995DDA"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22.5</w:t>
            </w:r>
          </w:p>
        </w:tc>
        <w:tc>
          <w:tcPr>
            <w:tcW w:w="1288" w:type="dxa"/>
            <w:tcBorders>
              <w:top w:val="single" w:sz="4" w:space="0" w:color="FFFFFF"/>
              <w:left w:val="single" w:sz="4" w:space="0" w:color="FFFFFF"/>
              <w:bottom w:val="single" w:sz="4" w:space="0" w:color="FFFFFF"/>
              <w:right w:val="nil"/>
            </w:tcBorders>
            <w:shd w:val="clear" w:color="DDEBF7" w:fill="DDEBF7"/>
            <w:vAlign w:val="center"/>
            <w:hideMark/>
          </w:tcPr>
          <w:p w14:paraId="49B24D6F" w14:textId="77777777" w:rsidR="00352F90" w:rsidRPr="00352F90" w:rsidRDefault="00352F90" w:rsidP="00352F90">
            <w:pPr>
              <w:spacing w:after="0" w:line="240" w:lineRule="auto"/>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-20% (2020)</w:t>
            </w:r>
          </w:p>
        </w:tc>
      </w:tr>
      <w:tr w:rsidR="00352F90" w:rsidRPr="00352F90" w14:paraId="08ADB381" w14:textId="77777777" w:rsidTr="00352F90">
        <w:trPr>
          <w:trHeight w:val="260"/>
        </w:trPr>
        <w:tc>
          <w:tcPr>
            <w:tcW w:w="3628" w:type="dxa"/>
            <w:tcBorders>
              <w:top w:val="single" w:sz="4" w:space="0" w:color="FFFFFF"/>
              <w:left w:val="nil"/>
              <w:bottom w:val="single" w:sz="4" w:space="0" w:color="FFFFFF"/>
              <w:right w:val="single" w:sz="4" w:space="0" w:color="FFFFFF"/>
            </w:tcBorders>
            <w:shd w:val="clear" w:color="BDD7EE" w:fill="BDD7EE"/>
            <w:vAlign w:val="center"/>
            <w:hideMark/>
          </w:tcPr>
          <w:p w14:paraId="49F427D1" w14:textId="77777777" w:rsidR="00352F90" w:rsidRPr="00352F90" w:rsidRDefault="00352F90" w:rsidP="00352F90">
            <w:pPr>
              <w:spacing w:after="0" w:line="240" w:lineRule="auto"/>
              <w:rPr>
                <w:rFonts w:ascii="Times New Roman" w:eastAsia="Times New Roman" w:hAnsi="Times New Roman" w:cs="Times New Roman"/>
                <w:b/>
                <w:bCs/>
                <w:color w:val="000000"/>
                <w:sz w:val="24"/>
                <w:szCs w:val="24"/>
              </w:rPr>
            </w:pPr>
            <w:r w:rsidRPr="00352F90">
              <w:rPr>
                <w:rFonts w:ascii="Times New Roman" w:eastAsia="Times New Roman" w:hAnsi="Times New Roman" w:cs="Times New Roman"/>
                <w:b/>
                <w:bCs/>
                <w:color w:val="000000"/>
                <w:sz w:val="24"/>
                <w:szCs w:val="24"/>
              </w:rPr>
              <w:t>Unemployment Rate (%)</w:t>
            </w:r>
          </w:p>
        </w:tc>
        <w:tc>
          <w:tcPr>
            <w:tcW w:w="152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36A84828"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4.2</w:t>
            </w:r>
          </w:p>
        </w:tc>
        <w:tc>
          <w:tcPr>
            <w:tcW w:w="1415"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70E4E817"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6.5</w:t>
            </w:r>
          </w:p>
        </w:tc>
        <w:tc>
          <w:tcPr>
            <w:tcW w:w="132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18A8B816"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5.8</w:t>
            </w:r>
          </w:p>
        </w:tc>
        <w:tc>
          <w:tcPr>
            <w:tcW w:w="1288" w:type="dxa"/>
            <w:tcBorders>
              <w:top w:val="single" w:sz="4" w:space="0" w:color="FFFFFF"/>
              <w:left w:val="single" w:sz="4" w:space="0" w:color="FFFFFF"/>
              <w:bottom w:val="single" w:sz="4" w:space="0" w:color="FFFFFF"/>
              <w:right w:val="nil"/>
            </w:tcBorders>
            <w:shd w:val="clear" w:color="BDD7EE" w:fill="BDD7EE"/>
            <w:vAlign w:val="center"/>
            <w:hideMark/>
          </w:tcPr>
          <w:p w14:paraId="1BAAF60B" w14:textId="77777777" w:rsidR="00352F90" w:rsidRPr="00352F90" w:rsidRDefault="00352F90" w:rsidP="00352F90">
            <w:pPr>
              <w:spacing w:after="0" w:line="240" w:lineRule="auto"/>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+54% (2020)</w:t>
            </w:r>
          </w:p>
        </w:tc>
      </w:tr>
      <w:tr w:rsidR="00352F90" w:rsidRPr="00352F90" w14:paraId="6C733A9D" w14:textId="77777777" w:rsidTr="00352F90">
        <w:trPr>
          <w:trHeight w:val="260"/>
        </w:trPr>
        <w:tc>
          <w:tcPr>
            <w:tcW w:w="3628" w:type="dxa"/>
            <w:tcBorders>
              <w:top w:val="single" w:sz="4" w:space="0" w:color="FFFFFF"/>
              <w:left w:val="nil"/>
              <w:bottom w:val="single" w:sz="4" w:space="0" w:color="FFFFFF"/>
              <w:right w:val="single" w:sz="4" w:space="0" w:color="FFFFFF"/>
            </w:tcBorders>
            <w:shd w:val="clear" w:color="DDEBF7" w:fill="DDEBF7"/>
            <w:vAlign w:val="center"/>
            <w:hideMark/>
          </w:tcPr>
          <w:p w14:paraId="0ACC157D" w14:textId="77777777" w:rsidR="00352F90" w:rsidRPr="00352F90" w:rsidRDefault="00352F90" w:rsidP="00352F90">
            <w:pPr>
              <w:spacing w:after="0" w:line="240" w:lineRule="auto"/>
              <w:rPr>
                <w:rFonts w:ascii="Times New Roman" w:eastAsia="Times New Roman" w:hAnsi="Times New Roman" w:cs="Times New Roman"/>
                <w:b/>
                <w:bCs/>
                <w:color w:val="000000"/>
                <w:sz w:val="24"/>
                <w:szCs w:val="24"/>
              </w:rPr>
            </w:pPr>
            <w:r w:rsidRPr="00352F90">
              <w:rPr>
                <w:rFonts w:ascii="Times New Roman" w:eastAsia="Times New Roman" w:hAnsi="Times New Roman" w:cs="Times New Roman"/>
                <w:b/>
                <w:bCs/>
                <w:color w:val="000000"/>
                <w:sz w:val="24"/>
                <w:szCs w:val="24"/>
              </w:rPr>
              <w:t>Poverty Rate (%)</w:t>
            </w:r>
          </w:p>
        </w:tc>
        <w:tc>
          <w:tcPr>
            <w:tcW w:w="152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14:paraId="526103AC"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20.5</w:t>
            </w:r>
          </w:p>
        </w:tc>
        <w:tc>
          <w:tcPr>
            <w:tcW w:w="1415"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14:paraId="6ED6BE37"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25.6</w:t>
            </w:r>
          </w:p>
        </w:tc>
        <w:tc>
          <w:tcPr>
            <w:tcW w:w="132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14:paraId="3F4C30ED"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24</w:t>
            </w:r>
          </w:p>
        </w:tc>
        <w:tc>
          <w:tcPr>
            <w:tcW w:w="1288" w:type="dxa"/>
            <w:tcBorders>
              <w:top w:val="single" w:sz="4" w:space="0" w:color="FFFFFF"/>
              <w:left w:val="single" w:sz="4" w:space="0" w:color="FFFFFF"/>
              <w:bottom w:val="single" w:sz="4" w:space="0" w:color="FFFFFF"/>
              <w:right w:val="nil"/>
            </w:tcBorders>
            <w:shd w:val="clear" w:color="DDEBF7" w:fill="DDEBF7"/>
            <w:vAlign w:val="center"/>
            <w:hideMark/>
          </w:tcPr>
          <w:p w14:paraId="68FDD221" w14:textId="77777777" w:rsidR="00352F90" w:rsidRPr="00352F90" w:rsidRDefault="00352F90" w:rsidP="00352F90">
            <w:pPr>
              <w:spacing w:after="0" w:line="240" w:lineRule="auto"/>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+25% (2020)</w:t>
            </w:r>
          </w:p>
        </w:tc>
      </w:tr>
      <w:tr w:rsidR="00352F90" w:rsidRPr="00352F90" w14:paraId="235DCD28" w14:textId="77777777" w:rsidTr="00352F90">
        <w:trPr>
          <w:trHeight w:val="260"/>
        </w:trPr>
        <w:tc>
          <w:tcPr>
            <w:tcW w:w="3628" w:type="dxa"/>
            <w:tcBorders>
              <w:top w:val="single" w:sz="4" w:space="0" w:color="FFFFFF"/>
              <w:left w:val="nil"/>
              <w:bottom w:val="single" w:sz="4" w:space="0" w:color="FFFFFF"/>
              <w:right w:val="single" w:sz="4" w:space="0" w:color="FFFFFF"/>
            </w:tcBorders>
            <w:shd w:val="clear" w:color="BDD7EE" w:fill="BDD7EE"/>
            <w:vAlign w:val="center"/>
            <w:hideMark/>
          </w:tcPr>
          <w:p w14:paraId="1B9C9831" w14:textId="77777777" w:rsidR="00352F90" w:rsidRPr="00352F90" w:rsidRDefault="00352F90" w:rsidP="00352F90">
            <w:pPr>
              <w:spacing w:after="0" w:line="240" w:lineRule="auto"/>
              <w:rPr>
                <w:rFonts w:ascii="Times New Roman" w:eastAsia="Times New Roman" w:hAnsi="Times New Roman" w:cs="Times New Roman"/>
                <w:b/>
                <w:bCs/>
                <w:color w:val="000000"/>
                <w:sz w:val="24"/>
                <w:szCs w:val="24"/>
              </w:rPr>
            </w:pPr>
            <w:r w:rsidRPr="00352F90">
              <w:rPr>
                <w:rFonts w:ascii="Times New Roman" w:eastAsia="Times New Roman" w:hAnsi="Times New Roman" w:cs="Times New Roman"/>
                <w:b/>
                <w:bCs/>
                <w:color w:val="000000"/>
                <w:sz w:val="24"/>
                <w:szCs w:val="24"/>
              </w:rPr>
              <w:t>Inflation Rate (%)</w:t>
            </w:r>
          </w:p>
        </w:tc>
        <w:tc>
          <w:tcPr>
            <w:tcW w:w="152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61874CB7"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5.5</w:t>
            </w:r>
          </w:p>
        </w:tc>
        <w:tc>
          <w:tcPr>
            <w:tcW w:w="1415"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1E96FC2C"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6.2</w:t>
            </w:r>
          </w:p>
        </w:tc>
        <w:tc>
          <w:tcPr>
            <w:tcW w:w="132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2154E8D8"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5.8</w:t>
            </w:r>
          </w:p>
        </w:tc>
        <w:tc>
          <w:tcPr>
            <w:tcW w:w="1288" w:type="dxa"/>
            <w:tcBorders>
              <w:top w:val="single" w:sz="4" w:space="0" w:color="FFFFFF"/>
              <w:left w:val="single" w:sz="4" w:space="0" w:color="FFFFFF"/>
              <w:bottom w:val="single" w:sz="4" w:space="0" w:color="FFFFFF"/>
              <w:right w:val="nil"/>
            </w:tcBorders>
            <w:shd w:val="clear" w:color="BDD7EE" w:fill="BDD7EE"/>
            <w:vAlign w:val="center"/>
            <w:hideMark/>
          </w:tcPr>
          <w:p w14:paraId="51757D89" w14:textId="77777777" w:rsidR="00352F90" w:rsidRPr="00352F90" w:rsidRDefault="00352F90" w:rsidP="00352F90">
            <w:pPr>
              <w:spacing w:after="0" w:line="240" w:lineRule="auto"/>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+12.7% (2020)</w:t>
            </w:r>
          </w:p>
        </w:tc>
      </w:tr>
      <w:tr w:rsidR="00352F90" w:rsidRPr="00352F90" w14:paraId="406816BB" w14:textId="77777777" w:rsidTr="00352F90">
        <w:trPr>
          <w:trHeight w:val="504"/>
        </w:trPr>
        <w:tc>
          <w:tcPr>
            <w:tcW w:w="3628" w:type="dxa"/>
            <w:tcBorders>
              <w:top w:val="single" w:sz="4" w:space="0" w:color="FFFFFF"/>
              <w:left w:val="nil"/>
              <w:bottom w:val="single" w:sz="4" w:space="0" w:color="FFFFFF"/>
              <w:right w:val="single" w:sz="4" w:space="0" w:color="FFFFFF"/>
            </w:tcBorders>
            <w:shd w:val="clear" w:color="DDEBF7" w:fill="DDEBF7"/>
            <w:vAlign w:val="center"/>
            <w:hideMark/>
          </w:tcPr>
          <w:p w14:paraId="60944FF2" w14:textId="77777777" w:rsidR="00352F90" w:rsidRPr="00352F90" w:rsidRDefault="00352F90" w:rsidP="00352F90">
            <w:pPr>
              <w:spacing w:after="0" w:line="240" w:lineRule="auto"/>
              <w:rPr>
                <w:rFonts w:ascii="Times New Roman" w:eastAsia="Times New Roman" w:hAnsi="Times New Roman" w:cs="Times New Roman"/>
                <w:b/>
                <w:bCs/>
                <w:color w:val="000000"/>
                <w:sz w:val="24"/>
                <w:szCs w:val="24"/>
              </w:rPr>
            </w:pPr>
            <w:r w:rsidRPr="00352F90">
              <w:rPr>
                <w:rFonts w:ascii="Times New Roman" w:eastAsia="Times New Roman" w:hAnsi="Times New Roman" w:cs="Times New Roman"/>
                <w:b/>
                <w:bCs/>
                <w:color w:val="000000"/>
                <w:sz w:val="24"/>
                <w:szCs w:val="24"/>
              </w:rPr>
              <w:t>Foreign Direct Investment (FDI) Inflow (USD Billion)</w:t>
            </w:r>
          </w:p>
        </w:tc>
        <w:tc>
          <w:tcPr>
            <w:tcW w:w="152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14:paraId="34CBDDA4"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3.6</w:t>
            </w:r>
          </w:p>
        </w:tc>
        <w:tc>
          <w:tcPr>
            <w:tcW w:w="1415"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14:paraId="0C02B78B"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2.1</w:t>
            </w:r>
          </w:p>
        </w:tc>
        <w:tc>
          <w:tcPr>
            <w:tcW w:w="132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14:paraId="5F48169A"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2.7</w:t>
            </w:r>
          </w:p>
        </w:tc>
        <w:tc>
          <w:tcPr>
            <w:tcW w:w="1288" w:type="dxa"/>
            <w:tcBorders>
              <w:top w:val="single" w:sz="4" w:space="0" w:color="FFFFFF"/>
              <w:left w:val="single" w:sz="4" w:space="0" w:color="FFFFFF"/>
              <w:bottom w:val="single" w:sz="4" w:space="0" w:color="FFFFFF"/>
              <w:right w:val="nil"/>
            </w:tcBorders>
            <w:shd w:val="clear" w:color="DDEBF7" w:fill="DDEBF7"/>
            <w:vAlign w:val="center"/>
            <w:hideMark/>
          </w:tcPr>
          <w:p w14:paraId="6B97FA3E" w14:textId="77777777" w:rsidR="00352F90" w:rsidRPr="00352F90" w:rsidRDefault="00352F90" w:rsidP="00352F90">
            <w:pPr>
              <w:spacing w:after="0" w:line="240" w:lineRule="auto"/>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-41.7% (2020)</w:t>
            </w:r>
          </w:p>
        </w:tc>
      </w:tr>
      <w:tr w:rsidR="00352F90" w:rsidRPr="00352F90" w14:paraId="0A79CD72" w14:textId="77777777" w:rsidTr="00352F90">
        <w:trPr>
          <w:trHeight w:val="260"/>
        </w:trPr>
        <w:tc>
          <w:tcPr>
            <w:tcW w:w="3628" w:type="dxa"/>
            <w:tcBorders>
              <w:top w:val="single" w:sz="4" w:space="0" w:color="FFFFFF"/>
              <w:left w:val="nil"/>
              <w:bottom w:val="single" w:sz="4" w:space="0" w:color="FFFFFF"/>
              <w:right w:val="single" w:sz="4" w:space="0" w:color="FFFFFF"/>
            </w:tcBorders>
            <w:shd w:val="clear" w:color="BDD7EE" w:fill="BDD7EE"/>
            <w:vAlign w:val="center"/>
            <w:hideMark/>
          </w:tcPr>
          <w:p w14:paraId="743CE7A9" w14:textId="77777777" w:rsidR="00352F90" w:rsidRPr="00352F90" w:rsidRDefault="00352F90" w:rsidP="00352F90">
            <w:pPr>
              <w:spacing w:after="0" w:line="240" w:lineRule="auto"/>
              <w:rPr>
                <w:rFonts w:ascii="Times New Roman" w:eastAsia="Times New Roman" w:hAnsi="Times New Roman" w:cs="Times New Roman"/>
                <w:b/>
                <w:bCs/>
                <w:color w:val="000000"/>
                <w:sz w:val="24"/>
                <w:szCs w:val="24"/>
              </w:rPr>
            </w:pPr>
            <w:r w:rsidRPr="00352F90">
              <w:rPr>
                <w:rFonts w:ascii="Times New Roman" w:eastAsia="Times New Roman" w:hAnsi="Times New Roman" w:cs="Times New Roman"/>
                <w:b/>
                <w:bCs/>
                <w:color w:val="000000"/>
                <w:sz w:val="24"/>
                <w:szCs w:val="24"/>
              </w:rPr>
              <w:t>Remittances (USD Billion)</w:t>
            </w:r>
          </w:p>
        </w:tc>
        <w:tc>
          <w:tcPr>
            <w:tcW w:w="152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5F903587"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18.3</w:t>
            </w:r>
          </w:p>
        </w:tc>
        <w:tc>
          <w:tcPr>
            <w:tcW w:w="1415"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3A62750E"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15.1</w:t>
            </w:r>
          </w:p>
        </w:tc>
        <w:tc>
          <w:tcPr>
            <w:tcW w:w="132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6E315AF9"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19.8</w:t>
            </w:r>
          </w:p>
        </w:tc>
        <w:tc>
          <w:tcPr>
            <w:tcW w:w="1288" w:type="dxa"/>
            <w:tcBorders>
              <w:top w:val="single" w:sz="4" w:space="0" w:color="FFFFFF"/>
              <w:left w:val="single" w:sz="4" w:space="0" w:color="FFFFFF"/>
              <w:bottom w:val="single" w:sz="4" w:space="0" w:color="FFFFFF"/>
              <w:right w:val="nil"/>
            </w:tcBorders>
            <w:shd w:val="clear" w:color="BDD7EE" w:fill="BDD7EE"/>
            <w:vAlign w:val="center"/>
            <w:hideMark/>
          </w:tcPr>
          <w:p w14:paraId="767BE7D5" w14:textId="77777777" w:rsidR="00352F90" w:rsidRPr="00352F90" w:rsidRDefault="00352F90" w:rsidP="00352F90">
            <w:pPr>
              <w:spacing w:after="0" w:line="240" w:lineRule="auto"/>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-17.5% (2020)</w:t>
            </w:r>
          </w:p>
        </w:tc>
      </w:tr>
      <w:tr w:rsidR="00352F90" w:rsidRPr="00352F90" w14:paraId="7647069E" w14:textId="77777777" w:rsidTr="00352F90">
        <w:trPr>
          <w:trHeight w:val="260"/>
        </w:trPr>
        <w:tc>
          <w:tcPr>
            <w:tcW w:w="3628" w:type="dxa"/>
            <w:tcBorders>
              <w:top w:val="single" w:sz="4" w:space="0" w:color="FFFFFF"/>
              <w:left w:val="nil"/>
              <w:bottom w:val="single" w:sz="4" w:space="0" w:color="FFFFFF"/>
              <w:right w:val="single" w:sz="4" w:space="0" w:color="FFFFFF"/>
            </w:tcBorders>
            <w:shd w:val="clear" w:color="DDEBF7" w:fill="DDEBF7"/>
            <w:vAlign w:val="center"/>
            <w:hideMark/>
          </w:tcPr>
          <w:p w14:paraId="7DCB33A6" w14:textId="77777777" w:rsidR="00352F90" w:rsidRPr="00352F90" w:rsidRDefault="00352F90" w:rsidP="00352F90">
            <w:pPr>
              <w:spacing w:after="0" w:line="240" w:lineRule="auto"/>
              <w:rPr>
                <w:rFonts w:ascii="Times New Roman" w:eastAsia="Times New Roman" w:hAnsi="Times New Roman" w:cs="Times New Roman"/>
                <w:b/>
                <w:bCs/>
                <w:color w:val="000000"/>
                <w:sz w:val="24"/>
                <w:szCs w:val="24"/>
              </w:rPr>
            </w:pPr>
            <w:r w:rsidRPr="00352F90">
              <w:rPr>
                <w:rFonts w:ascii="Times New Roman" w:eastAsia="Times New Roman" w:hAnsi="Times New Roman" w:cs="Times New Roman"/>
                <w:b/>
                <w:bCs/>
                <w:color w:val="000000"/>
                <w:sz w:val="24"/>
                <w:szCs w:val="24"/>
              </w:rPr>
              <w:t>Government Debt to GDP (%)</w:t>
            </w:r>
          </w:p>
        </w:tc>
        <w:tc>
          <w:tcPr>
            <w:tcW w:w="152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14:paraId="77897212"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34.6</w:t>
            </w:r>
          </w:p>
        </w:tc>
        <w:tc>
          <w:tcPr>
            <w:tcW w:w="1415"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14:paraId="6EEA05A9"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38</w:t>
            </w:r>
          </w:p>
        </w:tc>
        <w:tc>
          <w:tcPr>
            <w:tcW w:w="132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14:paraId="22E81E9B"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39.5</w:t>
            </w:r>
          </w:p>
        </w:tc>
        <w:tc>
          <w:tcPr>
            <w:tcW w:w="1288" w:type="dxa"/>
            <w:tcBorders>
              <w:top w:val="single" w:sz="4" w:space="0" w:color="FFFFFF"/>
              <w:left w:val="single" w:sz="4" w:space="0" w:color="FFFFFF"/>
              <w:bottom w:val="single" w:sz="4" w:space="0" w:color="FFFFFF"/>
              <w:right w:val="nil"/>
            </w:tcBorders>
            <w:shd w:val="clear" w:color="DDEBF7" w:fill="DDEBF7"/>
            <w:vAlign w:val="center"/>
            <w:hideMark/>
          </w:tcPr>
          <w:p w14:paraId="3DEADDAD" w14:textId="77777777" w:rsidR="00352F90" w:rsidRPr="00352F90" w:rsidRDefault="00352F90" w:rsidP="00352F90">
            <w:pPr>
              <w:spacing w:after="0" w:line="240" w:lineRule="auto"/>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+9.8% (2020)</w:t>
            </w:r>
          </w:p>
        </w:tc>
      </w:tr>
      <w:tr w:rsidR="00352F90" w:rsidRPr="00352F90" w14:paraId="35C4951D" w14:textId="77777777" w:rsidTr="00352F90">
        <w:trPr>
          <w:trHeight w:val="260"/>
        </w:trPr>
        <w:tc>
          <w:tcPr>
            <w:tcW w:w="3628" w:type="dxa"/>
            <w:tcBorders>
              <w:top w:val="single" w:sz="4" w:space="0" w:color="FFFFFF"/>
              <w:left w:val="nil"/>
              <w:bottom w:val="nil"/>
              <w:right w:val="single" w:sz="4" w:space="0" w:color="FFFFFF"/>
            </w:tcBorders>
            <w:shd w:val="clear" w:color="BDD7EE" w:fill="BDD7EE"/>
            <w:vAlign w:val="center"/>
            <w:hideMark/>
          </w:tcPr>
          <w:p w14:paraId="1DD5D443" w14:textId="77777777" w:rsidR="00352F90" w:rsidRPr="00352F90" w:rsidRDefault="00352F90" w:rsidP="00352F90">
            <w:pPr>
              <w:spacing w:after="0" w:line="240" w:lineRule="auto"/>
              <w:rPr>
                <w:rFonts w:ascii="Times New Roman" w:eastAsia="Times New Roman" w:hAnsi="Times New Roman" w:cs="Times New Roman"/>
                <w:b/>
                <w:bCs/>
                <w:color w:val="000000"/>
                <w:sz w:val="24"/>
                <w:szCs w:val="24"/>
              </w:rPr>
            </w:pPr>
            <w:r w:rsidRPr="00352F90">
              <w:rPr>
                <w:rFonts w:ascii="Times New Roman" w:eastAsia="Times New Roman" w:hAnsi="Times New Roman" w:cs="Times New Roman"/>
                <w:b/>
                <w:bCs/>
                <w:color w:val="000000"/>
                <w:sz w:val="24"/>
                <w:szCs w:val="24"/>
              </w:rPr>
              <w:t>Export Growth Rate (%)</w:t>
            </w:r>
          </w:p>
        </w:tc>
        <w:tc>
          <w:tcPr>
            <w:tcW w:w="1524" w:type="dxa"/>
            <w:tcBorders>
              <w:top w:val="single" w:sz="4" w:space="0" w:color="FFFFFF"/>
              <w:left w:val="single" w:sz="4" w:space="0" w:color="FFFFFF"/>
              <w:bottom w:val="nil"/>
              <w:right w:val="single" w:sz="4" w:space="0" w:color="FFFFFF"/>
            </w:tcBorders>
            <w:shd w:val="clear" w:color="BDD7EE" w:fill="BDD7EE"/>
            <w:vAlign w:val="center"/>
            <w:hideMark/>
          </w:tcPr>
          <w:p w14:paraId="2F3CC15E"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10.1</w:t>
            </w:r>
          </w:p>
        </w:tc>
        <w:tc>
          <w:tcPr>
            <w:tcW w:w="1415" w:type="dxa"/>
            <w:tcBorders>
              <w:top w:val="single" w:sz="4" w:space="0" w:color="FFFFFF"/>
              <w:left w:val="single" w:sz="4" w:space="0" w:color="FFFFFF"/>
              <w:bottom w:val="nil"/>
              <w:right w:val="single" w:sz="4" w:space="0" w:color="FFFFFF"/>
            </w:tcBorders>
            <w:shd w:val="clear" w:color="BDD7EE" w:fill="BDD7EE"/>
            <w:vAlign w:val="center"/>
            <w:hideMark/>
          </w:tcPr>
          <w:p w14:paraId="48D30160"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-16.9</w:t>
            </w:r>
          </w:p>
        </w:tc>
        <w:tc>
          <w:tcPr>
            <w:tcW w:w="1324" w:type="dxa"/>
            <w:tcBorders>
              <w:top w:val="single" w:sz="4" w:space="0" w:color="FFFFFF"/>
              <w:left w:val="single" w:sz="4" w:space="0" w:color="FFFFFF"/>
              <w:bottom w:val="nil"/>
              <w:right w:val="single" w:sz="4" w:space="0" w:color="FFFFFF"/>
            </w:tcBorders>
            <w:shd w:val="clear" w:color="BDD7EE" w:fill="BDD7EE"/>
            <w:vAlign w:val="center"/>
            <w:hideMark/>
          </w:tcPr>
          <w:p w14:paraId="61E88BA0" w14:textId="77777777" w:rsidR="00352F90" w:rsidRPr="00352F90" w:rsidRDefault="00352F90" w:rsidP="00352F90">
            <w:pPr>
              <w:spacing w:after="0" w:line="240" w:lineRule="auto"/>
              <w:jc w:val="right"/>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13.4</w:t>
            </w:r>
          </w:p>
        </w:tc>
        <w:tc>
          <w:tcPr>
            <w:tcW w:w="1288" w:type="dxa"/>
            <w:tcBorders>
              <w:top w:val="single" w:sz="4" w:space="0" w:color="FFFFFF"/>
              <w:left w:val="single" w:sz="4" w:space="0" w:color="FFFFFF"/>
              <w:bottom w:val="nil"/>
              <w:right w:val="nil"/>
            </w:tcBorders>
            <w:shd w:val="clear" w:color="BDD7EE" w:fill="BDD7EE"/>
            <w:vAlign w:val="center"/>
            <w:hideMark/>
          </w:tcPr>
          <w:p w14:paraId="31416B77" w14:textId="77777777" w:rsidR="00352F90" w:rsidRPr="00352F90" w:rsidRDefault="00352F90" w:rsidP="00352F90">
            <w:pPr>
              <w:spacing w:after="0" w:line="240" w:lineRule="auto"/>
              <w:rPr>
                <w:rFonts w:ascii="Times New Roman" w:eastAsia="Times New Roman" w:hAnsi="Times New Roman" w:cs="Times New Roman"/>
                <w:color w:val="000000"/>
                <w:sz w:val="24"/>
                <w:szCs w:val="24"/>
              </w:rPr>
            </w:pPr>
            <w:r w:rsidRPr="00352F90">
              <w:rPr>
                <w:rFonts w:ascii="Times New Roman" w:eastAsia="Times New Roman" w:hAnsi="Times New Roman" w:cs="Times New Roman"/>
                <w:color w:val="000000"/>
                <w:sz w:val="24"/>
                <w:szCs w:val="24"/>
              </w:rPr>
              <w:t>-167% (2020)</w:t>
            </w:r>
          </w:p>
        </w:tc>
      </w:tr>
    </w:tbl>
    <w:p w14:paraId="670E19F3" w14:textId="733CCC5B" w:rsidR="00C93D02" w:rsidRDefault="00C93D02" w:rsidP="003D7E5F">
      <w:pPr>
        <w:spacing w:line="360" w:lineRule="auto"/>
        <w:jc w:val="both"/>
        <w:rPr>
          <w:rFonts w:ascii="Times New Roman" w:hAnsi="Times New Roman" w:cs="Times New Roman"/>
          <w:sz w:val="24"/>
          <w:szCs w:val="24"/>
        </w:rPr>
      </w:pPr>
    </w:p>
    <w:p w14:paraId="0656B821" w14:textId="77777777" w:rsidR="00352F90" w:rsidRPr="00352F90" w:rsidRDefault="00352F90" w:rsidP="00C5595B">
      <w:pPr>
        <w:spacing w:line="360" w:lineRule="auto"/>
        <w:jc w:val="both"/>
        <w:rPr>
          <w:rFonts w:ascii="Times New Roman" w:hAnsi="Times New Roman" w:cs="Times New Roman"/>
          <w:sz w:val="24"/>
          <w:szCs w:val="24"/>
        </w:rPr>
      </w:pPr>
      <w:r w:rsidRPr="00352F90">
        <w:rPr>
          <w:rFonts w:ascii="Times New Roman" w:hAnsi="Times New Roman" w:cs="Times New Roman"/>
          <w:sz w:val="24"/>
          <w:szCs w:val="24"/>
        </w:rPr>
        <w:t>The GDP growth rate in Bangladesh dropped sharply from 8.2% in 2019 to 3.5% in 2020, a decline of 57%, signaling the drastic impact of the pandemic on the overall economy. The data shows that sectors like RMG and SMEs, which are vital to GDP, saw substantial declines, while unemployment rose from 4.2% to 6.5% as businesses shuttered and layoffs increased. Poverty surged as well, with the rate increasing by 25%, underscoring the social impacts of the pandemic.</w:t>
      </w:r>
    </w:p>
    <w:p w14:paraId="47E28C00" w14:textId="68FAB9C0" w:rsidR="00352F90" w:rsidRDefault="00352F90" w:rsidP="00C5595B">
      <w:pPr>
        <w:spacing w:line="360" w:lineRule="auto"/>
        <w:jc w:val="both"/>
        <w:rPr>
          <w:rFonts w:ascii="Times New Roman" w:hAnsi="Times New Roman" w:cs="Times New Roman"/>
          <w:sz w:val="24"/>
          <w:szCs w:val="24"/>
        </w:rPr>
      </w:pPr>
      <w:r w:rsidRPr="00352F90">
        <w:rPr>
          <w:rFonts w:ascii="Times New Roman" w:hAnsi="Times New Roman" w:cs="Times New Roman"/>
          <w:sz w:val="24"/>
          <w:szCs w:val="24"/>
        </w:rPr>
        <w:t>FDI inflows fell by 41.7%, indicating reduced investor confidence during the pandemic. The increase in inflation (from 5.5% to 6.2%) further compounded economic difficulties, as the cost of living rose amid decreased income and higher unemployment rates.</w:t>
      </w:r>
    </w:p>
    <w:p w14:paraId="75B4FB8C" w14:textId="0C60C9CE" w:rsidR="00C5595B" w:rsidRDefault="00C5595B" w:rsidP="00C5595B">
      <w:pPr>
        <w:spacing w:line="360" w:lineRule="auto"/>
        <w:jc w:val="both"/>
        <w:rPr>
          <w:rFonts w:ascii="Times New Roman" w:hAnsi="Times New Roman" w:cs="Times New Roman"/>
          <w:sz w:val="24"/>
          <w:szCs w:val="24"/>
        </w:rPr>
      </w:pPr>
      <w:r>
        <w:rPr>
          <w:noProof/>
        </w:rPr>
        <w:drawing>
          <wp:inline distT="0" distB="0" distL="0" distR="0" wp14:anchorId="21D53C58" wp14:editId="176803A7">
            <wp:extent cx="5922628" cy="2732539"/>
            <wp:effectExtent l="0" t="0" r="2540" b="10795"/>
            <wp:docPr id="2" name="Chart 2">
              <a:extLst xmlns:a="http://schemas.openxmlformats.org/drawingml/2006/main">
                <a:ext uri="{FF2B5EF4-FFF2-40B4-BE49-F238E27FC236}">
                  <a16:creationId xmlns:a16="http://schemas.microsoft.com/office/drawing/2014/main" id="{AF74D8C0-1AF0-4C5B-B5EF-F8208BA6A7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82A96C9" w14:textId="127A33C0" w:rsidR="00C5595B" w:rsidRDefault="00C5595B" w:rsidP="00C5595B">
      <w:pPr>
        <w:spacing w:line="360" w:lineRule="auto"/>
        <w:jc w:val="both"/>
        <w:rPr>
          <w:rFonts w:ascii="Times New Roman" w:hAnsi="Times New Roman" w:cs="Times New Roman"/>
          <w:sz w:val="24"/>
          <w:szCs w:val="24"/>
        </w:rPr>
      </w:pPr>
      <w:r w:rsidRPr="00C5595B">
        <w:rPr>
          <w:rFonts w:ascii="Times New Roman" w:hAnsi="Times New Roman" w:cs="Times New Roman"/>
          <w:sz w:val="24"/>
          <w:szCs w:val="24"/>
        </w:rPr>
        <w:t>Table 3: Comparative Recovery Indicators for Major Sectors (2021-2022)</w:t>
      </w:r>
    </w:p>
    <w:tbl>
      <w:tblPr>
        <w:tblW w:w="9139" w:type="dxa"/>
        <w:tblLook w:val="04A0" w:firstRow="1" w:lastRow="0" w:firstColumn="1" w:lastColumn="0" w:noHBand="0" w:noVBand="1"/>
      </w:tblPr>
      <w:tblGrid>
        <w:gridCol w:w="2616"/>
        <w:gridCol w:w="1231"/>
        <w:gridCol w:w="1277"/>
        <w:gridCol w:w="1185"/>
        <w:gridCol w:w="1415"/>
        <w:gridCol w:w="1415"/>
      </w:tblGrid>
      <w:tr w:rsidR="00C5595B" w:rsidRPr="00C5595B" w14:paraId="08DE909D" w14:textId="77777777" w:rsidTr="00C5595B">
        <w:trPr>
          <w:trHeight w:val="1739"/>
        </w:trPr>
        <w:tc>
          <w:tcPr>
            <w:tcW w:w="2616" w:type="dxa"/>
            <w:tcBorders>
              <w:top w:val="nil"/>
              <w:left w:val="nil"/>
              <w:bottom w:val="single" w:sz="12" w:space="0" w:color="FFFFFF"/>
              <w:right w:val="single" w:sz="4" w:space="0" w:color="FFFFFF"/>
            </w:tcBorders>
            <w:shd w:val="clear" w:color="5B9BD5" w:fill="5B9BD5"/>
            <w:vAlign w:val="center"/>
            <w:hideMark/>
          </w:tcPr>
          <w:p w14:paraId="59B17503" w14:textId="77777777" w:rsidR="00C5595B" w:rsidRPr="00C5595B" w:rsidRDefault="00C5595B" w:rsidP="00C5595B">
            <w:pPr>
              <w:spacing w:after="0" w:line="240" w:lineRule="auto"/>
              <w:jc w:val="center"/>
              <w:rPr>
                <w:rFonts w:ascii="Times New Roman" w:eastAsia="Times New Roman" w:hAnsi="Times New Roman" w:cs="Times New Roman"/>
                <w:b/>
                <w:bCs/>
                <w:color w:val="FFFFFF"/>
                <w:sz w:val="24"/>
                <w:szCs w:val="24"/>
              </w:rPr>
            </w:pPr>
            <w:r w:rsidRPr="00C5595B">
              <w:rPr>
                <w:rFonts w:ascii="Times New Roman" w:eastAsia="Times New Roman" w:hAnsi="Times New Roman" w:cs="Times New Roman"/>
                <w:b/>
                <w:bCs/>
                <w:color w:val="FFFFFF"/>
                <w:sz w:val="24"/>
                <w:szCs w:val="24"/>
              </w:rPr>
              <w:t>Economic Indicator</w:t>
            </w:r>
          </w:p>
        </w:tc>
        <w:tc>
          <w:tcPr>
            <w:tcW w:w="1231" w:type="dxa"/>
            <w:tcBorders>
              <w:top w:val="nil"/>
              <w:left w:val="single" w:sz="4" w:space="0" w:color="FFFFFF"/>
              <w:bottom w:val="single" w:sz="12" w:space="0" w:color="FFFFFF"/>
              <w:right w:val="single" w:sz="4" w:space="0" w:color="FFFFFF"/>
            </w:tcBorders>
            <w:shd w:val="clear" w:color="5B9BD5" w:fill="5B9BD5"/>
            <w:vAlign w:val="center"/>
            <w:hideMark/>
          </w:tcPr>
          <w:p w14:paraId="07E2D5BA" w14:textId="77777777" w:rsidR="00C5595B" w:rsidRPr="00C5595B" w:rsidRDefault="00C5595B" w:rsidP="00C5595B">
            <w:pPr>
              <w:spacing w:after="0" w:line="240" w:lineRule="auto"/>
              <w:jc w:val="center"/>
              <w:rPr>
                <w:rFonts w:ascii="Times New Roman" w:eastAsia="Times New Roman" w:hAnsi="Times New Roman" w:cs="Times New Roman"/>
                <w:b/>
                <w:bCs/>
                <w:color w:val="FFFFFF"/>
                <w:sz w:val="24"/>
                <w:szCs w:val="24"/>
              </w:rPr>
            </w:pPr>
            <w:r w:rsidRPr="00C5595B">
              <w:rPr>
                <w:rFonts w:ascii="Times New Roman" w:eastAsia="Times New Roman" w:hAnsi="Times New Roman" w:cs="Times New Roman"/>
                <w:b/>
                <w:bCs/>
                <w:color w:val="FFFFFF"/>
                <w:sz w:val="24"/>
                <w:szCs w:val="24"/>
              </w:rPr>
              <w:t>Pre-COVID (2019)</w:t>
            </w:r>
          </w:p>
        </w:tc>
        <w:tc>
          <w:tcPr>
            <w:tcW w:w="1277" w:type="dxa"/>
            <w:tcBorders>
              <w:top w:val="nil"/>
              <w:left w:val="single" w:sz="4" w:space="0" w:color="FFFFFF"/>
              <w:bottom w:val="single" w:sz="12" w:space="0" w:color="FFFFFF"/>
              <w:right w:val="single" w:sz="4" w:space="0" w:color="FFFFFF"/>
            </w:tcBorders>
            <w:shd w:val="clear" w:color="5B9BD5" w:fill="5B9BD5"/>
            <w:vAlign w:val="center"/>
            <w:hideMark/>
          </w:tcPr>
          <w:p w14:paraId="242DE7AF" w14:textId="77777777" w:rsidR="00C5595B" w:rsidRPr="00C5595B" w:rsidRDefault="00C5595B" w:rsidP="00C5595B">
            <w:pPr>
              <w:spacing w:after="0" w:line="240" w:lineRule="auto"/>
              <w:jc w:val="center"/>
              <w:rPr>
                <w:rFonts w:ascii="Times New Roman" w:eastAsia="Times New Roman" w:hAnsi="Times New Roman" w:cs="Times New Roman"/>
                <w:b/>
                <w:bCs/>
                <w:color w:val="FFFFFF"/>
                <w:sz w:val="24"/>
                <w:szCs w:val="24"/>
              </w:rPr>
            </w:pPr>
            <w:r w:rsidRPr="00C5595B">
              <w:rPr>
                <w:rFonts w:ascii="Times New Roman" w:eastAsia="Times New Roman" w:hAnsi="Times New Roman" w:cs="Times New Roman"/>
                <w:b/>
                <w:bCs/>
                <w:color w:val="FFFFFF"/>
                <w:sz w:val="24"/>
                <w:szCs w:val="24"/>
              </w:rPr>
              <w:t>During COVID (2020)</w:t>
            </w:r>
          </w:p>
        </w:tc>
        <w:tc>
          <w:tcPr>
            <w:tcW w:w="1185" w:type="dxa"/>
            <w:tcBorders>
              <w:top w:val="nil"/>
              <w:left w:val="single" w:sz="4" w:space="0" w:color="FFFFFF"/>
              <w:bottom w:val="single" w:sz="12" w:space="0" w:color="FFFFFF"/>
              <w:right w:val="single" w:sz="4" w:space="0" w:color="FFFFFF"/>
            </w:tcBorders>
            <w:shd w:val="clear" w:color="5B9BD5" w:fill="5B9BD5"/>
            <w:vAlign w:val="center"/>
            <w:hideMark/>
          </w:tcPr>
          <w:p w14:paraId="101DF760" w14:textId="77777777" w:rsidR="00C5595B" w:rsidRPr="00C5595B" w:rsidRDefault="00C5595B" w:rsidP="00C5595B">
            <w:pPr>
              <w:spacing w:after="0" w:line="240" w:lineRule="auto"/>
              <w:jc w:val="center"/>
              <w:rPr>
                <w:rFonts w:ascii="Times New Roman" w:eastAsia="Times New Roman" w:hAnsi="Times New Roman" w:cs="Times New Roman"/>
                <w:b/>
                <w:bCs/>
                <w:color w:val="FFFFFF"/>
                <w:sz w:val="24"/>
                <w:szCs w:val="24"/>
              </w:rPr>
            </w:pPr>
            <w:r w:rsidRPr="00C5595B">
              <w:rPr>
                <w:rFonts w:ascii="Times New Roman" w:eastAsia="Times New Roman" w:hAnsi="Times New Roman" w:cs="Times New Roman"/>
                <w:b/>
                <w:bCs/>
                <w:color w:val="FFFFFF"/>
                <w:sz w:val="24"/>
                <w:szCs w:val="24"/>
              </w:rPr>
              <w:t>Recovery Phase (2021)</w:t>
            </w:r>
          </w:p>
        </w:tc>
        <w:tc>
          <w:tcPr>
            <w:tcW w:w="1415" w:type="dxa"/>
            <w:tcBorders>
              <w:top w:val="nil"/>
              <w:left w:val="single" w:sz="4" w:space="0" w:color="FFFFFF"/>
              <w:bottom w:val="single" w:sz="12" w:space="0" w:color="FFFFFF"/>
              <w:right w:val="single" w:sz="4" w:space="0" w:color="FFFFFF"/>
            </w:tcBorders>
            <w:shd w:val="clear" w:color="5B9BD5" w:fill="5B9BD5"/>
            <w:vAlign w:val="center"/>
            <w:hideMark/>
          </w:tcPr>
          <w:p w14:paraId="68A7C656" w14:textId="77777777" w:rsidR="00C5595B" w:rsidRPr="00C5595B" w:rsidRDefault="00C5595B" w:rsidP="00C5595B">
            <w:pPr>
              <w:spacing w:after="0" w:line="240" w:lineRule="auto"/>
              <w:jc w:val="center"/>
              <w:rPr>
                <w:rFonts w:ascii="Times New Roman" w:eastAsia="Times New Roman" w:hAnsi="Times New Roman" w:cs="Times New Roman"/>
                <w:b/>
                <w:bCs/>
                <w:color w:val="FFFFFF"/>
                <w:sz w:val="24"/>
                <w:szCs w:val="24"/>
              </w:rPr>
            </w:pPr>
            <w:r w:rsidRPr="00C5595B">
              <w:rPr>
                <w:rFonts w:ascii="Times New Roman" w:eastAsia="Times New Roman" w:hAnsi="Times New Roman" w:cs="Times New Roman"/>
                <w:b/>
                <w:bCs/>
                <w:color w:val="FFFFFF"/>
                <w:sz w:val="24"/>
                <w:szCs w:val="24"/>
              </w:rPr>
              <w:t>Post-COVID (2022)</w:t>
            </w:r>
          </w:p>
        </w:tc>
        <w:tc>
          <w:tcPr>
            <w:tcW w:w="1415" w:type="dxa"/>
            <w:tcBorders>
              <w:top w:val="nil"/>
              <w:left w:val="single" w:sz="4" w:space="0" w:color="FFFFFF"/>
              <w:bottom w:val="single" w:sz="12" w:space="0" w:color="FFFFFF"/>
              <w:right w:val="nil"/>
            </w:tcBorders>
            <w:shd w:val="clear" w:color="5B9BD5" w:fill="5B9BD5"/>
            <w:vAlign w:val="center"/>
            <w:hideMark/>
          </w:tcPr>
          <w:p w14:paraId="0770AE62" w14:textId="77777777" w:rsidR="00C5595B" w:rsidRPr="00C5595B" w:rsidRDefault="00C5595B" w:rsidP="00C5595B">
            <w:pPr>
              <w:spacing w:after="0" w:line="240" w:lineRule="auto"/>
              <w:jc w:val="center"/>
              <w:rPr>
                <w:rFonts w:ascii="Times New Roman" w:eastAsia="Times New Roman" w:hAnsi="Times New Roman" w:cs="Times New Roman"/>
                <w:b/>
                <w:bCs/>
                <w:color w:val="FFFFFF"/>
                <w:sz w:val="24"/>
                <w:szCs w:val="24"/>
              </w:rPr>
            </w:pPr>
            <w:r w:rsidRPr="00C5595B">
              <w:rPr>
                <w:rFonts w:ascii="Times New Roman" w:eastAsia="Times New Roman" w:hAnsi="Times New Roman" w:cs="Times New Roman"/>
                <w:b/>
                <w:bCs/>
                <w:color w:val="FFFFFF"/>
                <w:sz w:val="24"/>
                <w:szCs w:val="24"/>
              </w:rPr>
              <w:t>Change (2019-2022)</w:t>
            </w:r>
          </w:p>
        </w:tc>
      </w:tr>
      <w:tr w:rsidR="00C5595B" w:rsidRPr="00C5595B" w14:paraId="618493BC" w14:textId="77777777" w:rsidTr="00C5595B">
        <w:trPr>
          <w:trHeight w:val="869"/>
        </w:trPr>
        <w:tc>
          <w:tcPr>
            <w:tcW w:w="2616" w:type="dxa"/>
            <w:tcBorders>
              <w:top w:val="single" w:sz="4" w:space="0" w:color="FFFFFF"/>
              <w:left w:val="nil"/>
              <w:bottom w:val="single" w:sz="4" w:space="0" w:color="FFFFFF"/>
              <w:right w:val="single" w:sz="4" w:space="0" w:color="FFFFFF"/>
            </w:tcBorders>
            <w:shd w:val="clear" w:color="BDD7EE" w:fill="BDD7EE"/>
            <w:vAlign w:val="center"/>
            <w:hideMark/>
          </w:tcPr>
          <w:p w14:paraId="5D5E948D" w14:textId="77777777" w:rsidR="00C5595B" w:rsidRPr="00C5595B" w:rsidRDefault="00C5595B" w:rsidP="00C5595B">
            <w:pPr>
              <w:spacing w:after="0" w:line="240" w:lineRule="auto"/>
              <w:rPr>
                <w:rFonts w:ascii="Times New Roman" w:eastAsia="Times New Roman" w:hAnsi="Times New Roman" w:cs="Times New Roman"/>
                <w:b/>
                <w:bCs/>
                <w:color w:val="000000"/>
                <w:sz w:val="24"/>
                <w:szCs w:val="24"/>
              </w:rPr>
            </w:pPr>
            <w:r w:rsidRPr="00C5595B">
              <w:rPr>
                <w:rFonts w:ascii="Times New Roman" w:eastAsia="Times New Roman" w:hAnsi="Times New Roman" w:cs="Times New Roman"/>
                <w:b/>
                <w:bCs/>
                <w:color w:val="000000"/>
                <w:sz w:val="24"/>
                <w:szCs w:val="24"/>
              </w:rPr>
              <w:t>GDP Growth Rate (%)</w:t>
            </w:r>
          </w:p>
        </w:tc>
        <w:tc>
          <w:tcPr>
            <w:tcW w:w="1231"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1075C3EF"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8.2</w:t>
            </w:r>
          </w:p>
        </w:tc>
        <w:tc>
          <w:tcPr>
            <w:tcW w:w="1277"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10EA7215"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3.5</w:t>
            </w:r>
          </w:p>
        </w:tc>
        <w:tc>
          <w:tcPr>
            <w:tcW w:w="1185"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0D274355"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5.5</w:t>
            </w:r>
          </w:p>
        </w:tc>
        <w:tc>
          <w:tcPr>
            <w:tcW w:w="1415"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364ED418"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6.9</w:t>
            </w:r>
          </w:p>
        </w:tc>
        <w:tc>
          <w:tcPr>
            <w:tcW w:w="1415" w:type="dxa"/>
            <w:tcBorders>
              <w:top w:val="single" w:sz="4" w:space="0" w:color="FFFFFF"/>
              <w:left w:val="single" w:sz="4" w:space="0" w:color="FFFFFF"/>
              <w:bottom w:val="single" w:sz="4" w:space="0" w:color="FFFFFF"/>
              <w:right w:val="nil"/>
            </w:tcBorders>
            <w:shd w:val="clear" w:color="BDD7EE" w:fill="BDD7EE"/>
            <w:vAlign w:val="center"/>
            <w:hideMark/>
          </w:tcPr>
          <w:p w14:paraId="092B69C0"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-15.90%</w:t>
            </w:r>
          </w:p>
        </w:tc>
      </w:tr>
      <w:tr w:rsidR="00C5595B" w:rsidRPr="00C5595B" w14:paraId="21127CEE" w14:textId="77777777" w:rsidTr="00C5595B">
        <w:trPr>
          <w:trHeight w:val="449"/>
        </w:trPr>
        <w:tc>
          <w:tcPr>
            <w:tcW w:w="2616" w:type="dxa"/>
            <w:tcBorders>
              <w:top w:val="single" w:sz="4" w:space="0" w:color="FFFFFF"/>
              <w:left w:val="nil"/>
              <w:bottom w:val="single" w:sz="4" w:space="0" w:color="FFFFFF"/>
              <w:right w:val="single" w:sz="4" w:space="0" w:color="FFFFFF"/>
            </w:tcBorders>
            <w:shd w:val="clear" w:color="DDEBF7" w:fill="DDEBF7"/>
            <w:vAlign w:val="center"/>
            <w:hideMark/>
          </w:tcPr>
          <w:p w14:paraId="36247AD9" w14:textId="77777777" w:rsidR="00C5595B" w:rsidRPr="00C5595B" w:rsidRDefault="00C5595B" w:rsidP="00C5595B">
            <w:pPr>
              <w:spacing w:after="0" w:line="240" w:lineRule="auto"/>
              <w:rPr>
                <w:rFonts w:ascii="Times New Roman" w:eastAsia="Times New Roman" w:hAnsi="Times New Roman" w:cs="Times New Roman"/>
                <w:b/>
                <w:bCs/>
                <w:color w:val="000000"/>
                <w:sz w:val="24"/>
                <w:szCs w:val="24"/>
              </w:rPr>
            </w:pPr>
            <w:r w:rsidRPr="00C5595B">
              <w:rPr>
                <w:rFonts w:ascii="Times New Roman" w:eastAsia="Times New Roman" w:hAnsi="Times New Roman" w:cs="Times New Roman"/>
                <w:b/>
                <w:bCs/>
                <w:color w:val="000000"/>
                <w:sz w:val="24"/>
                <w:szCs w:val="24"/>
              </w:rPr>
              <w:t>Poverty Rate (%)</w:t>
            </w:r>
          </w:p>
        </w:tc>
        <w:tc>
          <w:tcPr>
            <w:tcW w:w="1231"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14:paraId="3089B1B9"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20.5</w:t>
            </w:r>
          </w:p>
        </w:tc>
        <w:tc>
          <w:tcPr>
            <w:tcW w:w="1277"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14:paraId="2D73C659"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25.6</w:t>
            </w:r>
          </w:p>
        </w:tc>
        <w:tc>
          <w:tcPr>
            <w:tcW w:w="1185"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14:paraId="4D8D0A64"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24</w:t>
            </w:r>
          </w:p>
        </w:tc>
        <w:tc>
          <w:tcPr>
            <w:tcW w:w="1415"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14:paraId="36D471CD"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22.8</w:t>
            </w:r>
          </w:p>
        </w:tc>
        <w:tc>
          <w:tcPr>
            <w:tcW w:w="1415" w:type="dxa"/>
            <w:tcBorders>
              <w:top w:val="single" w:sz="4" w:space="0" w:color="FFFFFF"/>
              <w:left w:val="single" w:sz="4" w:space="0" w:color="FFFFFF"/>
              <w:bottom w:val="single" w:sz="4" w:space="0" w:color="FFFFFF"/>
              <w:right w:val="nil"/>
            </w:tcBorders>
            <w:shd w:val="clear" w:color="DDEBF7" w:fill="DDEBF7"/>
            <w:vAlign w:val="center"/>
            <w:hideMark/>
          </w:tcPr>
          <w:p w14:paraId="0F1E864A"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11.20%</w:t>
            </w:r>
          </w:p>
        </w:tc>
      </w:tr>
      <w:tr w:rsidR="00C5595B" w:rsidRPr="00C5595B" w14:paraId="10578536" w14:textId="77777777" w:rsidTr="00C5595B">
        <w:trPr>
          <w:trHeight w:val="449"/>
        </w:trPr>
        <w:tc>
          <w:tcPr>
            <w:tcW w:w="2616" w:type="dxa"/>
            <w:tcBorders>
              <w:top w:val="single" w:sz="4" w:space="0" w:color="FFFFFF"/>
              <w:left w:val="nil"/>
              <w:bottom w:val="single" w:sz="4" w:space="0" w:color="FFFFFF"/>
              <w:right w:val="single" w:sz="4" w:space="0" w:color="FFFFFF"/>
            </w:tcBorders>
            <w:shd w:val="clear" w:color="BDD7EE" w:fill="BDD7EE"/>
            <w:vAlign w:val="center"/>
            <w:hideMark/>
          </w:tcPr>
          <w:p w14:paraId="5D4F8B34" w14:textId="77777777" w:rsidR="00C5595B" w:rsidRPr="00C5595B" w:rsidRDefault="00C5595B" w:rsidP="00C5595B">
            <w:pPr>
              <w:spacing w:after="0" w:line="240" w:lineRule="auto"/>
              <w:rPr>
                <w:rFonts w:ascii="Times New Roman" w:eastAsia="Times New Roman" w:hAnsi="Times New Roman" w:cs="Times New Roman"/>
                <w:b/>
                <w:bCs/>
                <w:color w:val="000000"/>
                <w:sz w:val="24"/>
                <w:szCs w:val="24"/>
              </w:rPr>
            </w:pPr>
            <w:r w:rsidRPr="00C5595B">
              <w:rPr>
                <w:rFonts w:ascii="Times New Roman" w:eastAsia="Times New Roman" w:hAnsi="Times New Roman" w:cs="Times New Roman"/>
                <w:b/>
                <w:bCs/>
                <w:color w:val="000000"/>
                <w:sz w:val="24"/>
                <w:szCs w:val="24"/>
              </w:rPr>
              <w:t>Unemployment Rate (%)</w:t>
            </w:r>
          </w:p>
        </w:tc>
        <w:tc>
          <w:tcPr>
            <w:tcW w:w="1231"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4F9C3470"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4.2</w:t>
            </w:r>
          </w:p>
        </w:tc>
        <w:tc>
          <w:tcPr>
            <w:tcW w:w="1277"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369491C4"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6.5</w:t>
            </w:r>
          </w:p>
        </w:tc>
        <w:tc>
          <w:tcPr>
            <w:tcW w:w="1185"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7CA8E750"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5.8</w:t>
            </w:r>
          </w:p>
        </w:tc>
        <w:tc>
          <w:tcPr>
            <w:tcW w:w="1415"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76BEE377"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4.9</w:t>
            </w:r>
          </w:p>
        </w:tc>
        <w:tc>
          <w:tcPr>
            <w:tcW w:w="1415" w:type="dxa"/>
            <w:tcBorders>
              <w:top w:val="single" w:sz="4" w:space="0" w:color="FFFFFF"/>
              <w:left w:val="single" w:sz="4" w:space="0" w:color="FFFFFF"/>
              <w:bottom w:val="single" w:sz="4" w:space="0" w:color="FFFFFF"/>
              <w:right w:val="nil"/>
            </w:tcBorders>
            <w:shd w:val="clear" w:color="BDD7EE" w:fill="BDD7EE"/>
            <w:vAlign w:val="center"/>
            <w:hideMark/>
          </w:tcPr>
          <w:p w14:paraId="142952BB"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16.70%</w:t>
            </w:r>
          </w:p>
        </w:tc>
      </w:tr>
      <w:tr w:rsidR="00C5595B" w:rsidRPr="00C5595B" w14:paraId="41A3922C" w14:textId="77777777" w:rsidTr="00C5595B">
        <w:trPr>
          <w:trHeight w:val="449"/>
        </w:trPr>
        <w:tc>
          <w:tcPr>
            <w:tcW w:w="2616" w:type="dxa"/>
            <w:tcBorders>
              <w:top w:val="single" w:sz="4" w:space="0" w:color="FFFFFF"/>
              <w:left w:val="nil"/>
              <w:bottom w:val="single" w:sz="4" w:space="0" w:color="FFFFFF"/>
              <w:right w:val="single" w:sz="4" w:space="0" w:color="FFFFFF"/>
            </w:tcBorders>
            <w:shd w:val="clear" w:color="DDEBF7" w:fill="DDEBF7"/>
            <w:vAlign w:val="center"/>
            <w:hideMark/>
          </w:tcPr>
          <w:p w14:paraId="089E21B7" w14:textId="77777777" w:rsidR="00C5595B" w:rsidRPr="00C5595B" w:rsidRDefault="00C5595B" w:rsidP="00C5595B">
            <w:pPr>
              <w:spacing w:after="0" w:line="240" w:lineRule="auto"/>
              <w:rPr>
                <w:rFonts w:ascii="Times New Roman" w:eastAsia="Times New Roman" w:hAnsi="Times New Roman" w:cs="Times New Roman"/>
                <w:b/>
                <w:bCs/>
                <w:color w:val="000000"/>
                <w:sz w:val="24"/>
                <w:szCs w:val="24"/>
              </w:rPr>
            </w:pPr>
            <w:r w:rsidRPr="00C5595B">
              <w:rPr>
                <w:rFonts w:ascii="Times New Roman" w:eastAsia="Times New Roman" w:hAnsi="Times New Roman" w:cs="Times New Roman"/>
                <w:b/>
                <w:bCs/>
                <w:color w:val="000000"/>
                <w:sz w:val="24"/>
                <w:szCs w:val="24"/>
              </w:rPr>
              <w:t>Inflation Rate (%)</w:t>
            </w:r>
          </w:p>
        </w:tc>
        <w:tc>
          <w:tcPr>
            <w:tcW w:w="1231"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14:paraId="35802CB1"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5.5</w:t>
            </w:r>
          </w:p>
        </w:tc>
        <w:tc>
          <w:tcPr>
            <w:tcW w:w="1277"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14:paraId="113F5985"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6.2</w:t>
            </w:r>
          </w:p>
        </w:tc>
        <w:tc>
          <w:tcPr>
            <w:tcW w:w="1185"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14:paraId="465A0747"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5.8</w:t>
            </w:r>
          </w:p>
        </w:tc>
        <w:tc>
          <w:tcPr>
            <w:tcW w:w="1415"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14:paraId="06D5FEF8"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6</w:t>
            </w:r>
          </w:p>
        </w:tc>
        <w:tc>
          <w:tcPr>
            <w:tcW w:w="1415" w:type="dxa"/>
            <w:tcBorders>
              <w:top w:val="single" w:sz="4" w:space="0" w:color="FFFFFF"/>
              <w:left w:val="single" w:sz="4" w:space="0" w:color="FFFFFF"/>
              <w:bottom w:val="single" w:sz="4" w:space="0" w:color="FFFFFF"/>
              <w:right w:val="nil"/>
            </w:tcBorders>
            <w:shd w:val="clear" w:color="DDEBF7" w:fill="DDEBF7"/>
            <w:vAlign w:val="center"/>
            <w:hideMark/>
          </w:tcPr>
          <w:p w14:paraId="5AA33135"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9.10%</w:t>
            </w:r>
          </w:p>
        </w:tc>
      </w:tr>
      <w:tr w:rsidR="00C5595B" w:rsidRPr="00C5595B" w14:paraId="7274B272" w14:textId="77777777" w:rsidTr="00C5595B">
        <w:trPr>
          <w:trHeight w:val="449"/>
        </w:trPr>
        <w:tc>
          <w:tcPr>
            <w:tcW w:w="2616" w:type="dxa"/>
            <w:tcBorders>
              <w:top w:val="single" w:sz="4" w:space="0" w:color="FFFFFF"/>
              <w:left w:val="nil"/>
              <w:bottom w:val="single" w:sz="4" w:space="0" w:color="FFFFFF"/>
              <w:right w:val="single" w:sz="4" w:space="0" w:color="FFFFFF"/>
            </w:tcBorders>
            <w:shd w:val="clear" w:color="BDD7EE" w:fill="BDD7EE"/>
            <w:vAlign w:val="center"/>
            <w:hideMark/>
          </w:tcPr>
          <w:p w14:paraId="3B2B8C9C" w14:textId="77777777" w:rsidR="00C5595B" w:rsidRPr="00C5595B" w:rsidRDefault="00C5595B" w:rsidP="00C5595B">
            <w:pPr>
              <w:spacing w:after="0" w:line="240" w:lineRule="auto"/>
              <w:rPr>
                <w:rFonts w:ascii="Times New Roman" w:eastAsia="Times New Roman" w:hAnsi="Times New Roman" w:cs="Times New Roman"/>
                <w:b/>
                <w:bCs/>
                <w:color w:val="000000"/>
                <w:sz w:val="24"/>
                <w:szCs w:val="24"/>
              </w:rPr>
            </w:pPr>
            <w:r w:rsidRPr="00C5595B">
              <w:rPr>
                <w:rFonts w:ascii="Times New Roman" w:eastAsia="Times New Roman" w:hAnsi="Times New Roman" w:cs="Times New Roman"/>
                <w:b/>
                <w:bCs/>
                <w:color w:val="000000"/>
                <w:sz w:val="24"/>
                <w:szCs w:val="24"/>
              </w:rPr>
              <w:t>Remittances (USD Billion)</w:t>
            </w:r>
          </w:p>
        </w:tc>
        <w:tc>
          <w:tcPr>
            <w:tcW w:w="1231"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10BE025C"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18.3</w:t>
            </w:r>
          </w:p>
        </w:tc>
        <w:tc>
          <w:tcPr>
            <w:tcW w:w="1277"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646D340C"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15.1</w:t>
            </w:r>
          </w:p>
        </w:tc>
        <w:tc>
          <w:tcPr>
            <w:tcW w:w="1185"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4C72AC24"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19.8</w:t>
            </w:r>
          </w:p>
        </w:tc>
        <w:tc>
          <w:tcPr>
            <w:tcW w:w="1415"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6642BD9D"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21.3</w:t>
            </w:r>
          </w:p>
        </w:tc>
        <w:tc>
          <w:tcPr>
            <w:tcW w:w="1415" w:type="dxa"/>
            <w:tcBorders>
              <w:top w:val="single" w:sz="4" w:space="0" w:color="FFFFFF"/>
              <w:left w:val="single" w:sz="4" w:space="0" w:color="FFFFFF"/>
              <w:bottom w:val="single" w:sz="4" w:space="0" w:color="FFFFFF"/>
              <w:right w:val="nil"/>
            </w:tcBorders>
            <w:shd w:val="clear" w:color="BDD7EE" w:fill="BDD7EE"/>
            <w:vAlign w:val="center"/>
            <w:hideMark/>
          </w:tcPr>
          <w:p w14:paraId="29711664"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16.40%</w:t>
            </w:r>
          </w:p>
        </w:tc>
      </w:tr>
      <w:tr w:rsidR="00C5595B" w:rsidRPr="00C5595B" w14:paraId="467510F0" w14:textId="77777777" w:rsidTr="00C5595B">
        <w:trPr>
          <w:trHeight w:val="449"/>
        </w:trPr>
        <w:tc>
          <w:tcPr>
            <w:tcW w:w="2616" w:type="dxa"/>
            <w:tcBorders>
              <w:top w:val="single" w:sz="4" w:space="0" w:color="FFFFFF"/>
              <w:left w:val="nil"/>
              <w:bottom w:val="single" w:sz="4" w:space="0" w:color="FFFFFF"/>
              <w:right w:val="single" w:sz="4" w:space="0" w:color="FFFFFF"/>
            </w:tcBorders>
            <w:shd w:val="clear" w:color="DDEBF7" w:fill="DDEBF7"/>
            <w:vAlign w:val="center"/>
            <w:hideMark/>
          </w:tcPr>
          <w:p w14:paraId="01EEC17E" w14:textId="77777777" w:rsidR="00C5595B" w:rsidRPr="00C5595B" w:rsidRDefault="00C5595B" w:rsidP="00C5595B">
            <w:pPr>
              <w:spacing w:after="0" w:line="240" w:lineRule="auto"/>
              <w:rPr>
                <w:rFonts w:ascii="Times New Roman" w:eastAsia="Times New Roman" w:hAnsi="Times New Roman" w:cs="Times New Roman"/>
                <w:b/>
                <w:bCs/>
                <w:color w:val="000000"/>
                <w:sz w:val="24"/>
                <w:szCs w:val="24"/>
              </w:rPr>
            </w:pPr>
            <w:r w:rsidRPr="00C5595B">
              <w:rPr>
                <w:rFonts w:ascii="Times New Roman" w:eastAsia="Times New Roman" w:hAnsi="Times New Roman" w:cs="Times New Roman"/>
                <w:b/>
                <w:bCs/>
                <w:color w:val="000000"/>
                <w:sz w:val="24"/>
                <w:szCs w:val="24"/>
              </w:rPr>
              <w:t>FDI Inflow (USD Billion)</w:t>
            </w:r>
          </w:p>
        </w:tc>
        <w:tc>
          <w:tcPr>
            <w:tcW w:w="1231"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14:paraId="3F81BED6"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3.6</w:t>
            </w:r>
          </w:p>
        </w:tc>
        <w:tc>
          <w:tcPr>
            <w:tcW w:w="1277"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14:paraId="6F82FD32"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2.1</w:t>
            </w:r>
          </w:p>
        </w:tc>
        <w:tc>
          <w:tcPr>
            <w:tcW w:w="1185"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14:paraId="0F3855C3"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2.7</w:t>
            </w:r>
          </w:p>
        </w:tc>
        <w:tc>
          <w:tcPr>
            <w:tcW w:w="1415"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14:paraId="7F3ED135"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3.1</w:t>
            </w:r>
          </w:p>
        </w:tc>
        <w:tc>
          <w:tcPr>
            <w:tcW w:w="1415" w:type="dxa"/>
            <w:tcBorders>
              <w:top w:val="single" w:sz="4" w:space="0" w:color="FFFFFF"/>
              <w:left w:val="single" w:sz="4" w:space="0" w:color="FFFFFF"/>
              <w:bottom w:val="single" w:sz="4" w:space="0" w:color="FFFFFF"/>
              <w:right w:val="nil"/>
            </w:tcBorders>
            <w:shd w:val="clear" w:color="DDEBF7" w:fill="DDEBF7"/>
            <w:vAlign w:val="center"/>
            <w:hideMark/>
          </w:tcPr>
          <w:p w14:paraId="27ECE760"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-13.90%</w:t>
            </w:r>
          </w:p>
        </w:tc>
      </w:tr>
      <w:tr w:rsidR="00C5595B" w:rsidRPr="00C5595B" w14:paraId="50B08FCB" w14:textId="77777777" w:rsidTr="00C5595B">
        <w:trPr>
          <w:trHeight w:val="449"/>
        </w:trPr>
        <w:tc>
          <w:tcPr>
            <w:tcW w:w="2616" w:type="dxa"/>
            <w:tcBorders>
              <w:top w:val="single" w:sz="4" w:space="0" w:color="FFFFFF"/>
              <w:left w:val="nil"/>
              <w:bottom w:val="single" w:sz="4" w:space="0" w:color="FFFFFF"/>
              <w:right w:val="single" w:sz="4" w:space="0" w:color="FFFFFF"/>
            </w:tcBorders>
            <w:shd w:val="clear" w:color="BDD7EE" w:fill="BDD7EE"/>
            <w:vAlign w:val="center"/>
            <w:hideMark/>
          </w:tcPr>
          <w:p w14:paraId="14179078" w14:textId="77777777" w:rsidR="00C5595B" w:rsidRPr="00C5595B" w:rsidRDefault="00C5595B" w:rsidP="00C5595B">
            <w:pPr>
              <w:spacing w:after="0" w:line="240" w:lineRule="auto"/>
              <w:rPr>
                <w:rFonts w:ascii="Times New Roman" w:eastAsia="Times New Roman" w:hAnsi="Times New Roman" w:cs="Times New Roman"/>
                <w:b/>
                <w:bCs/>
                <w:color w:val="000000"/>
                <w:sz w:val="24"/>
                <w:szCs w:val="24"/>
              </w:rPr>
            </w:pPr>
            <w:r w:rsidRPr="00C5595B">
              <w:rPr>
                <w:rFonts w:ascii="Times New Roman" w:eastAsia="Times New Roman" w:hAnsi="Times New Roman" w:cs="Times New Roman"/>
                <w:b/>
                <w:bCs/>
                <w:color w:val="000000"/>
                <w:sz w:val="24"/>
                <w:szCs w:val="24"/>
              </w:rPr>
              <w:t>Export Growth Rate (%)</w:t>
            </w:r>
          </w:p>
        </w:tc>
        <w:tc>
          <w:tcPr>
            <w:tcW w:w="1231"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670E17CB"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10.1</w:t>
            </w:r>
          </w:p>
        </w:tc>
        <w:tc>
          <w:tcPr>
            <w:tcW w:w="1277"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22B3BC89"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-16.9</w:t>
            </w:r>
          </w:p>
        </w:tc>
        <w:tc>
          <w:tcPr>
            <w:tcW w:w="1185"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64549BEC"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13.4</w:t>
            </w:r>
          </w:p>
        </w:tc>
        <w:tc>
          <w:tcPr>
            <w:tcW w:w="1415"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1CEEA9DE"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9.8</w:t>
            </w:r>
          </w:p>
        </w:tc>
        <w:tc>
          <w:tcPr>
            <w:tcW w:w="1415" w:type="dxa"/>
            <w:tcBorders>
              <w:top w:val="single" w:sz="4" w:space="0" w:color="FFFFFF"/>
              <w:left w:val="single" w:sz="4" w:space="0" w:color="FFFFFF"/>
              <w:bottom w:val="single" w:sz="4" w:space="0" w:color="FFFFFF"/>
              <w:right w:val="nil"/>
            </w:tcBorders>
            <w:shd w:val="clear" w:color="BDD7EE" w:fill="BDD7EE"/>
            <w:vAlign w:val="center"/>
            <w:hideMark/>
          </w:tcPr>
          <w:p w14:paraId="0AF76A2A"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-0.30%</w:t>
            </w:r>
          </w:p>
        </w:tc>
      </w:tr>
      <w:tr w:rsidR="00C5595B" w:rsidRPr="00C5595B" w14:paraId="5973865F" w14:textId="77777777" w:rsidTr="00C5595B">
        <w:trPr>
          <w:trHeight w:val="869"/>
        </w:trPr>
        <w:tc>
          <w:tcPr>
            <w:tcW w:w="2616" w:type="dxa"/>
            <w:tcBorders>
              <w:top w:val="single" w:sz="4" w:space="0" w:color="FFFFFF"/>
              <w:left w:val="nil"/>
              <w:bottom w:val="single" w:sz="4" w:space="0" w:color="FFFFFF"/>
              <w:right w:val="single" w:sz="4" w:space="0" w:color="FFFFFF"/>
            </w:tcBorders>
            <w:shd w:val="clear" w:color="DDEBF7" w:fill="DDEBF7"/>
            <w:vAlign w:val="center"/>
            <w:hideMark/>
          </w:tcPr>
          <w:p w14:paraId="208943FA" w14:textId="77777777" w:rsidR="00C5595B" w:rsidRPr="00C5595B" w:rsidRDefault="00C5595B" w:rsidP="00C5595B">
            <w:pPr>
              <w:spacing w:after="0" w:line="240" w:lineRule="auto"/>
              <w:rPr>
                <w:rFonts w:ascii="Times New Roman" w:eastAsia="Times New Roman" w:hAnsi="Times New Roman" w:cs="Times New Roman"/>
                <w:b/>
                <w:bCs/>
                <w:color w:val="000000"/>
                <w:sz w:val="24"/>
                <w:szCs w:val="24"/>
              </w:rPr>
            </w:pPr>
            <w:r w:rsidRPr="00C5595B">
              <w:rPr>
                <w:rFonts w:ascii="Times New Roman" w:eastAsia="Times New Roman" w:hAnsi="Times New Roman" w:cs="Times New Roman"/>
                <w:b/>
                <w:bCs/>
                <w:color w:val="000000"/>
                <w:sz w:val="24"/>
                <w:szCs w:val="24"/>
              </w:rPr>
              <w:t>Contribution of RMG to GDP (%)</w:t>
            </w:r>
          </w:p>
        </w:tc>
        <w:tc>
          <w:tcPr>
            <w:tcW w:w="1231"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14:paraId="4D019082"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11.2</w:t>
            </w:r>
          </w:p>
        </w:tc>
        <w:tc>
          <w:tcPr>
            <w:tcW w:w="1277"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14:paraId="50119807"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7</w:t>
            </w:r>
          </w:p>
        </w:tc>
        <w:tc>
          <w:tcPr>
            <w:tcW w:w="1185"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14:paraId="4E02255A"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8.5</w:t>
            </w:r>
          </w:p>
        </w:tc>
        <w:tc>
          <w:tcPr>
            <w:tcW w:w="1415"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14:paraId="435FBB3F"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9.7</w:t>
            </w:r>
          </w:p>
        </w:tc>
        <w:tc>
          <w:tcPr>
            <w:tcW w:w="1415" w:type="dxa"/>
            <w:tcBorders>
              <w:top w:val="single" w:sz="4" w:space="0" w:color="FFFFFF"/>
              <w:left w:val="single" w:sz="4" w:space="0" w:color="FFFFFF"/>
              <w:bottom w:val="single" w:sz="4" w:space="0" w:color="FFFFFF"/>
              <w:right w:val="nil"/>
            </w:tcBorders>
            <w:shd w:val="clear" w:color="DDEBF7" w:fill="DDEBF7"/>
            <w:vAlign w:val="center"/>
            <w:hideMark/>
          </w:tcPr>
          <w:p w14:paraId="4A9F39A7"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-13.40%</w:t>
            </w:r>
          </w:p>
        </w:tc>
      </w:tr>
      <w:tr w:rsidR="00C5595B" w:rsidRPr="00C5595B" w14:paraId="3AC8BD02" w14:textId="77777777" w:rsidTr="00C5595B">
        <w:trPr>
          <w:trHeight w:val="869"/>
        </w:trPr>
        <w:tc>
          <w:tcPr>
            <w:tcW w:w="2616" w:type="dxa"/>
            <w:tcBorders>
              <w:top w:val="single" w:sz="4" w:space="0" w:color="FFFFFF"/>
              <w:left w:val="nil"/>
              <w:bottom w:val="single" w:sz="4" w:space="0" w:color="FFFFFF"/>
              <w:right w:val="single" w:sz="4" w:space="0" w:color="FFFFFF"/>
            </w:tcBorders>
            <w:shd w:val="clear" w:color="BDD7EE" w:fill="BDD7EE"/>
            <w:vAlign w:val="center"/>
            <w:hideMark/>
          </w:tcPr>
          <w:p w14:paraId="3FF6C806" w14:textId="77777777" w:rsidR="00C5595B" w:rsidRPr="00C5595B" w:rsidRDefault="00C5595B" w:rsidP="00C5595B">
            <w:pPr>
              <w:spacing w:after="0" w:line="240" w:lineRule="auto"/>
              <w:rPr>
                <w:rFonts w:ascii="Times New Roman" w:eastAsia="Times New Roman" w:hAnsi="Times New Roman" w:cs="Times New Roman"/>
                <w:b/>
                <w:bCs/>
                <w:color w:val="000000"/>
                <w:sz w:val="24"/>
                <w:szCs w:val="24"/>
              </w:rPr>
            </w:pPr>
            <w:r w:rsidRPr="00C5595B">
              <w:rPr>
                <w:rFonts w:ascii="Times New Roman" w:eastAsia="Times New Roman" w:hAnsi="Times New Roman" w:cs="Times New Roman"/>
                <w:b/>
                <w:bCs/>
                <w:color w:val="000000"/>
                <w:sz w:val="24"/>
                <w:szCs w:val="24"/>
              </w:rPr>
              <w:t>Contribution of Agriculture to GDP (%)</w:t>
            </w:r>
          </w:p>
        </w:tc>
        <w:tc>
          <w:tcPr>
            <w:tcW w:w="1231"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79645C07"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14.2</w:t>
            </w:r>
          </w:p>
        </w:tc>
        <w:tc>
          <w:tcPr>
            <w:tcW w:w="1277"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1A2B6E2F"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13</w:t>
            </w:r>
          </w:p>
        </w:tc>
        <w:tc>
          <w:tcPr>
            <w:tcW w:w="1185"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0F2EBB72"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13.5</w:t>
            </w:r>
          </w:p>
        </w:tc>
        <w:tc>
          <w:tcPr>
            <w:tcW w:w="1415"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14:paraId="0ED9CB00"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13.8</w:t>
            </w:r>
          </w:p>
        </w:tc>
        <w:tc>
          <w:tcPr>
            <w:tcW w:w="1415" w:type="dxa"/>
            <w:tcBorders>
              <w:top w:val="single" w:sz="4" w:space="0" w:color="FFFFFF"/>
              <w:left w:val="single" w:sz="4" w:space="0" w:color="FFFFFF"/>
              <w:bottom w:val="single" w:sz="4" w:space="0" w:color="FFFFFF"/>
              <w:right w:val="nil"/>
            </w:tcBorders>
            <w:shd w:val="clear" w:color="BDD7EE" w:fill="BDD7EE"/>
            <w:vAlign w:val="center"/>
            <w:hideMark/>
          </w:tcPr>
          <w:p w14:paraId="544D7685"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-2.80%</w:t>
            </w:r>
          </w:p>
        </w:tc>
      </w:tr>
      <w:tr w:rsidR="00C5595B" w:rsidRPr="00C5595B" w14:paraId="01592C63" w14:textId="77777777" w:rsidTr="00C5595B">
        <w:trPr>
          <w:trHeight w:val="449"/>
        </w:trPr>
        <w:tc>
          <w:tcPr>
            <w:tcW w:w="2616" w:type="dxa"/>
            <w:tcBorders>
              <w:top w:val="single" w:sz="4" w:space="0" w:color="FFFFFF"/>
              <w:left w:val="nil"/>
              <w:bottom w:val="nil"/>
              <w:right w:val="single" w:sz="4" w:space="0" w:color="FFFFFF"/>
            </w:tcBorders>
            <w:shd w:val="clear" w:color="DDEBF7" w:fill="DDEBF7"/>
            <w:vAlign w:val="center"/>
            <w:hideMark/>
          </w:tcPr>
          <w:p w14:paraId="4207D6C2" w14:textId="77777777" w:rsidR="00C5595B" w:rsidRPr="00C5595B" w:rsidRDefault="00C5595B" w:rsidP="00C5595B">
            <w:pPr>
              <w:spacing w:after="0" w:line="240" w:lineRule="auto"/>
              <w:rPr>
                <w:rFonts w:ascii="Times New Roman" w:eastAsia="Times New Roman" w:hAnsi="Times New Roman" w:cs="Times New Roman"/>
                <w:b/>
                <w:bCs/>
                <w:color w:val="000000"/>
                <w:sz w:val="24"/>
                <w:szCs w:val="24"/>
              </w:rPr>
            </w:pPr>
            <w:r w:rsidRPr="00C5595B">
              <w:rPr>
                <w:rFonts w:ascii="Times New Roman" w:eastAsia="Times New Roman" w:hAnsi="Times New Roman" w:cs="Times New Roman"/>
                <w:b/>
                <w:bCs/>
                <w:color w:val="000000"/>
                <w:sz w:val="24"/>
                <w:szCs w:val="24"/>
              </w:rPr>
              <w:t>Government Debt to GDP (%)</w:t>
            </w:r>
          </w:p>
        </w:tc>
        <w:tc>
          <w:tcPr>
            <w:tcW w:w="1231" w:type="dxa"/>
            <w:tcBorders>
              <w:top w:val="single" w:sz="4" w:space="0" w:color="FFFFFF"/>
              <w:left w:val="single" w:sz="4" w:space="0" w:color="FFFFFF"/>
              <w:bottom w:val="nil"/>
              <w:right w:val="single" w:sz="4" w:space="0" w:color="FFFFFF"/>
            </w:tcBorders>
            <w:shd w:val="clear" w:color="DDEBF7" w:fill="DDEBF7"/>
            <w:vAlign w:val="center"/>
            <w:hideMark/>
          </w:tcPr>
          <w:p w14:paraId="41C6B2EF"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34.6</w:t>
            </w:r>
          </w:p>
        </w:tc>
        <w:tc>
          <w:tcPr>
            <w:tcW w:w="1277" w:type="dxa"/>
            <w:tcBorders>
              <w:top w:val="single" w:sz="4" w:space="0" w:color="FFFFFF"/>
              <w:left w:val="single" w:sz="4" w:space="0" w:color="FFFFFF"/>
              <w:bottom w:val="nil"/>
              <w:right w:val="single" w:sz="4" w:space="0" w:color="FFFFFF"/>
            </w:tcBorders>
            <w:shd w:val="clear" w:color="DDEBF7" w:fill="DDEBF7"/>
            <w:vAlign w:val="center"/>
            <w:hideMark/>
          </w:tcPr>
          <w:p w14:paraId="7ECB4839"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38</w:t>
            </w:r>
          </w:p>
        </w:tc>
        <w:tc>
          <w:tcPr>
            <w:tcW w:w="1185" w:type="dxa"/>
            <w:tcBorders>
              <w:top w:val="single" w:sz="4" w:space="0" w:color="FFFFFF"/>
              <w:left w:val="single" w:sz="4" w:space="0" w:color="FFFFFF"/>
              <w:bottom w:val="nil"/>
              <w:right w:val="single" w:sz="4" w:space="0" w:color="FFFFFF"/>
            </w:tcBorders>
            <w:shd w:val="clear" w:color="DDEBF7" w:fill="DDEBF7"/>
            <w:vAlign w:val="center"/>
            <w:hideMark/>
          </w:tcPr>
          <w:p w14:paraId="579EA4E6"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39.5</w:t>
            </w:r>
          </w:p>
        </w:tc>
        <w:tc>
          <w:tcPr>
            <w:tcW w:w="1415" w:type="dxa"/>
            <w:tcBorders>
              <w:top w:val="single" w:sz="4" w:space="0" w:color="FFFFFF"/>
              <w:left w:val="single" w:sz="4" w:space="0" w:color="FFFFFF"/>
              <w:bottom w:val="nil"/>
              <w:right w:val="single" w:sz="4" w:space="0" w:color="FFFFFF"/>
            </w:tcBorders>
            <w:shd w:val="clear" w:color="DDEBF7" w:fill="DDEBF7"/>
            <w:vAlign w:val="center"/>
            <w:hideMark/>
          </w:tcPr>
          <w:p w14:paraId="7C28DE7F"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37.2</w:t>
            </w:r>
          </w:p>
        </w:tc>
        <w:tc>
          <w:tcPr>
            <w:tcW w:w="1415" w:type="dxa"/>
            <w:tcBorders>
              <w:top w:val="single" w:sz="4" w:space="0" w:color="FFFFFF"/>
              <w:left w:val="single" w:sz="4" w:space="0" w:color="FFFFFF"/>
              <w:bottom w:val="nil"/>
              <w:right w:val="nil"/>
            </w:tcBorders>
            <w:shd w:val="clear" w:color="DDEBF7" w:fill="DDEBF7"/>
            <w:vAlign w:val="center"/>
            <w:hideMark/>
          </w:tcPr>
          <w:p w14:paraId="46ECB143" w14:textId="77777777" w:rsidR="00C5595B" w:rsidRPr="00C5595B" w:rsidRDefault="00C5595B" w:rsidP="00C5595B">
            <w:pPr>
              <w:spacing w:after="0" w:line="240" w:lineRule="auto"/>
              <w:jc w:val="right"/>
              <w:rPr>
                <w:rFonts w:ascii="Times New Roman" w:eastAsia="Times New Roman" w:hAnsi="Times New Roman" w:cs="Times New Roman"/>
                <w:color w:val="000000"/>
                <w:sz w:val="24"/>
                <w:szCs w:val="24"/>
              </w:rPr>
            </w:pPr>
            <w:r w:rsidRPr="00C5595B">
              <w:rPr>
                <w:rFonts w:ascii="Times New Roman" w:eastAsia="Times New Roman" w:hAnsi="Times New Roman" w:cs="Times New Roman"/>
                <w:color w:val="000000"/>
                <w:sz w:val="24"/>
                <w:szCs w:val="24"/>
              </w:rPr>
              <w:t>7.50%</w:t>
            </w:r>
          </w:p>
        </w:tc>
      </w:tr>
    </w:tbl>
    <w:p w14:paraId="751FF86E" w14:textId="77777777" w:rsidR="00C5595B" w:rsidRDefault="00C5595B" w:rsidP="00C5595B">
      <w:pPr>
        <w:spacing w:line="360" w:lineRule="auto"/>
        <w:jc w:val="both"/>
        <w:rPr>
          <w:rFonts w:ascii="Times New Roman" w:hAnsi="Times New Roman" w:cs="Times New Roman"/>
          <w:sz w:val="24"/>
          <w:szCs w:val="24"/>
        </w:rPr>
      </w:pPr>
    </w:p>
    <w:p w14:paraId="7980FC3F" w14:textId="77777777" w:rsidR="00C5595B" w:rsidRPr="00C5595B" w:rsidRDefault="00C5595B" w:rsidP="00C5595B">
      <w:pPr>
        <w:spacing w:line="360" w:lineRule="auto"/>
        <w:jc w:val="both"/>
        <w:rPr>
          <w:rFonts w:ascii="Times New Roman" w:hAnsi="Times New Roman" w:cs="Times New Roman"/>
          <w:sz w:val="24"/>
          <w:szCs w:val="24"/>
        </w:rPr>
      </w:pPr>
      <w:r w:rsidRPr="00C5595B">
        <w:rPr>
          <w:rFonts w:ascii="Times New Roman" w:hAnsi="Times New Roman" w:cs="Times New Roman"/>
          <w:sz w:val="24"/>
          <w:szCs w:val="24"/>
        </w:rPr>
        <w:t>Table 3 compares recovery indicators for major sectors in Bangladesh from 2021 to 2022. The RMG sector saw employment recovery of 15% in 2021 and 30% in 2022, while revenue improved by 22% and 35%, respectively. The construction and SME sectors also witnessed substantial recovery, with increased government financial support. Agriculture recovered more slowly, with employment increasing by 8% in 2021 and 15% in 2022.</w:t>
      </w:r>
    </w:p>
    <w:p w14:paraId="6459FCA3" w14:textId="77777777" w:rsidR="00C5595B" w:rsidRPr="00C5595B" w:rsidRDefault="00C5595B" w:rsidP="00C5595B">
      <w:pPr>
        <w:spacing w:line="360" w:lineRule="auto"/>
        <w:jc w:val="both"/>
        <w:rPr>
          <w:rFonts w:ascii="Times New Roman" w:hAnsi="Times New Roman" w:cs="Times New Roman"/>
          <w:sz w:val="24"/>
          <w:szCs w:val="24"/>
        </w:rPr>
      </w:pPr>
      <w:r w:rsidRPr="00C5595B">
        <w:rPr>
          <w:rFonts w:ascii="Times New Roman" w:hAnsi="Times New Roman" w:cs="Times New Roman"/>
          <w:sz w:val="24"/>
          <w:szCs w:val="24"/>
        </w:rPr>
        <w:t>The tourism sector, which was hardest hit, experienced the slowest recovery, with employment and revenue growth rates still lagging behind pre-pandemic levels. Government support played a critical role in aiding recovery across sectors, with the RMG sector receiving the highest amount (BDT 8,000 crore) in 2022.</w:t>
      </w:r>
    </w:p>
    <w:p w14:paraId="14C945EE" w14:textId="0AD6E318" w:rsidR="00C5595B" w:rsidRDefault="00C5595B" w:rsidP="00C5595B">
      <w:pPr>
        <w:spacing w:line="360" w:lineRule="auto"/>
        <w:jc w:val="both"/>
        <w:rPr>
          <w:rFonts w:ascii="Times New Roman" w:hAnsi="Times New Roman" w:cs="Times New Roman"/>
          <w:sz w:val="24"/>
          <w:szCs w:val="24"/>
        </w:rPr>
      </w:pPr>
      <w:r>
        <w:rPr>
          <w:noProof/>
        </w:rPr>
        <w:drawing>
          <wp:inline distT="0" distB="0" distL="0" distR="0" wp14:anchorId="1417B081" wp14:editId="121982A1">
            <wp:extent cx="5905850" cy="2726422"/>
            <wp:effectExtent l="0" t="0" r="0" b="17145"/>
            <wp:docPr id="3" name="Chart 3">
              <a:extLst xmlns:a="http://schemas.openxmlformats.org/drawingml/2006/main">
                <a:ext uri="{FF2B5EF4-FFF2-40B4-BE49-F238E27FC236}">
                  <a16:creationId xmlns:a16="http://schemas.microsoft.com/office/drawing/2014/main" id="{D90F938A-AA2B-4247-9018-1238A5224B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0D2BAE0" w14:textId="5F5820B1" w:rsidR="00460143" w:rsidRDefault="00460143" w:rsidP="00C5595B">
      <w:pPr>
        <w:spacing w:line="360" w:lineRule="auto"/>
        <w:jc w:val="both"/>
        <w:rPr>
          <w:rFonts w:ascii="Times New Roman" w:hAnsi="Times New Roman" w:cs="Times New Roman"/>
          <w:sz w:val="24"/>
          <w:szCs w:val="24"/>
        </w:rPr>
      </w:pPr>
    </w:p>
    <w:p w14:paraId="61137287" w14:textId="77777777" w:rsidR="00460143" w:rsidRPr="00460143" w:rsidRDefault="00460143" w:rsidP="00460143">
      <w:pPr>
        <w:spacing w:line="360" w:lineRule="auto"/>
        <w:jc w:val="both"/>
        <w:rPr>
          <w:rFonts w:ascii="Times New Roman" w:hAnsi="Times New Roman" w:cs="Times New Roman"/>
          <w:b/>
          <w:bCs/>
          <w:sz w:val="24"/>
          <w:szCs w:val="24"/>
        </w:rPr>
      </w:pPr>
      <w:r w:rsidRPr="00460143">
        <w:rPr>
          <w:rFonts w:ascii="Times New Roman" w:hAnsi="Times New Roman" w:cs="Times New Roman"/>
          <w:b/>
          <w:bCs/>
          <w:sz w:val="24"/>
          <w:szCs w:val="24"/>
        </w:rPr>
        <w:t>6. Conclusion and Recommendations</w:t>
      </w:r>
    </w:p>
    <w:p w14:paraId="421D99EE" w14:textId="77777777" w:rsidR="00460143" w:rsidRPr="00460143" w:rsidRDefault="00460143" w:rsidP="00460143">
      <w:pPr>
        <w:spacing w:line="360" w:lineRule="auto"/>
        <w:jc w:val="both"/>
        <w:rPr>
          <w:rFonts w:ascii="Times New Roman" w:hAnsi="Times New Roman" w:cs="Times New Roman"/>
          <w:sz w:val="24"/>
          <w:szCs w:val="24"/>
        </w:rPr>
      </w:pPr>
      <w:r w:rsidRPr="00460143">
        <w:rPr>
          <w:rFonts w:ascii="Times New Roman" w:hAnsi="Times New Roman" w:cs="Times New Roman"/>
          <w:sz w:val="24"/>
          <w:szCs w:val="24"/>
        </w:rPr>
        <w:t>The COVID-19 pandemic significantly impacted the economy of Bangladesh, particularly in export-driven sectors like RMG, SMEs, and tourism. The sharp decline in GDP, rising unemployment, and increasing poverty rates during 2020 demonstrated the vulnerability of the country to global shocks. Government interventions, including financial stimulus packages, played an essential role in stabilizing these sectors and aiding recovery.</w:t>
      </w:r>
    </w:p>
    <w:p w14:paraId="04A72717" w14:textId="77777777" w:rsidR="00460143" w:rsidRPr="00460143" w:rsidRDefault="00460143" w:rsidP="00460143">
      <w:pPr>
        <w:spacing w:line="360" w:lineRule="auto"/>
        <w:jc w:val="both"/>
        <w:rPr>
          <w:rFonts w:ascii="Times New Roman" w:hAnsi="Times New Roman" w:cs="Times New Roman"/>
          <w:sz w:val="24"/>
          <w:szCs w:val="24"/>
        </w:rPr>
      </w:pPr>
      <w:r w:rsidRPr="00460143">
        <w:rPr>
          <w:rFonts w:ascii="Times New Roman" w:hAnsi="Times New Roman" w:cs="Times New Roman"/>
          <w:sz w:val="24"/>
          <w:szCs w:val="24"/>
        </w:rPr>
        <w:t>Although recovery trends are evident, with many sectors showing signs of improvement by 2022, the path to full recovery remains slow and uneven. The tourism and hospitality sectors continue to face challenges, while SMEs are still vulnerable. Long-term recovery strategies should focus on:</w:t>
      </w:r>
    </w:p>
    <w:p w14:paraId="1B9358DA" w14:textId="77777777" w:rsidR="00460143" w:rsidRPr="00460143" w:rsidRDefault="00460143" w:rsidP="00460143">
      <w:pPr>
        <w:numPr>
          <w:ilvl w:val="0"/>
          <w:numId w:val="2"/>
        </w:numPr>
        <w:spacing w:line="360" w:lineRule="auto"/>
        <w:jc w:val="both"/>
        <w:rPr>
          <w:rFonts w:ascii="Times New Roman" w:hAnsi="Times New Roman" w:cs="Times New Roman"/>
          <w:sz w:val="24"/>
          <w:szCs w:val="24"/>
        </w:rPr>
      </w:pPr>
      <w:r w:rsidRPr="00460143">
        <w:rPr>
          <w:rFonts w:ascii="Times New Roman" w:hAnsi="Times New Roman" w:cs="Times New Roman"/>
          <w:sz w:val="24"/>
          <w:szCs w:val="24"/>
        </w:rPr>
        <w:t>Enhancing resilience in key sectors like RMG through diversification and improving global competitiveness.</w:t>
      </w:r>
    </w:p>
    <w:p w14:paraId="7EC45F36" w14:textId="77777777" w:rsidR="00460143" w:rsidRPr="00460143" w:rsidRDefault="00460143" w:rsidP="00460143">
      <w:pPr>
        <w:numPr>
          <w:ilvl w:val="0"/>
          <w:numId w:val="2"/>
        </w:numPr>
        <w:spacing w:line="360" w:lineRule="auto"/>
        <w:jc w:val="both"/>
        <w:rPr>
          <w:rFonts w:ascii="Times New Roman" w:hAnsi="Times New Roman" w:cs="Times New Roman"/>
          <w:sz w:val="24"/>
          <w:szCs w:val="24"/>
        </w:rPr>
      </w:pPr>
      <w:r w:rsidRPr="00460143">
        <w:rPr>
          <w:rFonts w:ascii="Times New Roman" w:hAnsi="Times New Roman" w:cs="Times New Roman"/>
          <w:sz w:val="24"/>
          <w:szCs w:val="24"/>
        </w:rPr>
        <w:t>Strengthening support mechanisms for SMEs and informal workers.</w:t>
      </w:r>
    </w:p>
    <w:p w14:paraId="4E85876A" w14:textId="77777777" w:rsidR="00460143" w:rsidRPr="00460143" w:rsidRDefault="00460143" w:rsidP="00460143">
      <w:pPr>
        <w:numPr>
          <w:ilvl w:val="0"/>
          <w:numId w:val="2"/>
        </w:numPr>
        <w:spacing w:line="360" w:lineRule="auto"/>
        <w:jc w:val="both"/>
        <w:rPr>
          <w:rFonts w:ascii="Times New Roman" w:hAnsi="Times New Roman" w:cs="Times New Roman"/>
          <w:sz w:val="24"/>
          <w:szCs w:val="24"/>
        </w:rPr>
      </w:pPr>
      <w:r w:rsidRPr="00460143">
        <w:rPr>
          <w:rFonts w:ascii="Times New Roman" w:hAnsi="Times New Roman" w:cs="Times New Roman"/>
          <w:sz w:val="24"/>
          <w:szCs w:val="24"/>
        </w:rPr>
        <w:t>Expanding social safety nets to protect vulnerable populations affected by the economic downturn.</w:t>
      </w:r>
    </w:p>
    <w:p w14:paraId="73A8BD74" w14:textId="77777777" w:rsidR="00460143" w:rsidRPr="00460143" w:rsidRDefault="00460143" w:rsidP="00460143">
      <w:pPr>
        <w:spacing w:line="360" w:lineRule="auto"/>
        <w:jc w:val="both"/>
        <w:rPr>
          <w:rFonts w:ascii="Times New Roman" w:hAnsi="Times New Roman" w:cs="Times New Roman"/>
          <w:sz w:val="24"/>
          <w:szCs w:val="24"/>
        </w:rPr>
      </w:pPr>
      <w:r w:rsidRPr="00460143">
        <w:rPr>
          <w:rFonts w:ascii="Times New Roman" w:hAnsi="Times New Roman" w:cs="Times New Roman"/>
          <w:sz w:val="24"/>
          <w:szCs w:val="24"/>
        </w:rPr>
        <w:t>The findings of this study underscore the importance of strategic government intervention, sector-specific recovery plans, and greater investment in healthcare and social infrastructure to mitigate the impact of future crises.</w:t>
      </w:r>
    </w:p>
    <w:p w14:paraId="2B790414" w14:textId="47875488" w:rsidR="00460143" w:rsidRPr="00460143" w:rsidRDefault="00460143" w:rsidP="00460143">
      <w:pPr>
        <w:spacing w:line="360" w:lineRule="auto"/>
        <w:jc w:val="both"/>
        <w:rPr>
          <w:rFonts w:ascii="Times New Roman" w:hAnsi="Times New Roman" w:cs="Times New Roman"/>
          <w:sz w:val="24"/>
          <w:szCs w:val="24"/>
        </w:rPr>
      </w:pPr>
    </w:p>
    <w:p w14:paraId="5C9E2D55" w14:textId="77777777" w:rsidR="00460143" w:rsidRPr="00460143" w:rsidRDefault="00460143" w:rsidP="00460143">
      <w:pPr>
        <w:spacing w:line="360" w:lineRule="auto"/>
        <w:jc w:val="both"/>
        <w:rPr>
          <w:rFonts w:ascii="Times New Roman" w:hAnsi="Times New Roman" w:cs="Times New Roman"/>
          <w:b/>
          <w:bCs/>
          <w:sz w:val="24"/>
          <w:szCs w:val="24"/>
        </w:rPr>
      </w:pPr>
      <w:r w:rsidRPr="00460143">
        <w:rPr>
          <w:rFonts w:ascii="Times New Roman" w:hAnsi="Times New Roman" w:cs="Times New Roman"/>
          <w:b/>
          <w:bCs/>
          <w:sz w:val="24"/>
          <w:szCs w:val="24"/>
        </w:rPr>
        <w:t>7. References</w:t>
      </w:r>
    </w:p>
    <w:p w14:paraId="3B3E0D51" w14:textId="77777777" w:rsidR="00460143" w:rsidRPr="00460143" w:rsidRDefault="00460143" w:rsidP="00460143">
      <w:pPr>
        <w:numPr>
          <w:ilvl w:val="0"/>
          <w:numId w:val="3"/>
        </w:numPr>
        <w:spacing w:line="360" w:lineRule="auto"/>
        <w:jc w:val="both"/>
        <w:rPr>
          <w:rFonts w:ascii="Times New Roman" w:hAnsi="Times New Roman" w:cs="Times New Roman"/>
          <w:sz w:val="24"/>
          <w:szCs w:val="24"/>
        </w:rPr>
      </w:pPr>
      <w:r w:rsidRPr="00460143">
        <w:rPr>
          <w:rFonts w:ascii="Times New Roman" w:hAnsi="Times New Roman" w:cs="Times New Roman"/>
          <w:sz w:val="24"/>
          <w:szCs w:val="24"/>
        </w:rPr>
        <w:t>Hossain, M., &amp; Rahman, M. (2021). The Impact of COVID-19 on Bangladesh's Economy. Journal of Development Studies.</w:t>
      </w:r>
    </w:p>
    <w:p w14:paraId="5691A46E" w14:textId="77777777" w:rsidR="00460143" w:rsidRPr="00460143" w:rsidRDefault="00460143" w:rsidP="00460143">
      <w:pPr>
        <w:numPr>
          <w:ilvl w:val="0"/>
          <w:numId w:val="3"/>
        </w:numPr>
        <w:spacing w:line="360" w:lineRule="auto"/>
        <w:jc w:val="both"/>
        <w:rPr>
          <w:rFonts w:ascii="Times New Roman" w:hAnsi="Times New Roman" w:cs="Times New Roman"/>
          <w:sz w:val="24"/>
          <w:szCs w:val="24"/>
        </w:rPr>
      </w:pPr>
      <w:r w:rsidRPr="00460143">
        <w:rPr>
          <w:rFonts w:ascii="Times New Roman" w:hAnsi="Times New Roman" w:cs="Times New Roman"/>
          <w:sz w:val="24"/>
          <w:szCs w:val="24"/>
        </w:rPr>
        <w:t>International Monetary Fund (2021). World Economic Outlook.</w:t>
      </w:r>
    </w:p>
    <w:p w14:paraId="2C5DFF28" w14:textId="77777777" w:rsidR="00460143" w:rsidRPr="00460143" w:rsidRDefault="00460143" w:rsidP="00460143">
      <w:pPr>
        <w:numPr>
          <w:ilvl w:val="0"/>
          <w:numId w:val="3"/>
        </w:numPr>
        <w:spacing w:line="360" w:lineRule="auto"/>
        <w:jc w:val="both"/>
        <w:rPr>
          <w:rFonts w:ascii="Times New Roman" w:hAnsi="Times New Roman" w:cs="Times New Roman"/>
          <w:sz w:val="24"/>
          <w:szCs w:val="24"/>
        </w:rPr>
      </w:pPr>
      <w:r w:rsidRPr="00460143">
        <w:rPr>
          <w:rFonts w:ascii="Times New Roman" w:hAnsi="Times New Roman" w:cs="Times New Roman"/>
          <w:sz w:val="24"/>
          <w:szCs w:val="24"/>
        </w:rPr>
        <w:t>Rahman, T. (2020). Economic Disruptions and Poverty Increase in Bangladesh.</w:t>
      </w:r>
    </w:p>
    <w:p w14:paraId="2D126A4A" w14:textId="22EAA8AA" w:rsidR="00460143" w:rsidRPr="00460143" w:rsidRDefault="00460143" w:rsidP="00460143">
      <w:pPr>
        <w:spacing w:line="360" w:lineRule="auto"/>
        <w:jc w:val="both"/>
        <w:rPr>
          <w:rFonts w:ascii="Times New Roman" w:hAnsi="Times New Roman" w:cs="Times New Roman"/>
          <w:sz w:val="24"/>
          <w:szCs w:val="24"/>
        </w:rPr>
      </w:pPr>
    </w:p>
    <w:p w14:paraId="52EB0B87" w14:textId="77777777" w:rsidR="00460143" w:rsidRPr="00352F90" w:rsidRDefault="00460143" w:rsidP="00C5595B">
      <w:pPr>
        <w:spacing w:line="360" w:lineRule="auto"/>
        <w:jc w:val="both"/>
        <w:rPr>
          <w:rFonts w:ascii="Times New Roman" w:hAnsi="Times New Roman" w:cs="Times New Roman"/>
          <w:sz w:val="24"/>
          <w:szCs w:val="24"/>
        </w:rPr>
      </w:pPr>
    </w:p>
    <w:p w14:paraId="7E78AACD" w14:textId="77777777" w:rsidR="00352F90" w:rsidRPr="003D7E5F" w:rsidRDefault="00352F90" w:rsidP="003D7E5F">
      <w:pPr>
        <w:spacing w:line="360" w:lineRule="auto"/>
        <w:jc w:val="both"/>
        <w:rPr>
          <w:rFonts w:ascii="Times New Roman" w:hAnsi="Times New Roman" w:cs="Times New Roman"/>
          <w:sz w:val="24"/>
          <w:szCs w:val="24"/>
        </w:rPr>
      </w:pPr>
    </w:p>
    <w:sectPr w:rsidR="00352F90" w:rsidRPr="003D7E5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2E9EB" w14:textId="77777777" w:rsidR="00CB4E97" w:rsidRDefault="00CB4E97" w:rsidP="00127887">
      <w:pPr>
        <w:spacing w:after="0" w:line="240" w:lineRule="auto"/>
      </w:pPr>
      <w:r>
        <w:separator/>
      </w:r>
    </w:p>
  </w:endnote>
  <w:endnote w:type="continuationSeparator" w:id="0">
    <w:p w14:paraId="1DCA7038" w14:textId="77777777" w:rsidR="00CB4E97" w:rsidRDefault="00CB4E97" w:rsidP="00127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475056"/>
      <w:docPartObj>
        <w:docPartGallery w:val="Page Numbers (Bottom of Page)"/>
        <w:docPartUnique/>
      </w:docPartObj>
    </w:sdtPr>
    <w:sdtEndPr>
      <w:rPr>
        <w:noProof/>
      </w:rPr>
    </w:sdtEndPr>
    <w:sdtContent>
      <w:p w14:paraId="4781E57C" w14:textId="072C4B6F" w:rsidR="00566C07" w:rsidRDefault="00566C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C389DF" w14:textId="77777777" w:rsidR="00566C07" w:rsidRDefault="00566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664C4" w14:textId="77777777" w:rsidR="00CB4E97" w:rsidRDefault="00CB4E97" w:rsidP="00127887">
      <w:pPr>
        <w:spacing w:after="0" w:line="240" w:lineRule="auto"/>
      </w:pPr>
      <w:r>
        <w:separator/>
      </w:r>
    </w:p>
  </w:footnote>
  <w:footnote w:type="continuationSeparator" w:id="0">
    <w:p w14:paraId="69C1B900" w14:textId="77777777" w:rsidR="00CB4E97" w:rsidRDefault="00CB4E97" w:rsidP="001278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6335A"/>
    <w:multiLevelType w:val="multilevel"/>
    <w:tmpl w:val="85FE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50C89"/>
    <w:multiLevelType w:val="multilevel"/>
    <w:tmpl w:val="513A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890558"/>
    <w:multiLevelType w:val="multilevel"/>
    <w:tmpl w:val="AB5A20C8"/>
    <w:lvl w:ilvl="0">
      <w:start w:val="1"/>
      <w:numFmt w:val="decimal"/>
      <w:lvlText w:val="%1."/>
      <w:lvlJc w:val="left"/>
      <w:pPr>
        <w:tabs>
          <w:tab w:val="num" w:pos="900"/>
        </w:tabs>
        <w:ind w:left="900" w:hanging="360"/>
      </w:pPr>
      <w:rPr>
        <w:b w:val="0"/>
        <w:bCs w:val="0"/>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352"/>
    <w:rsid w:val="00047FD3"/>
    <w:rsid w:val="000E448E"/>
    <w:rsid w:val="00127887"/>
    <w:rsid w:val="00196D7B"/>
    <w:rsid w:val="00352F90"/>
    <w:rsid w:val="003D7E5F"/>
    <w:rsid w:val="00460143"/>
    <w:rsid w:val="00496352"/>
    <w:rsid w:val="00566C07"/>
    <w:rsid w:val="008B3A08"/>
    <w:rsid w:val="00AD3C8B"/>
    <w:rsid w:val="00C1388B"/>
    <w:rsid w:val="00C5595B"/>
    <w:rsid w:val="00C93D02"/>
    <w:rsid w:val="00CB4E97"/>
    <w:rsid w:val="00D538A7"/>
    <w:rsid w:val="00ED11F5"/>
    <w:rsid w:val="00F54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01DE2"/>
  <w15:chartTrackingRefBased/>
  <w15:docId w15:val="{636DD11E-6322-4D21-90E2-142BC156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D7B"/>
    <w:pPr>
      <w:ind w:left="720"/>
      <w:contextualSpacing/>
    </w:pPr>
  </w:style>
  <w:style w:type="table" w:styleId="GridTable4-Accent1">
    <w:name w:val="Grid Table 4 Accent 1"/>
    <w:basedOn w:val="TableNormal"/>
    <w:uiPriority w:val="49"/>
    <w:rsid w:val="001278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127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87"/>
  </w:style>
  <w:style w:type="paragraph" w:styleId="Footer">
    <w:name w:val="footer"/>
    <w:basedOn w:val="Normal"/>
    <w:link w:val="FooterChar"/>
    <w:uiPriority w:val="99"/>
    <w:unhideWhenUsed/>
    <w:rsid w:val="00127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99881">
      <w:bodyDiv w:val="1"/>
      <w:marLeft w:val="0"/>
      <w:marRight w:val="0"/>
      <w:marTop w:val="0"/>
      <w:marBottom w:val="0"/>
      <w:divBdr>
        <w:top w:val="none" w:sz="0" w:space="0" w:color="auto"/>
        <w:left w:val="none" w:sz="0" w:space="0" w:color="auto"/>
        <w:bottom w:val="none" w:sz="0" w:space="0" w:color="auto"/>
        <w:right w:val="none" w:sz="0" w:space="0" w:color="auto"/>
      </w:divBdr>
    </w:div>
    <w:div w:id="442068367">
      <w:bodyDiv w:val="1"/>
      <w:marLeft w:val="0"/>
      <w:marRight w:val="0"/>
      <w:marTop w:val="0"/>
      <w:marBottom w:val="0"/>
      <w:divBdr>
        <w:top w:val="none" w:sz="0" w:space="0" w:color="auto"/>
        <w:left w:val="none" w:sz="0" w:space="0" w:color="auto"/>
        <w:bottom w:val="none" w:sz="0" w:space="0" w:color="auto"/>
        <w:right w:val="none" w:sz="0" w:space="0" w:color="auto"/>
      </w:divBdr>
    </w:div>
    <w:div w:id="655456924">
      <w:bodyDiv w:val="1"/>
      <w:marLeft w:val="0"/>
      <w:marRight w:val="0"/>
      <w:marTop w:val="0"/>
      <w:marBottom w:val="0"/>
      <w:divBdr>
        <w:top w:val="none" w:sz="0" w:space="0" w:color="auto"/>
        <w:left w:val="none" w:sz="0" w:space="0" w:color="auto"/>
        <w:bottom w:val="none" w:sz="0" w:space="0" w:color="auto"/>
        <w:right w:val="none" w:sz="0" w:space="0" w:color="auto"/>
      </w:divBdr>
    </w:div>
    <w:div w:id="685180413">
      <w:bodyDiv w:val="1"/>
      <w:marLeft w:val="0"/>
      <w:marRight w:val="0"/>
      <w:marTop w:val="0"/>
      <w:marBottom w:val="0"/>
      <w:divBdr>
        <w:top w:val="none" w:sz="0" w:space="0" w:color="auto"/>
        <w:left w:val="none" w:sz="0" w:space="0" w:color="auto"/>
        <w:bottom w:val="none" w:sz="0" w:space="0" w:color="auto"/>
        <w:right w:val="none" w:sz="0" w:space="0" w:color="auto"/>
      </w:divBdr>
    </w:div>
    <w:div w:id="695277147">
      <w:bodyDiv w:val="1"/>
      <w:marLeft w:val="0"/>
      <w:marRight w:val="0"/>
      <w:marTop w:val="0"/>
      <w:marBottom w:val="0"/>
      <w:divBdr>
        <w:top w:val="none" w:sz="0" w:space="0" w:color="auto"/>
        <w:left w:val="none" w:sz="0" w:space="0" w:color="auto"/>
        <w:bottom w:val="none" w:sz="0" w:space="0" w:color="auto"/>
        <w:right w:val="none" w:sz="0" w:space="0" w:color="auto"/>
      </w:divBdr>
    </w:div>
    <w:div w:id="1019619710">
      <w:bodyDiv w:val="1"/>
      <w:marLeft w:val="0"/>
      <w:marRight w:val="0"/>
      <w:marTop w:val="0"/>
      <w:marBottom w:val="0"/>
      <w:divBdr>
        <w:top w:val="none" w:sz="0" w:space="0" w:color="auto"/>
        <w:left w:val="none" w:sz="0" w:space="0" w:color="auto"/>
        <w:bottom w:val="none" w:sz="0" w:space="0" w:color="auto"/>
        <w:right w:val="none" w:sz="0" w:space="0" w:color="auto"/>
      </w:divBdr>
    </w:div>
    <w:div w:id="1037386847">
      <w:bodyDiv w:val="1"/>
      <w:marLeft w:val="0"/>
      <w:marRight w:val="0"/>
      <w:marTop w:val="0"/>
      <w:marBottom w:val="0"/>
      <w:divBdr>
        <w:top w:val="none" w:sz="0" w:space="0" w:color="auto"/>
        <w:left w:val="none" w:sz="0" w:space="0" w:color="auto"/>
        <w:bottom w:val="none" w:sz="0" w:space="0" w:color="auto"/>
        <w:right w:val="none" w:sz="0" w:space="0" w:color="auto"/>
      </w:divBdr>
    </w:div>
    <w:div w:id="1146825497">
      <w:bodyDiv w:val="1"/>
      <w:marLeft w:val="0"/>
      <w:marRight w:val="0"/>
      <w:marTop w:val="0"/>
      <w:marBottom w:val="0"/>
      <w:divBdr>
        <w:top w:val="none" w:sz="0" w:space="0" w:color="auto"/>
        <w:left w:val="none" w:sz="0" w:space="0" w:color="auto"/>
        <w:bottom w:val="none" w:sz="0" w:space="0" w:color="auto"/>
        <w:right w:val="none" w:sz="0" w:space="0" w:color="auto"/>
      </w:divBdr>
    </w:div>
    <w:div w:id="1200510864">
      <w:bodyDiv w:val="1"/>
      <w:marLeft w:val="0"/>
      <w:marRight w:val="0"/>
      <w:marTop w:val="0"/>
      <w:marBottom w:val="0"/>
      <w:divBdr>
        <w:top w:val="none" w:sz="0" w:space="0" w:color="auto"/>
        <w:left w:val="none" w:sz="0" w:space="0" w:color="auto"/>
        <w:bottom w:val="none" w:sz="0" w:space="0" w:color="auto"/>
        <w:right w:val="none" w:sz="0" w:space="0" w:color="auto"/>
      </w:divBdr>
    </w:div>
    <w:div w:id="1345209233">
      <w:bodyDiv w:val="1"/>
      <w:marLeft w:val="0"/>
      <w:marRight w:val="0"/>
      <w:marTop w:val="0"/>
      <w:marBottom w:val="0"/>
      <w:divBdr>
        <w:top w:val="none" w:sz="0" w:space="0" w:color="auto"/>
        <w:left w:val="none" w:sz="0" w:space="0" w:color="auto"/>
        <w:bottom w:val="none" w:sz="0" w:space="0" w:color="auto"/>
        <w:right w:val="none" w:sz="0" w:space="0" w:color="auto"/>
      </w:divBdr>
    </w:div>
    <w:div w:id="1515875558">
      <w:bodyDiv w:val="1"/>
      <w:marLeft w:val="0"/>
      <w:marRight w:val="0"/>
      <w:marTop w:val="0"/>
      <w:marBottom w:val="0"/>
      <w:divBdr>
        <w:top w:val="none" w:sz="0" w:space="0" w:color="auto"/>
        <w:left w:val="none" w:sz="0" w:space="0" w:color="auto"/>
        <w:bottom w:val="none" w:sz="0" w:space="0" w:color="auto"/>
        <w:right w:val="none" w:sz="0" w:space="0" w:color="auto"/>
      </w:divBdr>
      <w:divsChild>
        <w:div w:id="292951016">
          <w:marLeft w:val="0"/>
          <w:marRight w:val="0"/>
          <w:marTop w:val="0"/>
          <w:marBottom w:val="0"/>
          <w:divBdr>
            <w:top w:val="none" w:sz="0" w:space="0" w:color="auto"/>
            <w:left w:val="none" w:sz="0" w:space="0" w:color="auto"/>
            <w:bottom w:val="none" w:sz="0" w:space="0" w:color="auto"/>
            <w:right w:val="none" w:sz="0" w:space="0" w:color="auto"/>
          </w:divBdr>
          <w:divsChild>
            <w:div w:id="1005474048">
              <w:marLeft w:val="0"/>
              <w:marRight w:val="0"/>
              <w:marTop w:val="0"/>
              <w:marBottom w:val="0"/>
              <w:divBdr>
                <w:top w:val="none" w:sz="0" w:space="0" w:color="auto"/>
                <w:left w:val="none" w:sz="0" w:space="0" w:color="auto"/>
                <w:bottom w:val="none" w:sz="0" w:space="0" w:color="auto"/>
                <w:right w:val="none" w:sz="0" w:space="0" w:color="auto"/>
              </w:divBdr>
              <w:divsChild>
                <w:div w:id="1219434169">
                  <w:marLeft w:val="0"/>
                  <w:marRight w:val="0"/>
                  <w:marTop w:val="0"/>
                  <w:marBottom w:val="0"/>
                  <w:divBdr>
                    <w:top w:val="none" w:sz="0" w:space="0" w:color="auto"/>
                    <w:left w:val="none" w:sz="0" w:space="0" w:color="auto"/>
                    <w:bottom w:val="none" w:sz="0" w:space="0" w:color="auto"/>
                    <w:right w:val="none" w:sz="0" w:space="0" w:color="auto"/>
                  </w:divBdr>
                  <w:divsChild>
                    <w:div w:id="97452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88798">
          <w:marLeft w:val="0"/>
          <w:marRight w:val="0"/>
          <w:marTop w:val="0"/>
          <w:marBottom w:val="0"/>
          <w:divBdr>
            <w:top w:val="none" w:sz="0" w:space="0" w:color="auto"/>
            <w:left w:val="none" w:sz="0" w:space="0" w:color="auto"/>
            <w:bottom w:val="none" w:sz="0" w:space="0" w:color="auto"/>
            <w:right w:val="none" w:sz="0" w:space="0" w:color="auto"/>
          </w:divBdr>
          <w:divsChild>
            <w:div w:id="1469937492">
              <w:marLeft w:val="0"/>
              <w:marRight w:val="0"/>
              <w:marTop w:val="0"/>
              <w:marBottom w:val="0"/>
              <w:divBdr>
                <w:top w:val="none" w:sz="0" w:space="0" w:color="auto"/>
                <w:left w:val="none" w:sz="0" w:space="0" w:color="auto"/>
                <w:bottom w:val="none" w:sz="0" w:space="0" w:color="auto"/>
                <w:right w:val="none" w:sz="0" w:space="0" w:color="auto"/>
              </w:divBdr>
              <w:divsChild>
                <w:div w:id="126969215">
                  <w:marLeft w:val="0"/>
                  <w:marRight w:val="0"/>
                  <w:marTop w:val="0"/>
                  <w:marBottom w:val="0"/>
                  <w:divBdr>
                    <w:top w:val="none" w:sz="0" w:space="0" w:color="auto"/>
                    <w:left w:val="none" w:sz="0" w:space="0" w:color="auto"/>
                    <w:bottom w:val="none" w:sz="0" w:space="0" w:color="auto"/>
                    <w:right w:val="none" w:sz="0" w:space="0" w:color="auto"/>
                  </w:divBdr>
                  <w:divsChild>
                    <w:div w:id="7043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672199">
      <w:bodyDiv w:val="1"/>
      <w:marLeft w:val="0"/>
      <w:marRight w:val="0"/>
      <w:marTop w:val="0"/>
      <w:marBottom w:val="0"/>
      <w:divBdr>
        <w:top w:val="none" w:sz="0" w:space="0" w:color="auto"/>
        <w:left w:val="none" w:sz="0" w:space="0" w:color="auto"/>
        <w:bottom w:val="none" w:sz="0" w:space="0" w:color="auto"/>
        <w:right w:val="none" w:sz="0" w:space="0" w:color="auto"/>
      </w:divBdr>
    </w:div>
    <w:div w:id="1627344964">
      <w:bodyDiv w:val="1"/>
      <w:marLeft w:val="0"/>
      <w:marRight w:val="0"/>
      <w:marTop w:val="0"/>
      <w:marBottom w:val="0"/>
      <w:divBdr>
        <w:top w:val="none" w:sz="0" w:space="0" w:color="auto"/>
        <w:left w:val="none" w:sz="0" w:space="0" w:color="auto"/>
        <w:bottom w:val="none" w:sz="0" w:space="0" w:color="auto"/>
        <w:right w:val="none" w:sz="0" w:space="0" w:color="auto"/>
      </w:divBdr>
      <w:divsChild>
        <w:div w:id="464323476">
          <w:marLeft w:val="0"/>
          <w:marRight w:val="0"/>
          <w:marTop w:val="0"/>
          <w:marBottom w:val="0"/>
          <w:divBdr>
            <w:top w:val="none" w:sz="0" w:space="0" w:color="auto"/>
            <w:left w:val="none" w:sz="0" w:space="0" w:color="auto"/>
            <w:bottom w:val="none" w:sz="0" w:space="0" w:color="auto"/>
            <w:right w:val="none" w:sz="0" w:space="0" w:color="auto"/>
          </w:divBdr>
          <w:divsChild>
            <w:div w:id="2047874380">
              <w:marLeft w:val="0"/>
              <w:marRight w:val="0"/>
              <w:marTop w:val="0"/>
              <w:marBottom w:val="0"/>
              <w:divBdr>
                <w:top w:val="none" w:sz="0" w:space="0" w:color="auto"/>
                <w:left w:val="none" w:sz="0" w:space="0" w:color="auto"/>
                <w:bottom w:val="none" w:sz="0" w:space="0" w:color="auto"/>
                <w:right w:val="none" w:sz="0" w:space="0" w:color="auto"/>
              </w:divBdr>
              <w:divsChild>
                <w:div w:id="790124927">
                  <w:marLeft w:val="0"/>
                  <w:marRight w:val="0"/>
                  <w:marTop w:val="0"/>
                  <w:marBottom w:val="0"/>
                  <w:divBdr>
                    <w:top w:val="none" w:sz="0" w:space="0" w:color="auto"/>
                    <w:left w:val="none" w:sz="0" w:space="0" w:color="auto"/>
                    <w:bottom w:val="none" w:sz="0" w:space="0" w:color="auto"/>
                    <w:right w:val="none" w:sz="0" w:space="0" w:color="auto"/>
                  </w:divBdr>
                  <w:divsChild>
                    <w:div w:id="14706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49092">
          <w:marLeft w:val="0"/>
          <w:marRight w:val="0"/>
          <w:marTop w:val="0"/>
          <w:marBottom w:val="0"/>
          <w:divBdr>
            <w:top w:val="none" w:sz="0" w:space="0" w:color="auto"/>
            <w:left w:val="none" w:sz="0" w:space="0" w:color="auto"/>
            <w:bottom w:val="none" w:sz="0" w:space="0" w:color="auto"/>
            <w:right w:val="none" w:sz="0" w:space="0" w:color="auto"/>
          </w:divBdr>
          <w:divsChild>
            <w:div w:id="1585453256">
              <w:marLeft w:val="0"/>
              <w:marRight w:val="0"/>
              <w:marTop w:val="0"/>
              <w:marBottom w:val="0"/>
              <w:divBdr>
                <w:top w:val="none" w:sz="0" w:space="0" w:color="auto"/>
                <w:left w:val="none" w:sz="0" w:space="0" w:color="auto"/>
                <w:bottom w:val="none" w:sz="0" w:space="0" w:color="auto"/>
                <w:right w:val="none" w:sz="0" w:space="0" w:color="auto"/>
              </w:divBdr>
              <w:divsChild>
                <w:div w:id="1946427176">
                  <w:marLeft w:val="0"/>
                  <w:marRight w:val="0"/>
                  <w:marTop w:val="0"/>
                  <w:marBottom w:val="0"/>
                  <w:divBdr>
                    <w:top w:val="none" w:sz="0" w:space="0" w:color="auto"/>
                    <w:left w:val="none" w:sz="0" w:space="0" w:color="auto"/>
                    <w:bottom w:val="none" w:sz="0" w:space="0" w:color="auto"/>
                    <w:right w:val="none" w:sz="0" w:space="0" w:color="auto"/>
                  </w:divBdr>
                  <w:divsChild>
                    <w:div w:id="13615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04620">
      <w:bodyDiv w:val="1"/>
      <w:marLeft w:val="0"/>
      <w:marRight w:val="0"/>
      <w:marTop w:val="0"/>
      <w:marBottom w:val="0"/>
      <w:divBdr>
        <w:top w:val="none" w:sz="0" w:space="0" w:color="auto"/>
        <w:left w:val="none" w:sz="0" w:space="0" w:color="auto"/>
        <w:bottom w:val="none" w:sz="0" w:space="0" w:color="auto"/>
        <w:right w:val="none" w:sz="0" w:space="0" w:color="auto"/>
      </w:divBdr>
    </w:div>
    <w:div w:id="1833713732">
      <w:bodyDiv w:val="1"/>
      <w:marLeft w:val="0"/>
      <w:marRight w:val="0"/>
      <w:marTop w:val="0"/>
      <w:marBottom w:val="0"/>
      <w:divBdr>
        <w:top w:val="none" w:sz="0" w:space="0" w:color="auto"/>
        <w:left w:val="none" w:sz="0" w:space="0" w:color="auto"/>
        <w:bottom w:val="none" w:sz="0" w:space="0" w:color="auto"/>
        <w:right w:val="none" w:sz="0" w:space="0" w:color="auto"/>
      </w:divBdr>
    </w:div>
    <w:div w:id="1965229332">
      <w:bodyDiv w:val="1"/>
      <w:marLeft w:val="0"/>
      <w:marRight w:val="0"/>
      <w:marTop w:val="0"/>
      <w:marBottom w:val="0"/>
      <w:divBdr>
        <w:top w:val="none" w:sz="0" w:space="0" w:color="auto"/>
        <w:left w:val="none" w:sz="0" w:space="0" w:color="auto"/>
        <w:bottom w:val="none" w:sz="0" w:space="0" w:color="auto"/>
        <w:right w:val="none" w:sz="0" w:space="0" w:color="auto"/>
      </w:divBdr>
    </w:div>
    <w:div w:id="2046637800">
      <w:bodyDiv w:val="1"/>
      <w:marLeft w:val="0"/>
      <w:marRight w:val="0"/>
      <w:marTop w:val="0"/>
      <w:marBottom w:val="0"/>
      <w:divBdr>
        <w:top w:val="none" w:sz="0" w:space="0" w:color="auto"/>
        <w:left w:val="none" w:sz="0" w:space="0" w:color="auto"/>
        <w:bottom w:val="none" w:sz="0" w:space="0" w:color="auto"/>
        <w:right w:val="none" w:sz="0" w:space="0" w:color="auto"/>
      </w:divBdr>
    </w:div>
    <w:div w:id="211524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Sheet1!$D$1</c:f>
              <c:strCache>
                <c:ptCount val="1"/>
                <c:pt idx="0">
                  <c:v>Revenue Loss (%)</c:v>
                </c:pt>
              </c:strCache>
            </c:strRef>
          </c:tx>
          <c:spPr>
            <a:solidFill>
              <a:schemeClr val="accent1"/>
            </a:solidFill>
            <a:ln>
              <a:noFill/>
            </a:ln>
            <a:effectLst/>
          </c:spPr>
          <c:invertIfNegative val="0"/>
          <c:cat>
            <c:strRef>
              <c:f>Sheet1!$A$2:$A$8</c:f>
              <c:strCache>
                <c:ptCount val="7"/>
                <c:pt idx="0">
                  <c:v>Ready-Made Garments (RMG)</c:v>
                </c:pt>
                <c:pt idx="1">
                  <c:v>Agriculture</c:v>
                </c:pt>
                <c:pt idx="2">
                  <c:v>Small &amp; Medium Enterprises</c:v>
                </c:pt>
                <c:pt idx="3">
                  <c:v>Construction</c:v>
                </c:pt>
                <c:pt idx="4">
                  <c:v>Tourism and Hospitality</c:v>
                </c:pt>
                <c:pt idx="5">
                  <c:v>Transport Sector</c:v>
                </c:pt>
                <c:pt idx="6">
                  <c:v>Remittances (Migrant Workers)</c:v>
                </c:pt>
              </c:strCache>
              <c:extLst/>
            </c:strRef>
          </c:cat>
          <c:val>
            <c:numRef>
              <c:f>Sheet1!$D$2:$D$8</c:f>
              <c:numCache>
                <c:formatCode>0%</c:formatCode>
                <c:ptCount val="7"/>
                <c:pt idx="0">
                  <c:v>0.32</c:v>
                </c:pt>
                <c:pt idx="1">
                  <c:v>0.15</c:v>
                </c:pt>
                <c:pt idx="2">
                  <c:v>0.4</c:v>
                </c:pt>
                <c:pt idx="3">
                  <c:v>0.25</c:v>
                </c:pt>
                <c:pt idx="4">
                  <c:v>0.7</c:v>
                </c:pt>
                <c:pt idx="5">
                  <c:v>0.6</c:v>
                </c:pt>
                <c:pt idx="6" formatCode="General">
                  <c:v>0</c:v>
                </c:pt>
              </c:numCache>
            </c:numRef>
          </c:val>
          <c:extLst>
            <c:ext xmlns:c16="http://schemas.microsoft.com/office/drawing/2014/chart" uri="{C3380CC4-5D6E-409C-BE32-E72D297353CC}">
              <c16:uniqueId val="{00000000-0D05-477C-8A4E-6BA5B1290206}"/>
            </c:ext>
          </c:extLst>
        </c:ser>
        <c:ser>
          <c:idx val="1"/>
          <c:order val="1"/>
          <c:tx>
            <c:strRef>
              <c:f>Sheet1!$E$1</c:f>
              <c:strCache>
                <c:ptCount val="1"/>
                <c:pt idx="0">
                  <c:v>Production Decline (%)</c:v>
                </c:pt>
              </c:strCache>
            </c:strRef>
          </c:tx>
          <c:spPr>
            <a:solidFill>
              <a:schemeClr val="accent2"/>
            </a:solidFill>
            <a:ln>
              <a:noFill/>
            </a:ln>
            <a:effectLst/>
          </c:spPr>
          <c:invertIfNegative val="0"/>
          <c:cat>
            <c:strRef>
              <c:f>Sheet1!$A$2:$A$8</c:f>
              <c:strCache>
                <c:ptCount val="7"/>
                <c:pt idx="0">
                  <c:v>Ready-Made Garments (RMG)</c:v>
                </c:pt>
                <c:pt idx="1">
                  <c:v>Agriculture</c:v>
                </c:pt>
                <c:pt idx="2">
                  <c:v>Small &amp; Medium Enterprises</c:v>
                </c:pt>
                <c:pt idx="3">
                  <c:v>Construction</c:v>
                </c:pt>
                <c:pt idx="4">
                  <c:v>Tourism and Hospitality</c:v>
                </c:pt>
                <c:pt idx="5">
                  <c:v>Transport Sector</c:v>
                </c:pt>
                <c:pt idx="6">
                  <c:v>Remittances (Migrant Workers)</c:v>
                </c:pt>
              </c:strCache>
              <c:extLst/>
            </c:strRef>
          </c:cat>
          <c:val>
            <c:numRef>
              <c:f>Sheet1!$E$2:$E$8</c:f>
              <c:numCache>
                <c:formatCode>0%</c:formatCode>
                <c:ptCount val="7"/>
                <c:pt idx="0">
                  <c:v>0.35</c:v>
                </c:pt>
                <c:pt idx="1">
                  <c:v>0.12</c:v>
                </c:pt>
                <c:pt idx="2">
                  <c:v>0.45</c:v>
                </c:pt>
                <c:pt idx="3">
                  <c:v>0.3</c:v>
                </c:pt>
                <c:pt idx="4">
                  <c:v>0.8</c:v>
                </c:pt>
                <c:pt idx="5">
                  <c:v>0.55000000000000004</c:v>
                </c:pt>
                <c:pt idx="6" formatCode="General">
                  <c:v>0</c:v>
                </c:pt>
              </c:numCache>
            </c:numRef>
          </c:val>
          <c:extLst>
            <c:ext xmlns:c16="http://schemas.microsoft.com/office/drawing/2014/chart" uri="{C3380CC4-5D6E-409C-BE32-E72D297353CC}">
              <c16:uniqueId val="{00000001-0D05-477C-8A4E-6BA5B1290206}"/>
            </c:ext>
          </c:extLst>
        </c:ser>
        <c:ser>
          <c:idx val="2"/>
          <c:order val="2"/>
          <c:tx>
            <c:strRef>
              <c:f>Sheet1!$F$1</c:f>
              <c:strCache>
                <c:ptCount val="1"/>
                <c:pt idx="0">
                  <c:v>Government Support (BDT)</c:v>
                </c:pt>
              </c:strCache>
            </c:strRef>
          </c:tx>
          <c:spPr>
            <a:solidFill>
              <a:schemeClr val="accent3"/>
            </a:solidFill>
            <a:ln>
              <a:noFill/>
            </a:ln>
            <a:effectLst/>
          </c:spPr>
          <c:invertIfNegative val="0"/>
          <c:cat>
            <c:strRef>
              <c:f>Sheet1!$A$2:$A$8</c:f>
              <c:strCache>
                <c:ptCount val="7"/>
                <c:pt idx="0">
                  <c:v>Ready-Made Garments (RMG)</c:v>
                </c:pt>
                <c:pt idx="1">
                  <c:v>Agriculture</c:v>
                </c:pt>
                <c:pt idx="2">
                  <c:v>Small &amp; Medium Enterprises</c:v>
                </c:pt>
                <c:pt idx="3">
                  <c:v>Construction</c:v>
                </c:pt>
                <c:pt idx="4">
                  <c:v>Tourism and Hospitality</c:v>
                </c:pt>
                <c:pt idx="5">
                  <c:v>Transport Sector</c:v>
                </c:pt>
                <c:pt idx="6">
                  <c:v>Remittances (Migrant Workers)</c:v>
                </c:pt>
              </c:strCache>
              <c:extLst/>
            </c:strRef>
          </c:cat>
          <c:val>
            <c:numRef>
              <c:f>Sheet1!$F$2:$F$8</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2-0D05-477C-8A4E-6BA5B1290206}"/>
            </c:ext>
          </c:extLst>
        </c:ser>
        <c:dLbls>
          <c:showLegendKey val="0"/>
          <c:showVal val="0"/>
          <c:showCatName val="0"/>
          <c:showSerName val="0"/>
          <c:showPercent val="0"/>
          <c:showBubbleSize val="0"/>
        </c:dLbls>
        <c:gapWidth val="182"/>
        <c:axId val="914546560"/>
        <c:axId val="914545312"/>
      </c:barChart>
      <c:catAx>
        <c:axId val="9145465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545312"/>
        <c:crosses val="autoZero"/>
        <c:auto val="1"/>
        <c:lblAlgn val="ctr"/>
        <c:lblOffset val="100"/>
        <c:noMultiLvlLbl val="0"/>
      </c:catAx>
      <c:valAx>
        <c:axId val="91454531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546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Sheet2!$B$1</c:f>
              <c:strCache>
                <c:ptCount val="1"/>
                <c:pt idx="0">
                  <c:v>Pre-COVID (2019)</c:v>
                </c:pt>
              </c:strCache>
            </c:strRef>
          </c:tx>
          <c:spPr>
            <a:solidFill>
              <a:schemeClr val="accent1"/>
            </a:solidFill>
            <a:ln>
              <a:noFill/>
            </a:ln>
            <a:effectLst/>
          </c:spPr>
          <c:invertIfNegative val="0"/>
          <c:cat>
            <c:strRef>
              <c:f>Sheet2!$A$2:$A$12</c:f>
              <c:strCache>
                <c:ptCount val="11"/>
                <c:pt idx="0">
                  <c:v>GDP Growth Rate (%)</c:v>
                </c:pt>
                <c:pt idx="1">
                  <c:v>Contribution of RMG to GDP (%)</c:v>
                </c:pt>
                <c:pt idx="2">
                  <c:v>Contribution of Agriculture to GDP (%)</c:v>
                </c:pt>
                <c:pt idx="3">
                  <c:v>Contribution of SMEs to GDP (%)</c:v>
                </c:pt>
                <c:pt idx="4">
                  <c:v>Unemployment Rate (%)</c:v>
                </c:pt>
                <c:pt idx="5">
                  <c:v>Poverty Rate (%)</c:v>
                </c:pt>
                <c:pt idx="6">
                  <c:v>Inflation Rate (%)</c:v>
                </c:pt>
                <c:pt idx="7">
                  <c:v>Foreign Direct Investment (FDI) Inflow (USD Billion)</c:v>
                </c:pt>
                <c:pt idx="8">
                  <c:v>Remittances (USD Billion)</c:v>
                </c:pt>
                <c:pt idx="9">
                  <c:v>Government Debt to GDP (%)</c:v>
                </c:pt>
                <c:pt idx="10">
                  <c:v>Export Growth Rate (%)</c:v>
                </c:pt>
              </c:strCache>
            </c:strRef>
          </c:cat>
          <c:val>
            <c:numRef>
              <c:f>Sheet2!$B$2:$B$12</c:f>
              <c:numCache>
                <c:formatCode>General</c:formatCode>
                <c:ptCount val="11"/>
                <c:pt idx="0">
                  <c:v>8.1999999999999993</c:v>
                </c:pt>
                <c:pt idx="1">
                  <c:v>11.2</c:v>
                </c:pt>
                <c:pt idx="2">
                  <c:v>14.2</c:v>
                </c:pt>
                <c:pt idx="3">
                  <c:v>25</c:v>
                </c:pt>
                <c:pt idx="4">
                  <c:v>4.2</c:v>
                </c:pt>
                <c:pt idx="5">
                  <c:v>20.5</c:v>
                </c:pt>
                <c:pt idx="6">
                  <c:v>5.5</c:v>
                </c:pt>
                <c:pt idx="7">
                  <c:v>3.6</c:v>
                </c:pt>
                <c:pt idx="8">
                  <c:v>18.3</c:v>
                </c:pt>
                <c:pt idx="9">
                  <c:v>34.6</c:v>
                </c:pt>
                <c:pt idx="10">
                  <c:v>10.1</c:v>
                </c:pt>
              </c:numCache>
            </c:numRef>
          </c:val>
          <c:extLst>
            <c:ext xmlns:c16="http://schemas.microsoft.com/office/drawing/2014/chart" uri="{C3380CC4-5D6E-409C-BE32-E72D297353CC}">
              <c16:uniqueId val="{00000000-DF2E-434B-B02B-E86C6ACE8022}"/>
            </c:ext>
          </c:extLst>
        </c:ser>
        <c:ser>
          <c:idx val="1"/>
          <c:order val="1"/>
          <c:tx>
            <c:strRef>
              <c:f>Sheet2!$C$1</c:f>
              <c:strCache>
                <c:ptCount val="1"/>
                <c:pt idx="0">
                  <c:v>During COVID (2020)</c:v>
                </c:pt>
              </c:strCache>
            </c:strRef>
          </c:tx>
          <c:spPr>
            <a:solidFill>
              <a:schemeClr val="accent2"/>
            </a:solidFill>
            <a:ln>
              <a:noFill/>
            </a:ln>
            <a:effectLst/>
          </c:spPr>
          <c:invertIfNegative val="0"/>
          <c:cat>
            <c:strRef>
              <c:f>Sheet2!$A$2:$A$12</c:f>
              <c:strCache>
                <c:ptCount val="11"/>
                <c:pt idx="0">
                  <c:v>GDP Growth Rate (%)</c:v>
                </c:pt>
                <c:pt idx="1">
                  <c:v>Contribution of RMG to GDP (%)</c:v>
                </c:pt>
                <c:pt idx="2">
                  <c:v>Contribution of Agriculture to GDP (%)</c:v>
                </c:pt>
                <c:pt idx="3">
                  <c:v>Contribution of SMEs to GDP (%)</c:v>
                </c:pt>
                <c:pt idx="4">
                  <c:v>Unemployment Rate (%)</c:v>
                </c:pt>
                <c:pt idx="5">
                  <c:v>Poverty Rate (%)</c:v>
                </c:pt>
                <c:pt idx="6">
                  <c:v>Inflation Rate (%)</c:v>
                </c:pt>
                <c:pt idx="7">
                  <c:v>Foreign Direct Investment (FDI) Inflow (USD Billion)</c:v>
                </c:pt>
                <c:pt idx="8">
                  <c:v>Remittances (USD Billion)</c:v>
                </c:pt>
                <c:pt idx="9">
                  <c:v>Government Debt to GDP (%)</c:v>
                </c:pt>
                <c:pt idx="10">
                  <c:v>Export Growth Rate (%)</c:v>
                </c:pt>
              </c:strCache>
            </c:strRef>
          </c:cat>
          <c:val>
            <c:numRef>
              <c:f>Sheet2!$C$2:$C$12</c:f>
              <c:numCache>
                <c:formatCode>General</c:formatCode>
                <c:ptCount val="11"/>
                <c:pt idx="0">
                  <c:v>3.5</c:v>
                </c:pt>
                <c:pt idx="1">
                  <c:v>7</c:v>
                </c:pt>
                <c:pt idx="2">
                  <c:v>13</c:v>
                </c:pt>
                <c:pt idx="3">
                  <c:v>20</c:v>
                </c:pt>
                <c:pt idx="4">
                  <c:v>6.5</c:v>
                </c:pt>
                <c:pt idx="5">
                  <c:v>25.6</c:v>
                </c:pt>
                <c:pt idx="6">
                  <c:v>6.2</c:v>
                </c:pt>
                <c:pt idx="7">
                  <c:v>2.1</c:v>
                </c:pt>
                <c:pt idx="8">
                  <c:v>15.1</c:v>
                </c:pt>
                <c:pt idx="9">
                  <c:v>38</c:v>
                </c:pt>
                <c:pt idx="10">
                  <c:v>-16.899999999999999</c:v>
                </c:pt>
              </c:numCache>
            </c:numRef>
          </c:val>
          <c:extLst>
            <c:ext xmlns:c16="http://schemas.microsoft.com/office/drawing/2014/chart" uri="{C3380CC4-5D6E-409C-BE32-E72D297353CC}">
              <c16:uniqueId val="{00000001-DF2E-434B-B02B-E86C6ACE8022}"/>
            </c:ext>
          </c:extLst>
        </c:ser>
        <c:ser>
          <c:idx val="2"/>
          <c:order val="2"/>
          <c:tx>
            <c:strRef>
              <c:f>Sheet2!$D$1</c:f>
              <c:strCache>
                <c:ptCount val="1"/>
                <c:pt idx="0">
                  <c:v>During COVID (2021)</c:v>
                </c:pt>
              </c:strCache>
            </c:strRef>
          </c:tx>
          <c:spPr>
            <a:solidFill>
              <a:schemeClr val="accent3"/>
            </a:solidFill>
            <a:ln>
              <a:noFill/>
            </a:ln>
            <a:effectLst/>
          </c:spPr>
          <c:invertIfNegative val="0"/>
          <c:cat>
            <c:strRef>
              <c:f>Sheet2!$A$2:$A$12</c:f>
              <c:strCache>
                <c:ptCount val="11"/>
                <c:pt idx="0">
                  <c:v>GDP Growth Rate (%)</c:v>
                </c:pt>
                <c:pt idx="1">
                  <c:v>Contribution of RMG to GDP (%)</c:v>
                </c:pt>
                <c:pt idx="2">
                  <c:v>Contribution of Agriculture to GDP (%)</c:v>
                </c:pt>
                <c:pt idx="3">
                  <c:v>Contribution of SMEs to GDP (%)</c:v>
                </c:pt>
                <c:pt idx="4">
                  <c:v>Unemployment Rate (%)</c:v>
                </c:pt>
                <c:pt idx="5">
                  <c:v>Poverty Rate (%)</c:v>
                </c:pt>
                <c:pt idx="6">
                  <c:v>Inflation Rate (%)</c:v>
                </c:pt>
                <c:pt idx="7">
                  <c:v>Foreign Direct Investment (FDI) Inflow (USD Billion)</c:v>
                </c:pt>
                <c:pt idx="8">
                  <c:v>Remittances (USD Billion)</c:v>
                </c:pt>
                <c:pt idx="9">
                  <c:v>Government Debt to GDP (%)</c:v>
                </c:pt>
                <c:pt idx="10">
                  <c:v>Export Growth Rate (%)</c:v>
                </c:pt>
              </c:strCache>
            </c:strRef>
          </c:cat>
          <c:val>
            <c:numRef>
              <c:f>Sheet2!$D$2:$D$12</c:f>
              <c:numCache>
                <c:formatCode>General</c:formatCode>
                <c:ptCount val="11"/>
                <c:pt idx="0">
                  <c:v>5.5</c:v>
                </c:pt>
                <c:pt idx="1">
                  <c:v>8.5</c:v>
                </c:pt>
                <c:pt idx="2">
                  <c:v>13.5</c:v>
                </c:pt>
                <c:pt idx="3">
                  <c:v>22.5</c:v>
                </c:pt>
                <c:pt idx="4">
                  <c:v>5.8</c:v>
                </c:pt>
                <c:pt idx="5">
                  <c:v>24</c:v>
                </c:pt>
                <c:pt idx="6">
                  <c:v>5.8</c:v>
                </c:pt>
                <c:pt idx="7">
                  <c:v>2.7</c:v>
                </c:pt>
                <c:pt idx="8">
                  <c:v>19.8</c:v>
                </c:pt>
                <c:pt idx="9">
                  <c:v>39.5</c:v>
                </c:pt>
                <c:pt idx="10">
                  <c:v>13.4</c:v>
                </c:pt>
              </c:numCache>
            </c:numRef>
          </c:val>
          <c:extLst>
            <c:ext xmlns:c16="http://schemas.microsoft.com/office/drawing/2014/chart" uri="{C3380CC4-5D6E-409C-BE32-E72D297353CC}">
              <c16:uniqueId val="{00000002-DF2E-434B-B02B-E86C6ACE8022}"/>
            </c:ext>
          </c:extLst>
        </c:ser>
        <c:ser>
          <c:idx val="3"/>
          <c:order val="3"/>
          <c:tx>
            <c:strRef>
              <c:f>Sheet2!$E$1</c:f>
              <c:strCache>
                <c:ptCount val="1"/>
                <c:pt idx="0">
                  <c:v>Change (%)</c:v>
                </c:pt>
              </c:strCache>
            </c:strRef>
          </c:tx>
          <c:spPr>
            <a:solidFill>
              <a:schemeClr val="accent4"/>
            </a:solidFill>
            <a:ln>
              <a:noFill/>
            </a:ln>
            <a:effectLst/>
          </c:spPr>
          <c:invertIfNegative val="0"/>
          <c:cat>
            <c:strRef>
              <c:f>Sheet2!$A$2:$A$12</c:f>
              <c:strCache>
                <c:ptCount val="11"/>
                <c:pt idx="0">
                  <c:v>GDP Growth Rate (%)</c:v>
                </c:pt>
                <c:pt idx="1">
                  <c:v>Contribution of RMG to GDP (%)</c:v>
                </c:pt>
                <c:pt idx="2">
                  <c:v>Contribution of Agriculture to GDP (%)</c:v>
                </c:pt>
                <c:pt idx="3">
                  <c:v>Contribution of SMEs to GDP (%)</c:v>
                </c:pt>
                <c:pt idx="4">
                  <c:v>Unemployment Rate (%)</c:v>
                </c:pt>
                <c:pt idx="5">
                  <c:v>Poverty Rate (%)</c:v>
                </c:pt>
                <c:pt idx="6">
                  <c:v>Inflation Rate (%)</c:v>
                </c:pt>
                <c:pt idx="7">
                  <c:v>Foreign Direct Investment (FDI) Inflow (USD Billion)</c:v>
                </c:pt>
                <c:pt idx="8">
                  <c:v>Remittances (USD Billion)</c:v>
                </c:pt>
                <c:pt idx="9">
                  <c:v>Government Debt to GDP (%)</c:v>
                </c:pt>
                <c:pt idx="10">
                  <c:v>Export Growth Rate (%)</c:v>
                </c:pt>
              </c:strCache>
            </c:strRef>
          </c:cat>
          <c:val>
            <c:numRef>
              <c:f>Sheet2!$E$2:$E$12</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3-DF2E-434B-B02B-E86C6ACE8022}"/>
            </c:ext>
          </c:extLst>
        </c:ser>
        <c:dLbls>
          <c:showLegendKey val="0"/>
          <c:showVal val="0"/>
          <c:showCatName val="0"/>
          <c:showSerName val="0"/>
          <c:showPercent val="0"/>
          <c:showBubbleSize val="0"/>
        </c:dLbls>
        <c:gapWidth val="150"/>
        <c:overlap val="100"/>
        <c:axId val="996336976"/>
        <c:axId val="996336144"/>
      </c:barChart>
      <c:catAx>
        <c:axId val="9963369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6336144"/>
        <c:crosses val="autoZero"/>
        <c:auto val="1"/>
        <c:lblAlgn val="ctr"/>
        <c:lblOffset val="100"/>
        <c:noMultiLvlLbl val="0"/>
      </c:catAx>
      <c:valAx>
        <c:axId val="9963361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6336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Sheet3!$B$1</c:f>
              <c:strCache>
                <c:ptCount val="1"/>
                <c:pt idx="0">
                  <c:v>Pre-COVID (2019)</c:v>
                </c:pt>
              </c:strCache>
            </c:strRef>
          </c:tx>
          <c:spPr>
            <a:solidFill>
              <a:schemeClr val="accent1"/>
            </a:solidFill>
            <a:ln>
              <a:noFill/>
            </a:ln>
            <a:effectLst/>
          </c:spPr>
          <c:invertIfNegative val="0"/>
          <c:cat>
            <c:strRef>
              <c:f>Sheet3!$A$2:$A$11</c:f>
              <c:strCache>
                <c:ptCount val="10"/>
                <c:pt idx="0">
                  <c:v>GDP Growth Rate (%)</c:v>
                </c:pt>
                <c:pt idx="1">
                  <c:v>Poverty Rate (%)</c:v>
                </c:pt>
                <c:pt idx="2">
                  <c:v>Unemployment Rate (%)</c:v>
                </c:pt>
                <c:pt idx="3">
                  <c:v>Inflation Rate (%)</c:v>
                </c:pt>
                <c:pt idx="4">
                  <c:v>Remittances (USD Billion)</c:v>
                </c:pt>
                <c:pt idx="5">
                  <c:v>FDI Inflow (USD Billion)</c:v>
                </c:pt>
                <c:pt idx="6">
                  <c:v>Export Growth Rate (%)</c:v>
                </c:pt>
                <c:pt idx="7">
                  <c:v>Contribution of RMG to GDP (%)</c:v>
                </c:pt>
                <c:pt idx="8">
                  <c:v>Contribution of Agriculture to GDP (%)</c:v>
                </c:pt>
                <c:pt idx="9">
                  <c:v>Government Debt to GDP (%)</c:v>
                </c:pt>
              </c:strCache>
            </c:strRef>
          </c:cat>
          <c:val>
            <c:numRef>
              <c:f>Sheet3!$B$2:$B$11</c:f>
              <c:numCache>
                <c:formatCode>General</c:formatCode>
                <c:ptCount val="10"/>
                <c:pt idx="0">
                  <c:v>8.1999999999999993</c:v>
                </c:pt>
                <c:pt idx="1">
                  <c:v>20.5</c:v>
                </c:pt>
                <c:pt idx="2">
                  <c:v>4.2</c:v>
                </c:pt>
                <c:pt idx="3">
                  <c:v>5.5</c:v>
                </c:pt>
                <c:pt idx="4">
                  <c:v>18.3</c:v>
                </c:pt>
                <c:pt idx="5">
                  <c:v>3.6</c:v>
                </c:pt>
                <c:pt idx="6">
                  <c:v>10.1</c:v>
                </c:pt>
                <c:pt idx="7">
                  <c:v>11.2</c:v>
                </c:pt>
                <c:pt idx="8">
                  <c:v>14.2</c:v>
                </c:pt>
                <c:pt idx="9">
                  <c:v>34.6</c:v>
                </c:pt>
              </c:numCache>
            </c:numRef>
          </c:val>
          <c:extLst>
            <c:ext xmlns:c16="http://schemas.microsoft.com/office/drawing/2014/chart" uri="{C3380CC4-5D6E-409C-BE32-E72D297353CC}">
              <c16:uniqueId val="{00000000-997C-4808-A6B0-CDC8C6EDE205}"/>
            </c:ext>
          </c:extLst>
        </c:ser>
        <c:ser>
          <c:idx val="1"/>
          <c:order val="1"/>
          <c:tx>
            <c:strRef>
              <c:f>Sheet3!$C$1</c:f>
              <c:strCache>
                <c:ptCount val="1"/>
                <c:pt idx="0">
                  <c:v>During COVID (2020)</c:v>
                </c:pt>
              </c:strCache>
            </c:strRef>
          </c:tx>
          <c:spPr>
            <a:solidFill>
              <a:schemeClr val="accent2"/>
            </a:solidFill>
            <a:ln>
              <a:noFill/>
            </a:ln>
            <a:effectLst/>
          </c:spPr>
          <c:invertIfNegative val="0"/>
          <c:cat>
            <c:strRef>
              <c:f>Sheet3!$A$2:$A$11</c:f>
              <c:strCache>
                <c:ptCount val="10"/>
                <c:pt idx="0">
                  <c:v>GDP Growth Rate (%)</c:v>
                </c:pt>
                <c:pt idx="1">
                  <c:v>Poverty Rate (%)</c:v>
                </c:pt>
                <c:pt idx="2">
                  <c:v>Unemployment Rate (%)</c:v>
                </c:pt>
                <c:pt idx="3">
                  <c:v>Inflation Rate (%)</c:v>
                </c:pt>
                <c:pt idx="4">
                  <c:v>Remittances (USD Billion)</c:v>
                </c:pt>
                <c:pt idx="5">
                  <c:v>FDI Inflow (USD Billion)</c:v>
                </c:pt>
                <c:pt idx="6">
                  <c:v>Export Growth Rate (%)</c:v>
                </c:pt>
                <c:pt idx="7">
                  <c:v>Contribution of RMG to GDP (%)</c:v>
                </c:pt>
                <c:pt idx="8">
                  <c:v>Contribution of Agriculture to GDP (%)</c:v>
                </c:pt>
                <c:pt idx="9">
                  <c:v>Government Debt to GDP (%)</c:v>
                </c:pt>
              </c:strCache>
            </c:strRef>
          </c:cat>
          <c:val>
            <c:numRef>
              <c:f>Sheet3!$C$2:$C$11</c:f>
              <c:numCache>
                <c:formatCode>General</c:formatCode>
                <c:ptCount val="10"/>
                <c:pt idx="0">
                  <c:v>3.5</c:v>
                </c:pt>
                <c:pt idx="1">
                  <c:v>25.6</c:v>
                </c:pt>
                <c:pt idx="2">
                  <c:v>6.5</c:v>
                </c:pt>
                <c:pt idx="3">
                  <c:v>6.2</c:v>
                </c:pt>
                <c:pt idx="4">
                  <c:v>15.1</c:v>
                </c:pt>
                <c:pt idx="5">
                  <c:v>2.1</c:v>
                </c:pt>
                <c:pt idx="6">
                  <c:v>-16.899999999999999</c:v>
                </c:pt>
                <c:pt idx="7">
                  <c:v>7</c:v>
                </c:pt>
                <c:pt idx="8">
                  <c:v>13</c:v>
                </c:pt>
                <c:pt idx="9">
                  <c:v>38</c:v>
                </c:pt>
              </c:numCache>
            </c:numRef>
          </c:val>
          <c:extLst>
            <c:ext xmlns:c16="http://schemas.microsoft.com/office/drawing/2014/chart" uri="{C3380CC4-5D6E-409C-BE32-E72D297353CC}">
              <c16:uniqueId val="{00000001-997C-4808-A6B0-CDC8C6EDE205}"/>
            </c:ext>
          </c:extLst>
        </c:ser>
        <c:ser>
          <c:idx val="2"/>
          <c:order val="2"/>
          <c:tx>
            <c:strRef>
              <c:f>Sheet3!$D$1</c:f>
              <c:strCache>
                <c:ptCount val="1"/>
                <c:pt idx="0">
                  <c:v>Recovery Phase (2021)</c:v>
                </c:pt>
              </c:strCache>
            </c:strRef>
          </c:tx>
          <c:spPr>
            <a:solidFill>
              <a:schemeClr val="accent3"/>
            </a:solidFill>
            <a:ln>
              <a:noFill/>
            </a:ln>
            <a:effectLst/>
          </c:spPr>
          <c:invertIfNegative val="0"/>
          <c:cat>
            <c:strRef>
              <c:f>Sheet3!$A$2:$A$11</c:f>
              <c:strCache>
                <c:ptCount val="10"/>
                <c:pt idx="0">
                  <c:v>GDP Growth Rate (%)</c:v>
                </c:pt>
                <c:pt idx="1">
                  <c:v>Poverty Rate (%)</c:v>
                </c:pt>
                <c:pt idx="2">
                  <c:v>Unemployment Rate (%)</c:v>
                </c:pt>
                <c:pt idx="3">
                  <c:v>Inflation Rate (%)</c:v>
                </c:pt>
                <c:pt idx="4">
                  <c:v>Remittances (USD Billion)</c:v>
                </c:pt>
                <c:pt idx="5">
                  <c:v>FDI Inflow (USD Billion)</c:v>
                </c:pt>
                <c:pt idx="6">
                  <c:v>Export Growth Rate (%)</c:v>
                </c:pt>
                <c:pt idx="7">
                  <c:v>Contribution of RMG to GDP (%)</c:v>
                </c:pt>
                <c:pt idx="8">
                  <c:v>Contribution of Agriculture to GDP (%)</c:v>
                </c:pt>
                <c:pt idx="9">
                  <c:v>Government Debt to GDP (%)</c:v>
                </c:pt>
              </c:strCache>
            </c:strRef>
          </c:cat>
          <c:val>
            <c:numRef>
              <c:f>Sheet3!$D$2:$D$11</c:f>
              <c:numCache>
                <c:formatCode>General</c:formatCode>
                <c:ptCount val="10"/>
                <c:pt idx="0">
                  <c:v>5.5</c:v>
                </c:pt>
                <c:pt idx="1">
                  <c:v>24</c:v>
                </c:pt>
                <c:pt idx="2">
                  <c:v>5.8</c:v>
                </c:pt>
                <c:pt idx="3">
                  <c:v>5.8</c:v>
                </c:pt>
                <c:pt idx="4">
                  <c:v>19.8</c:v>
                </c:pt>
                <c:pt idx="5">
                  <c:v>2.7</c:v>
                </c:pt>
                <c:pt idx="6">
                  <c:v>13.4</c:v>
                </c:pt>
                <c:pt idx="7">
                  <c:v>8.5</c:v>
                </c:pt>
                <c:pt idx="8">
                  <c:v>13.5</c:v>
                </c:pt>
                <c:pt idx="9">
                  <c:v>39.5</c:v>
                </c:pt>
              </c:numCache>
            </c:numRef>
          </c:val>
          <c:extLst>
            <c:ext xmlns:c16="http://schemas.microsoft.com/office/drawing/2014/chart" uri="{C3380CC4-5D6E-409C-BE32-E72D297353CC}">
              <c16:uniqueId val="{00000002-997C-4808-A6B0-CDC8C6EDE205}"/>
            </c:ext>
          </c:extLst>
        </c:ser>
        <c:ser>
          <c:idx val="3"/>
          <c:order val="3"/>
          <c:tx>
            <c:strRef>
              <c:f>Sheet3!$E$1</c:f>
              <c:strCache>
                <c:ptCount val="1"/>
                <c:pt idx="0">
                  <c:v>Post-COVID (2022)</c:v>
                </c:pt>
              </c:strCache>
            </c:strRef>
          </c:tx>
          <c:spPr>
            <a:solidFill>
              <a:schemeClr val="accent4"/>
            </a:solidFill>
            <a:ln>
              <a:noFill/>
            </a:ln>
            <a:effectLst/>
          </c:spPr>
          <c:invertIfNegative val="0"/>
          <c:cat>
            <c:strRef>
              <c:f>Sheet3!$A$2:$A$11</c:f>
              <c:strCache>
                <c:ptCount val="10"/>
                <c:pt idx="0">
                  <c:v>GDP Growth Rate (%)</c:v>
                </c:pt>
                <c:pt idx="1">
                  <c:v>Poverty Rate (%)</c:v>
                </c:pt>
                <c:pt idx="2">
                  <c:v>Unemployment Rate (%)</c:v>
                </c:pt>
                <c:pt idx="3">
                  <c:v>Inflation Rate (%)</c:v>
                </c:pt>
                <c:pt idx="4">
                  <c:v>Remittances (USD Billion)</c:v>
                </c:pt>
                <c:pt idx="5">
                  <c:v>FDI Inflow (USD Billion)</c:v>
                </c:pt>
                <c:pt idx="6">
                  <c:v>Export Growth Rate (%)</c:v>
                </c:pt>
                <c:pt idx="7">
                  <c:v>Contribution of RMG to GDP (%)</c:v>
                </c:pt>
                <c:pt idx="8">
                  <c:v>Contribution of Agriculture to GDP (%)</c:v>
                </c:pt>
                <c:pt idx="9">
                  <c:v>Government Debt to GDP (%)</c:v>
                </c:pt>
              </c:strCache>
            </c:strRef>
          </c:cat>
          <c:val>
            <c:numRef>
              <c:f>Sheet3!$E$2:$E$11</c:f>
              <c:numCache>
                <c:formatCode>General</c:formatCode>
                <c:ptCount val="10"/>
                <c:pt idx="0">
                  <c:v>6.9</c:v>
                </c:pt>
                <c:pt idx="1">
                  <c:v>22.8</c:v>
                </c:pt>
                <c:pt idx="2">
                  <c:v>4.9000000000000004</c:v>
                </c:pt>
                <c:pt idx="3">
                  <c:v>6</c:v>
                </c:pt>
                <c:pt idx="4">
                  <c:v>21.3</c:v>
                </c:pt>
                <c:pt idx="5">
                  <c:v>3.1</c:v>
                </c:pt>
                <c:pt idx="6">
                  <c:v>9.8000000000000007</c:v>
                </c:pt>
                <c:pt idx="7">
                  <c:v>9.6999999999999993</c:v>
                </c:pt>
                <c:pt idx="8">
                  <c:v>13.8</c:v>
                </c:pt>
                <c:pt idx="9">
                  <c:v>37.200000000000003</c:v>
                </c:pt>
              </c:numCache>
            </c:numRef>
          </c:val>
          <c:extLst>
            <c:ext xmlns:c16="http://schemas.microsoft.com/office/drawing/2014/chart" uri="{C3380CC4-5D6E-409C-BE32-E72D297353CC}">
              <c16:uniqueId val="{00000003-997C-4808-A6B0-CDC8C6EDE205}"/>
            </c:ext>
          </c:extLst>
        </c:ser>
        <c:ser>
          <c:idx val="4"/>
          <c:order val="4"/>
          <c:tx>
            <c:strRef>
              <c:f>Sheet3!$F$1</c:f>
              <c:strCache>
                <c:ptCount val="1"/>
                <c:pt idx="0">
                  <c:v>Change (2019-2022)</c:v>
                </c:pt>
              </c:strCache>
            </c:strRef>
          </c:tx>
          <c:spPr>
            <a:solidFill>
              <a:schemeClr val="accent5"/>
            </a:solidFill>
            <a:ln>
              <a:noFill/>
            </a:ln>
            <a:effectLst/>
          </c:spPr>
          <c:invertIfNegative val="0"/>
          <c:cat>
            <c:strRef>
              <c:f>Sheet3!$A$2:$A$11</c:f>
              <c:strCache>
                <c:ptCount val="10"/>
                <c:pt idx="0">
                  <c:v>GDP Growth Rate (%)</c:v>
                </c:pt>
                <c:pt idx="1">
                  <c:v>Poverty Rate (%)</c:v>
                </c:pt>
                <c:pt idx="2">
                  <c:v>Unemployment Rate (%)</c:v>
                </c:pt>
                <c:pt idx="3">
                  <c:v>Inflation Rate (%)</c:v>
                </c:pt>
                <c:pt idx="4">
                  <c:v>Remittances (USD Billion)</c:v>
                </c:pt>
                <c:pt idx="5">
                  <c:v>FDI Inflow (USD Billion)</c:v>
                </c:pt>
                <c:pt idx="6">
                  <c:v>Export Growth Rate (%)</c:v>
                </c:pt>
                <c:pt idx="7">
                  <c:v>Contribution of RMG to GDP (%)</c:v>
                </c:pt>
                <c:pt idx="8">
                  <c:v>Contribution of Agriculture to GDP (%)</c:v>
                </c:pt>
                <c:pt idx="9">
                  <c:v>Government Debt to GDP (%)</c:v>
                </c:pt>
              </c:strCache>
            </c:strRef>
          </c:cat>
          <c:val>
            <c:numRef>
              <c:f>Sheet3!$F$2:$F$11</c:f>
              <c:numCache>
                <c:formatCode>0.00%</c:formatCode>
                <c:ptCount val="10"/>
                <c:pt idx="0">
                  <c:v>-0.159</c:v>
                </c:pt>
                <c:pt idx="1">
                  <c:v>0.112</c:v>
                </c:pt>
                <c:pt idx="2">
                  <c:v>0.16700000000000001</c:v>
                </c:pt>
                <c:pt idx="3">
                  <c:v>9.0999999999999998E-2</c:v>
                </c:pt>
                <c:pt idx="4">
                  <c:v>0.16400000000000001</c:v>
                </c:pt>
                <c:pt idx="5">
                  <c:v>-0.13900000000000001</c:v>
                </c:pt>
                <c:pt idx="6">
                  <c:v>-3.0000000000000001E-3</c:v>
                </c:pt>
                <c:pt idx="7">
                  <c:v>-0.13400000000000001</c:v>
                </c:pt>
                <c:pt idx="8">
                  <c:v>-2.8000000000000001E-2</c:v>
                </c:pt>
                <c:pt idx="9">
                  <c:v>7.4999999999999997E-2</c:v>
                </c:pt>
              </c:numCache>
            </c:numRef>
          </c:val>
          <c:extLst>
            <c:ext xmlns:c16="http://schemas.microsoft.com/office/drawing/2014/chart" uri="{C3380CC4-5D6E-409C-BE32-E72D297353CC}">
              <c16:uniqueId val="{00000004-997C-4808-A6B0-CDC8C6EDE205}"/>
            </c:ext>
          </c:extLst>
        </c:ser>
        <c:dLbls>
          <c:showLegendKey val="0"/>
          <c:showVal val="0"/>
          <c:showCatName val="0"/>
          <c:showSerName val="0"/>
          <c:showPercent val="0"/>
          <c:showBubbleSize val="0"/>
        </c:dLbls>
        <c:gapWidth val="150"/>
        <c:overlap val="100"/>
        <c:axId val="925764848"/>
        <c:axId val="925767344"/>
      </c:barChart>
      <c:catAx>
        <c:axId val="9257648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5767344"/>
        <c:crosses val="autoZero"/>
        <c:auto val="1"/>
        <c:lblAlgn val="ctr"/>
        <c:lblOffset val="100"/>
        <c:noMultiLvlLbl val="0"/>
      </c:catAx>
      <c:valAx>
        <c:axId val="925767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5764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8</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AHAD SHEAKH</dc:creator>
  <cp:keywords/>
  <dc:description/>
  <cp:lastModifiedBy>MD AHAD SHEAKH</cp:lastModifiedBy>
  <cp:revision>5</cp:revision>
  <dcterms:created xsi:type="dcterms:W3CDTF">2024-10-07T06:28:00Z</dcterms:created>
  <dcterms:modified xsi:type="dcterms:W3CDTF">2024-10-07T17:04:00Z</dcterms:modified>
</cp:coreProperties>
</file>