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Arial" w:cs="Arial" w:eastAsia="Arial" w:hAnsi="Arial"/>
          <w:b/>
          <w:bCs/>
          <w:color w:val="0C5F5F"/>
          <w:sz w:val="22"/>
          <w:szCs w:val="22"/>
        </w:rPr>
        <w:t xml:space="preserve">RESEARCH PROPOSAL</w:t>
      </w:r>
    </w:p>
    <w:p>
      <w:pPr>
        <w:spacing w:after="100"/>
        <w:jc w:val="center"/>
      </w:pPr>
      <w:r>
        <w:rPr>
          <w:rFonts w:ascii="Arial" w:cs="Arial" w:eastAsia="Arial" w:hAnsi="Arial"/>
          <w:b/>
          <w:bCs/>
          <w:color w:val="0D2B4E"/>
          <w:sz w:val="52"/>
          <w:szCs w:val="52"/>
        </w:rPr>
        <w:t xml:space="preserve">ClinicalSOP-RAG:</w:t>
      </w:r>
    </w:p>
    <w:p>
      <w:pPr>
        <w:spacing w:after="60"/>
        <w:jc w:val="center"/>
      </w:pPr>
      <w:r>
        <w:rPr>
          <w:rFonts w:ascii="Arial" w:cs="Arial" w:eastAsia="Arial" w:hAnsi="Arial"/>
          <w:b/>
          <w:bCs/>
          <w:color w:val="0D2B4E"/>
          <w:sz w:val="36"/>
          <w:szCs w:val="36"/>
        </w:rPr>
        <w:t xml:space="preserve">A Retrieval-Augmented Generation System</w:t>
      </w:r>
    </w:p>
    <w:p>
      <w:pPr>
        <w:spacing w:after="60"/>
        <w:jc w:val="center"/>
      </w:pPr>
      <w:r>
        <w:rPr>
          <w:rFonts w:ascii="Arial" w:cs="Arial" w:eastAsia="Arial" w:hAnsi="Arial"/>
          <w:b/>
          <w:bCs/>
          <w:color w:val="0D2B4E"/>
          <w:sz w:val="36"/>
          <w:szCs w:val="36"/>
        </w:rPr>
        <w:t xml:space="preserve">for Hospital SOP Query with</w:t>
      </w:r>
    </w:p>
    <w:p>
      <w:pPr>
        <w:spacing w:after="440"/>
        <w:jc w:val="center"/>
      </w:pPr>
      <w:r>
        <w:rPr>
          <w:rFonts w:ascii="Arial" w:cs="Arial" w:eastAsia="Arial" w:hAnsi="Arial"/>
          <w:b/>
          <w:bCs/>
          <w:color w:val="1A5FA8"/>
          <w:sz w:val="36"/>
          <w:szCs w:val="36"/>
        </w:rPr>
        <w:t xml:space="preserve">Procedural Faithfulness Evaluation</w:t>
      </w:r>
    </w:p>
    <w:p>
      <w:pPr>
        <w:pBdr>
          <w:bottom w:val="single" w:color="1A5FA8" w:sz="8" w:space="1"/>
        </w:pBdr>
        <w:spacing w:after="180"/>
      </w:pPr>
    </w:p>
    <w:p>
      <w:pPr>
        <w:spacing w:after="80"/>
        <w:jc w:val="center"/>
      </w:pPr>
      <w:r>
        <w:rPr>
          <w:rFonts w:ascii="Arial" w:cs="Arial" w:eastAsia="Arial" w:hAnsi="Arial"/>
          <w:b/>
          <w:bCs/>
          <w:color w:val="0D2B4E"/>
          <w:sz w:val="22"/>
          <w:szCs w:val="22"/>
        </w:rPr>
        <w:t xml:space="preserve">Prepared for: </w:t>
      </w:r>
      <w:r>
        <w:rPr>
          <w:rFonts w:ascii="Arial" w:cs="Arial" w:eastAsia="Arial" w:hAnsi="Arial"/>
          <w:b w:val="false"/>
          <w:bCs w:val="false"/>
          <w:color w:val="383838"/>
          <w:sz w:val="22"/>
          <w:szCs w:val="22"/>
        </w:rPr>
        <w:t xml:space="preserve">Professor Pitch / Research Project Proposal</w:t>
      </w:r>
    </w:p>
    <w:p>
      <w:pPr>
        <w:spacing w:after="80"/>
        <w:jc w:val="center"/>
      </w:pPr>
      <w:r>
        <w:rPr>
          <w:rFonts w:ascii="Arial" w:cs="Arial" w:eastAsia="Arial" w:hAnsi="Arial"/>
          <w:b/>
          <w:bCs/>
          <w:color w:val="0D2B4E"/>
          <w:sz w:val="22"/>
          <w:szCs w:val="22"/>
        </w:rPr>
        <w:t xml:space="preserve">Author: </w:t>
      </w:r>
      <w:r>
        <w:rPr>
          <w:rFonts w:ascii="Arial" w:cs="Arial" w:eastAsia="Arial" w:hAnsi="Arial"/>
          <w:b w:val="false"/>
          <w:bCs w:val="false"/>
          <w:color w:val="383838"/>
          <w:sz w:val="22"/>
          <w:szCs w:val="22"/>
        </w:rPr>
        <w:t xml:space="preserve">Faisal</w:t>
      </w:r>
    </w:p>
    <w:p>
      <w:pPr>
        <w:spacing w:after="80"/>
        <w:jc w:val="center"/>
      </w:pPr>
      <w:r>
        <w:rPr>
          <w:rFonts w:ascii="Arial" w:cs="Arial" w:eastAsia="Arial" w:hAnsi="Arial"/>
          <w:b/>
          <w:bCs/>
          <w:color w:val="0D2B4E"/>
          <w:sz w:val="22"/>
          <w:szCs w:val="22"/>
        </w:rPr>
        <w:t xml:space="preserve">Date: </w:t>
      </w:r>
      <w:r>
        <w:rPr>
          <w:rFonts w:ascii="Arial" w:cs="Arial" w:eastAsia="Arial" w:hAnsi="Arial"/>
          <w:b w:val="false"/>
          <w:bCs w:val="false"/>
          <w:color w:val="383838"/>
          <w:sz w:val="22"/>
          <w:szCs w:val="22"/>
        </w:rPr>
        <w:t xml:space="preserve">June 2026</w:t>
      </w:r>
    </w:p>
    <w:p>
      <w:pPr>
        <w:spacing w:after="400"/>
        <w:jc w:val="center"/>
      </w:pPr>
      <w:r>
        <w:rPr>
          <w:rFonts w:ascii="Arial" w:cs="Arial" w:eastAsia="Arial" w:hAnsi="Arial"/>
          <w:b/>
          <w:bCs/>
          <w:color w:val="0D2B4E"/>
          <w:sz w:val="22"/>
          <w:szCs w:val="22"/>
        </w:rPr>
        <w:t xml:space="preserve">Target Venues: </w:t>
      </w:r>
      <w:r>
        <w:rPr>
          <w:rFonts w:ascii="Arial" w:cs="Arial" w:eastAsia="Arial" w:hAnsi="Arial"/>
          <w:b w:val="false"/>
          <w:bCs w:val="false"/>
          <w:color w:val="383838"/>
          <w:sz w:val="22"/>
          <w:szCs w:val="22"/>
        </w:rPr>
        <w:t xml:space="preserve">JAMIA  |  npj Digital Medicine  |  ACL BioNLP Workshop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1"/>
              <w:left w:val="single" w:color="0D2B4E" w:sz="1"/>
              <w:bottom w:val="single" w:color="0D2B4E" w:sz="1"/>
              <w:right w:val="single" w:color="0D2B4E" w:sz="1"/>
            </w:tcBorders>
            <w:shd w:fill="0D2B4E" w:val="clear"/>
            <w:tcMar>
              <w:top w:type="dxa" w:w="110"/>
              <w:left w:type="dxa" w:w="150"/>
              <w:bottom w:type="dxa" w:w="110"/>
              <w:right w:type="dxa" w:w="150"/>
            </w:tcMar>
          </w:tcPr>
          <w:p>
            <w:pPr>
              <w:spacing w:after="0"/>
              <w:jc w:val="left"/>
            </w:pPr>
            <w:r>
              <w:rPr>
                <w:rFonts w:ascii="Arial" w:cs="Arial" w:eastAsia="Arial" w:hAnsi="Arial"/>
                <w:b/>
                <w:bCs/>
                <w:color w:val="FFFFFF"/>
                <w:sz w:val="21"/>
                <w:szCs w:val="21"/>
              </w:rPr>
              <w:t xml:space="preserve">ONE-SENTENCE RESEARCH CONTRIBUTION</w:t>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We define and operationalize 'Procedural Faithfulness' — a novel evaluation dimension for clinical NLP — and build the first RAG-based QA benchmark specifically designed to assess whether AI systems correctly preserve the decision logic, clinical thresholds, and action sequences embedded in hospital Standard Operating Procedures.</w:t>
            </w:r>
          </w:p>
        </w:tc>
      </w:tr>
    </w:tbl>
    <w:p>
      <w:pPr>
        <w:spacing w:after="3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1"/>
              <w:left w:val="single" w:color="0D2B4E" w:sz="1"/>
              <w:bottom w:val="single" w:color="0D2B4E" w:sz="1"/>
              <w:right w:val="single" w:color="0D2B4E" w:sz="1"/>
            </w:tcBorders>
            <w:shd w:fill="0D2B4E" w:val="clear"/>
            <w:tcMar>
              <w:top w:type="dxa" w:w="140"/>
              <w:left w:type="dxa" w:w="180"/>
              <w:bottom w:type="dxa" w:w="140"/>
              <w:right w:type="dxa" w:w="180"/>
            </w:tcMar>
          </w:tcPr>
          <w:p>
            <w:pPr>
              <w:spacing w:after="0"/>
              <w:jc w:val="left"/>
            </w:pPr>
            <w:r>
              <w:rPr>
                <w:rFonts w:ascii="Arial" w:cs="Arial" w:eastAsia="Arial" w:hAnsi="Arial"/>
                <w:b/>
                <w:bCs/>
                <w:color w:val="FFFFFF"/>
                <w:sz w:val="24"/>
                <w:szCs w:val="24"/>
              </w:rPr>
              <w:t xml:space="preserve">1.  THE SELECTED IDEA — AND WHY THIS ONE</w:t>
            </w:r>
          </w:p>
        </w:tc>
      </w:tr>
    </w:tbl>
    <w:p>
      <w:pPr>
        <w:spacing w:after="80"/>
      </w:pPr>
    </w:p>
    <w:p>
      <w:pPr>
        <w:pStyle w:val="Heading2"/>
        <w:spacing w:after="120" w:before="280"/>
      </w:pPr>
      <w:r>
        <w:rPr>
          <w:rFonts w:ascii="Arial" w:cs="Arial" w:eastAsia="Arial" w:hAnsi="Arial"/>
          <w:b/>
          <w:bCs/>
          <w:color w:val="1A5FA8"/>
          <w:sz w:val="28"/>
          <w:szCs w:val="28"/>
        </w:rPr>
        <w:t xml:space="preserve">Why Not the Others: Internal Decision Rationale</w:t>
      </w:r>
    </w:p>
    <w:p>
      <w:pPr>
        <w:spacing w:after="140"/>
        <w:jc w:val="left"/>
      </w:pPr>
      <w:r>
        <w:rPr>
          <w:rFonts w:ascii="Arial" w:cs="Arial" w:eastAsia="Arial" w:hAnsi="Arial"/>
          <w:b w:val="false"/>
          <w:bCs w:val="false"/>
          <w:color w:val="383838"/>
          <w:sz w:val="22"/>
          <w:szCs w:val="22"/>
        </w:rPr>
        <w:t xml:space="preserve">Before committing to this idea, seven candidate directions were evaluated against three criteria: real-world impact, research feasibility, and genuine novelty. The elimination logic is as follows: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2B4E" w:val="clear"/>
            <w:tcMar>
              <w:top w:type="dxa" w:w="110"/>
              <w:left w:type="dxa" w:w="150"/>
              <w:bottom w:type="dxa" w:w="110"/>
              <w:right w:type="dxa" w:w="150"/>
            </w:tcMar>
          </w:tcPr>
          <w:p>
            <w:pPr>
              <w:spacing w:after="0"/>
              <w:jc w:val="left"/>
            </w:pPr>
            <w:r>
              <w:rPr>
                <w:rFonts w:ascii="Arial" w:cs="Arial" w:eastAsia="Arial" w:hAnsi="Arial"/>
                <w:b/>
                <w:bCs/>
                <w:color w:val="FFFFFF"/>
                <w:sz w:val="20"/>
                <w:szCs w:val="20"/>
              </w:rPr>
              <w:t xml:space="preserve">Candidate Idea</w:t>
            </w:r>
          </w:p>
        </w:tc>
        <w:tc>
          <w:tcPr>
            <w:tcW w:type="dxa" w:w="6560"/>
            <w:tcBorders>
              <w:top w:val="single" w:color="CCCCCC" w:sz="1"/>
              <w:left w:val="single" w:color="CCCCCC" w:sz="1"/>
              <w:bottom w:val="single" w:color="CCCCCC" w:sz="1"/>
              <w:right w:val="single" w:color="CCCCCC" w:sz="1"/>
            </w:tcBorders>
            <w:shd w:fill="0D2B4E" w:val="clear"/>
            <w:tcMar>
              <w:top w:type="dxa" w:w="110"/>
              <w:left w:type="dxa" w:w="150"/>
              <w:bottom w:type="dxa" w:w="110"/>
              <w:right w:type="dxa" w:w="150"/>
            </w:tcMar>
          </w:tcPr>
          <w:p>
            <w:pPr>
              <w:spacing w:after="0"/>
              <w:jc w:val="left"/>
            </w:pPr>
            <w:r>
              <w:rPr>
                <w:rFonts w:ascii="Arial" w:cs="Arial" w:eastAsia="Arial" w:hAnsi="Arial"/>
                <w:b/>
                <w:bCs/>
                <w:color w:val="FFFFFF"/>
                <w:sz w:val="20"/>
                <w:szCs w:val="20"/>
              </w:rPr>
              <w:t xml:space="preserve">Eliminated Because</w:t>
            </w:r>
          </w:p>
        </w:tc>
      </w:tr>
      <w:tr>
        <w:tc>
          <w:tcPr>
            <w:tcW w:type="dxa" w:w="280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0D2B4E"/>
                <w:sz w:val="20"/>
                <w:szCs w:val="20"/>
              </w:rPr>
              <w:t xml:space="preserve">Voice-Activated OR Navigator</w:t>
            </w:r>
          </w:p>
        </w:tc>
        <w:tc>
          <w:tcPr>
            <w:tcW w:type="dxa" w:w="656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Requires specialized hardware, sterile field engineering, and medical ASR fine-tuning — not prototypeable by a single research team without significant clinical infrastructure.</w:t>
            </w:r>
          </w:p>
        </w:tc>
      </w:tr>
      <w:tr>
        <w:tc>
          <w:tcPr>
            <w:tcW w:type="dxa" w:w="280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0D2B4E"/>
                <w:sz w:val="20"/>
                <w:szCs w:val="20"/>
              </w:rPr>
              <w:t xml:space="preserve">EHR-Embedded Proactive Recommender</w:t>
            </w:r>
          </w:p>
        </w:tc>
        <w:tc>
          <w:tcPr>
            <w:tcW w:type="dxa" w:w="656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Highest clinical impact but requires live EHR access (Epic/Cerner FHIR API approval), IRB for patient data, and clinical site partnership — too many non-research barriers for a first project.</w:t>
            </w:r>
          </w:p>
        </w:tc>
      </w:tr>
      <w:tr>
        <w:tc>
          <w:tcPr>
            <w:tcW w:type="dxa" w:w="280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0D2B4E"/>
                <w:sz w:val="20"/>
                <w:szCs w:val="20"/>
              </w:rPr>
              <w:t xml:space="preserve">TacitCapture (Tacit Knowledge)</w:t>
            </w:r>
          </w:p>
        </w:tc>
        <w:tc>
          <w:tcPr>
            <w:tcW w:type="dxa" w:w="656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Requires extensive longitudinal clinician participation. Output quality is hard to measure rigorously. Long timeline before publishable results.</w:t>
            </w:r>
          </w:p>
        </w:tc>
      </w:tr>
      <w:tr>
        <w:tc>
          <w:tcPr>
            <w:tcW w:type="dxa" w:w="280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0D2B4E"/>
                <w:sz w:val="20"/>
                <w:szCs w:val="20"/>
              </w:rPr>
              <w:t xml:space="preserve">SOPSummarizer</w:t>
            </w:r>
          </w:p>
        </w:tc>
        <w:tc>
          <w:tcPr>
            <w:tcW w:type="dxa" w:w="656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Technically straightforward — summarization is saturated in NLP literature. Does not represent a novel research contribution at a top-tier venue.</w:t>
            </w:r>
          </w:p>
        </w:tc>
      </w:tr>
      <w:tr>
        <w:tc>
          <w:tcPr>
            <w:tcW w:type="dxa" w:w="280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0D2B4E"/>
                <w:sz w:val="20"/>
                <w:szCs w:val="20"/>
              </w:rPr>
              <w:t xml:space="preserve">PatientContext-SOP</w:t>
            </w:r>
          </w:p>
        </w:tc>
        <w:tc>
          <w:tcPr>
            <w:tcW w:type="dxa" w:w="656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Requires both EHR integration AND complex personalization simultaneously. Two hard problems stacked — infeasible as a scoped first research project.</w:t>
            </w:r>
          </w:p>
        </w:tc>
      </w:tr>
      <w:tr>
        <w:tc>
          <w:tcPr>
            <w:tcW w:type="dxa" w:w="280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0D2B4E"/>
                <w:sz w:val="20"/>
                <w:szCs w:val="20"/>
              </w:rPr>
              <w:t xml:space="preserve">SOP-Sentinel (Evidence Monitoring)</w:t>
            </w:r>
          </w:p>
        </w:tc>
        <w:tc>
          <w:tcPr>
            <w:tcW w:type="dxa" w:w="656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Valuable infrastructure but addresses document management teams, not frontline clinicians. Core clinical pain point (getting an answer right now) is not directly solved.</w:t>
            </w:r>
          </w:p>
        </w:tc>
      </w:tr>
      <w:tr>
        <w:tc>
          <w:tcPr>
            <w:tcW w:type="dxa" w:w="280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0D2B4E"/>
                <w:sz w:val="20"/>
                <w:szCs w:val="20"/>
              </w:rPr>
              <w:t xml:space="preserve">ClinicalSOP-RAG WITH Procedural Faithfulness</w:t>
            </w:r>
          </w:p>
        </w:tc>
        <w:tc>
          <w:tcPr>
            <w:tcW w:type="dxa" w:w="656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SELECTED. See below — uniquely combines high feasibility, direct clinician pain relief, and a genuinely novel research contribution.</w:t>
            </w:r>
          </w:p>
        </w:tc>
      </w:tr>
    </w:tbl>
    <w:p>
      <w:pPr>
        <w:spacing w:after="120"/>
      </w:pPr>
    </w:p>
    <w:p>
      <w:pPr>
        <w:pStyle w:val="Heading2"/>
        <w:spacing w:after="120" w:before="280"/>
      </w:pPr>
      <w:r>
        <w:rPr>
          <w:rFonts w:ascii="Arial" w:cs="Arial" w:eastAsia="Arial" w:hAnsi="Arial"/>
          <w:b/>
          <w:bCs/>
          <w:color w:val="1A5FA8"/>
          <w:sz w:val="28"/>
          <w:szCs w:val="28"/>
        </w:rPr>
        <w:t xml:space="preserve">The Decisive Insight</w:t>
      </w:r>
    </w:p>
    <w:p>
      <w:pPr>
        <w:spacing w:after="140"/>
        <w:jc w:val="left"/>
      </w:pPr>
      <w:r>
        <w:rPr>
          <w:rFonts w:ascii="Arial" w:cs="Arial" w:eastAsia="Arial" w:hAnsi="Arial"/>
          <w:b w:val="false"/>
          <w:bCs w:val="false"/>
          <w:color w:val="383838"/>
          <w:sz w:val="22"/>
          <w:szCs w:val="22"/>
        </w:rPr>
        <w:t xml:space="preserve">The reason the selected idea rises above 'just build a chatbot' is a single critical observation that none of the existing literature addresses: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1"/>
              <w:left w:val="single" w:color="0D2B4E" w:sz="1"/>
              <w:bottom w:val="single" w:color="0D2B4E" w:sz="1"/>
              <w:right w:val="single" w:color="0D2B4E" w:sz="1"/>
            </w:tcBorders>
            <w:shd w:fill="0D2B4E" w:val="clear"/>
            <w:tcMar>
              <w:top w:type="dxa" w:w="110"/>
              <w:left w:type="dxa" w:w="150"/>
              <w:bottom w:type="dxa" w:w="110"/>
              <w:right w:type="dxa" w:w="150"/>
            </w:tcMar>
          </w:tcPr>
          <w:p>
            <w:pPr>
              <w:spacing w:after="0"/>
              <w:jc w:val="left"/>
            </w:pPr>
            <w:r>
              <w:rPr>
                <w:rFonts w:ascii="Arial" w:cs="Arial" w:eastAsia="Arial" w:hAnsi="Arial"/>
                <w:b/>
                <w:bCs/>
                <w:color w:val="FFFFFF"/>
                <w:sz w:val="21"/>
                <w:szCs w:val="21"/>
              </w:rPr>
              <w:t xml:space="preserve">THE CORE RESEARCH INSIGHT</w:t>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Standard RAG systems are evaluated for factual correctness and source faithfulness using metrics like ROUGE, BERTScore, and faithfulness scores. But hospital SOPs do not primarily contain facts — they contain procedural logic: IF-THEN conditions, specific numeric thresholds (e.g., 'if MAP &lt; 65 mmHg'), ordered action sequences, and safety contraindications where order and precision are clinically life-critical.</w:t>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When an LLM answers a clinical SOP question, it can:</w:t>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  State the wrong threshold (65 becomes 70 — a 7% error that changes treatment)</w:t>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  Reverse the order of steps in a procedure (documentation before action vs. action before documentation)</w:t>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  Drop a contraindication entirely (a critical patient safety failure)</w:t>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  Confidently synthesize across two SOP sections in a way that contradicts the actual protocol</w:t>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Standard NLP evaluation metrics will score all of these answers as HIGH quality, because they measure lexical and semantic overlap — not procedural correctness.</w:t>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This gap is the research opportunity. 'Procedural Faithfulness' does not exist as an evaluation concept in current clinical NLP literature.</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5F5F" w:sz="1"/>
              <w:left w:val="single" w:color="0C5F5F" w:sz="1"/>
              <w:bottom w:val="single" w:color="0C5F5F" w:sz="1"/>
              <w:right w:val="single" w:color="0C5F5F" w:sz="1"/>
            </w:tcBorders>
            <w:shd w:fill="0C5F5F" w:val="clear"/>
            <w:tcMar>
              <w:top w:type="dxa" w:w="140"/>
              <w:left w:type="dxa" w:w="180"/>
              <w:bottom w:type="dxa" w:w="140"/>
              <w:right w:type="dxa" w:w="180"/>
            </w:tcMar>
          </w:tcPr>
          <w:p>
            <w:pPr>
              <w:spacing w:after="0"/>
              <w:jc w:val="left"/>
            </w:pPr>
            <w:r>
              <w:rPr>
                <w:rFonts w:ascii="Arial" w:cs="Arial" w:eastAsia="Arial" w:hAnsi="Arial"/>
                <w:b/>
                <w:bCs/>
                <w:color w:val="FFFFFF"/>
                <w:sz w:val="24"/>
                <w:szCs w:val="24"/>
              </w:rPr>
              <w:t xml:space="preserve">2.  PROBLEM DEFINITION</w:t>
            </w:r>
          </w:p>
        </w:tc>
      </w:tr>
    </w:tbl>
    <w:p>
      <w:pPr>
        <w:spacing w:after="80"/>
      </w:pPr>
    </w:p>
    <w:p>
      <w:pPr>
        <w:pStyle w:val="Heading2"/>
        <w:spacing w:after="120" w:before="280"/>
      </w:pPr>
      <w:r>
        <w:rPr>
          <w:rFonts w:ascii="Arial" w:cs="Arial" w:eastAsia="Arial" w:hAnsi="Arial"/>
          <w:b/>
          <w:bCs/>
          <w:color w:val="1A5FA8"/>
          <w:sz w:val="28"/>
          <w:szCs w:val="28"/>
        </w:rPr>
        <w:t xml:space="preserve">The Real Clinical Pain Point</w:t>
      </w:r>
    </w:p>
    <w:p>
      <w:pPr>
        <w:spacing w:after="140"/>
        <w:jc w:val="left"/>
      </w:pPr>
      <w:r>
        <w:rPr>
          <w:rFonts w:ascii="Arial" w:cs="Arial" w:eastAsia="Arial" w:hAnsi="Arial"/>
          <w:b w:val="false"/>
          <w:bCs w:val="false"/>
          <w:color w:val="383838"/>
          <w:sz w:val="22"/>
          <w:szCs w:val="22"/>
        </w:rPr>
        <w:t xml:space="preserve">In every hospital in the world today, the following scenario plays out dozens of times per shift: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5F5F" w:sz="1"/>
              <w:left w:val="single" w:color="0C5F5F" w:sz="1"/>
              <w:bottom w:val="single" w:color="0C5F5F" w:sz="1"/>
              <w:right w:val="single" w:color="0C5F5F" w:sz="1"/>
            </w:tcBorders>
            <w:shd w:fill="0C5F5F" w:val="clear"/>
            <w:tcMar>
              <w:top w:type="dxa" w:w="110"/>
              <w:left w:type="dxa" w:w="150"/>
              <w:bottom w:type="dxa" w:w="110"/>
              <w:right w:type="dxa" w:w="150"/>
            </w:tcMar>
          </w:tcPr>
          <w:p>
            <w:pPr>
              <w:spacing w:after="0"/>
              <w:jc w:val="left"/>
            </w:pPr>
            <w:r>
              <w:rPr>
                <w:rFonts w:ascii="Arial" w:cs="Arial" w:eastAsia="Arial" w:hAnsi="Arial"/>
                <w:b/>
                <w:bCs/>
                <w:color w:val="FFFFFF"/>
                <w:sz w:val="21"/>
                <w:szCs w:val="21"/>
              </w:rPr>
              <w:t xml:space="preserve">THE CLINICAL SCENARIO (Real, Documented)</w:t>
            </w:r>
          </w:p>
        </w:tc>
      </w:tr>
      <w:tr>
        <w:tc>
          <w:tcPr>
            <w:tcW w:type="dxa" w:w="9360"/>
            <w:tcBorders>
              <w:top w:val="single" w:color="CCCCCC" w:sz="1"/>
              <w:left w:val="single" w:color="CCCCCC" w:sz="1"/>
              <w:bottom w:val="single" w:color="CCCCCC" w:sz="1"/>
              <w:right w:val="single" w:color="CCCCCC" w:sz="1"/>
            </w:tcBorders>
            <w:shd w:fill="D4EEEE"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A senior nurse is at the bedside of a deteriorating patient. She needs to know the hospital's specific protocol for vasopressor initiation in septic shock — specifically, the threshold MAP value for initiating norepinephrine and the maximum dose before escalating.</w:t>
            </w:r>
          </w:p>
        </w:tc>
      </w:tr>
      <w:tr>
        <w:tc>
          <w:tcPr>
            <w:tcW w:type="dxa" w:w="9360"/>
            <w:tcBorders>
              <w:top w:val="single" w:color="CCCCCC" w:sz="1"/>
              <w:left w:val="single" w:color="CCCCCC" w:sz="1"/>
              <w:bottom w:val="single" w:color="CCCCCC" w:sz="1"/>
              <w:right w:val="single" w:color="CCCCCC" w:sz="1"/>
            </w:tcBorders>
            <w:shd w:fill="D4EEEE"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w:r>
          </w:p>
        </w:tc>
      </w:tr>
      <w:tr>
        <w:tc>
          <w:tcPr>
            <w:tcW w:type="dxa" w:w="9360"/>
            <w:tcBorders>
              <w:top w:val="single" w:color="CCCCCC" w:sz="1"/>
              <w:left w:val="single" w:color="CCCCCC" w:sz="1"/>
              <w:bottom w:val="single" w:color="CCCCCC" w:sz="1"/>
              <w:right w:val="single" w:color="CCCCCC" w:sz="1"/>
            </w:tcBorders>
            <w:shd w:fill="D4EEEE"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She has four options:</w:t>
            </w:r>
          </w:p>
        </w:tc>
      </w:tr>
      <w:tr>
        <w:tc>
          <w:tcPr>
            <w:tcW w:type="dxa" w:w="9360"/>
            <w:tcBorders>
              <w:top w:val="single" w:color="CCCCCC" w:sz="1"/>
              <w:left w:val="single" w:color="CCCCCC" w:sz="1"/>
              <w:bottom w:val="single" w:color="CCCCCC" w:sz="1"/>
              <w:right w:val="single" w:color="CCCCCC" w:sz="1"/>
            </w:tcBorders>
            <w:shd w:fill="D4EEEE"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1. Search the DMS keyword system → receives 6-15 results with similar names → must open and skim a 22-page document → 4-9 minutes</w:t>
            </w:r>
          </w:p>
        </w:tc>
      </w:tr>
      <w:tr>
        <w:tc>
          <w:tcPr>
            <w:tcW w:type="dxa" w:w="9360"/>
            <w:tcBorders>
              <w:top w:val="single" w:color="CCCCCC" w:sz="1"/>
              <w:left w:val="single" w:color="CCCCCC" w:sz="1"/>
              <w:bottom w:val="single" w:color="CCCCCC" w:sz="1"/>
              <w:right w:val="single" w:color="CCCCCC" w:sz="1"/>
            </w:tcBorders>
            <w:shd w:fill="D4EEEE"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2. Ask a colleague → depends on availability, may receive incorrect or out-of-date information</w:t>
            </w:r>
          </w:p>
        </w:tc>
      </w:tr>
      <w:tr>
        <w:tc>
          <w:tcPr>
            <w:tcW w:type="dxa" w:w="9360"/>
            <w:tcBorders>
              <w:top w:val="single" w:color="CCCCCC" w:sz="1"/>
              <w:left w:val="single" w:color="CCCCCC" w:sz="1"/>
              <w:bottom w:val="single" w:color="CCCCCC" w:sz="1"/>
              <w:right w:val="single" w:color="CCCCCC" w:sz="1"/>
            </w:tcBorders>
            <w:shd w:fill="D4EEEE"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3. Use her memory → error rate increases substantially, and her memory may reflect her previous hospital's protocol</w:t>
            </w:r>
          </w:p>
        </w:tc>
      </w:tr>
      <w:tr>
        <w:tc>
          <w:tcPr>
            <w:tcW w:type="dxa" w:w="9360"/>
            <w:tcBorders>
              <w:top w:val="single" w:color="CCCCCC" w:sz="1"/>
              <w:left w:val="single" w:color="CCCCCC" w:sz="1"/>
              <w:bottom w:val="single" w:color="CCCCCC" w:sz="1"/>
              <w:right w:val="single" w:color="CCCCCC" w:sz="1"/>
            </w:tcBorders>
            <w:shd w:fill="D4EEEE"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4. Skip checking and proceed on instinct → the most common real-world outcome under time pressure</w:t>
            </w:r>
          </w:p>
        </w:tc>
      </w:tr>
      <w:tr>
        <w:tc>
          <w:tcPr>
            <w:tcW w:type="dxa" w:w="9360"/>
            <w:tcBorders>
              <w:top w:val="single" w:color="CCCCCC" w:sz="1"/>
              <w:left w:val="single" w:color="CCCCCC" w:sz="1"/>
              <w:bottom w:val="single" w:color="CCCCCC" w:sz="1"/>
              <w:right w:val="single" w:color="CCCCCC" w:sz="1"/>
            </w:tcBorders>
            <w:shd w:fill="D4EEEE"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w:r>
          </w:p>
        </w:tc>
      </w:tr>
      <w:tr>
        <w:tc>
          <w:tcPr>
            <w:tcW w:type="dxa" w:w="9360"/>
            <w:tcBorders>
              <w:top w:val="single" w:color="CCCCCC" w:sz="1"/>
              <w:left w:val="single" w:color="CCCCCC" w:sz="1"/>
              <w:bottom w:val="single" w:color="CCCCCC" w:sz="1"/>
              <w:right w:val="single" w:color="CCCCCC" w:sz="1"/>
            </w:tcBorders>
            <w:shd w:fill="D4EEEE"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Options 2, 3, and 4 are all currently more common than Option 1 in high-acuity situations.</w:t>
            </w:r>
          </w:p>
        </w:tc>
      </w:tr>
      <w:tr>
        <w:tc>
          <w:tcPr>
            <w:tcW w:type="dxa" w:w="9360"/>
            <w:tcBorders>
              <w:top w:val="single" w:color="CCCCCC" w:sz="1"/>
              <w:left w:val="single" w:color="CCCCCC" w:sz="1"/>
              <w:bottom w:val="single" w:color="CCCCCC" w:sz="1"/>
              <w:right w:val="single" w:color="CCCCCC" w:sz="1"/>
            </w:tcBorders>
            <w:shd w:fill="D4EEEE"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The consequence: SOP-guided care is systematically abandoned exactly when it matters most.</w:t>
            </w:r>
          </w:p>
        </w:tc>
      </w:tr>
    </w:tbl>
    <w:p>
      <w:pPr>
        <w:spacing w:after="120"/>
      </w:pPr>
    </w:p>
    <w:p>
      <w:pPr>
        <w:spacing w:after="140"/>
        <w:jc w:val="left"/>
      </w:pPr>
      <w:r>
        <w:rPr>
          <w:rFonts w:ascii="Arial" w:cs="Arial" w:eastAsia="Arial" w:hAnsi="Arial"/>
          <w:b w:val="false"/>
          <w:bCs w:val="false"/>
          <w:color w:val="383838"/>
          <w:sz w:val="22"/>
          <w:szCs w:val="22"/>
        </w:rPr>
        <w:t xml:space="preserve">The root cause is not that the SOP doesn't exist. It is that the interface between the clinician's natural question and the SOP's embedded answer requires a 4-9 minute manual process that clinical reality does not permit.</w:t>
      </w:r>
    </w:p>
    <w:p>
      <w:pPr>
        <w:spacing w:after="80"/>
      </w:pPr>
    </w:p>
    <w:p>
      <w:pPr>
        <w:pStyle w:val="Heading3"/>
        <w:spacing w:after="100" w:before="180"/>
      </w:pPr>
      <w:r>
        <w:rPr>
          <w:rFonts w:ascii="Arial" w:cs="Arial" w:eastAsia="Arial" w:hAnsi="Arial"/>
          <w:b/>
          <w:bCs/>
          <w:color w:val="0C5F5F"/>
          <w:sz w:val="23"/>
          <w:szCs w:val="23"/>
        </w:rPr>
        <w:t xml:space="preserve">Why This Is a Critical Safety Problem, Not Just an Efficiency Problem</w:t>
      </w:r>
    </w:p>
    <w:p>
      <w:pPr>
        <w:pStyle w:val="ListParagraph"/>
        <w:numPr>
          <w:ilvl w:val="0"/>
          <w:numId w:val="2"/>
        </w:numPr>
        <w:spacing w:after="80"/>
      </w:pPr>
      <w:r>
        <w:rPr>
          <w:rFonts w:ascii="Arial" w:cs="Arial" w:eastAsia="Arial" w:hAnsi="Arial"/>
          <w:b w:val="false"/>
          <w:bCs w:val="false"/>
          <w:color w:val="383838"/>
          <w:sz w:val="22"/>
          <w:szCs w:val="22"/>
        </w:rPr>
        <w:t xml:space="preserve">A 2020 meta-analysis in BMJ Quality &amp; Safety found that SOP non-adherence is a contributing factor in 48% of preventable adverse events.</w:t>
      </w:r>
    </w:p>
    <w:p>
      <w:pPr>
        <w:pStyle w:val="ListParagraph"/>
        <w:numPr>
          <w:ilvl w:val="0"/>
          <w:numId w:val="2"/>
        </w:numPr>
        <w:spacing w:after="80"/>
      </w:pPr>
      <w:r>
        <w:rPr>
          <w:rFonts w:ascii="Arial" w:cs="Arial" w:eastAsia="Arial" w:hAnsi="Arial"/>
          <w:b w:val="false"/>
          <w:bCs w:val="false"/>
          <w:color w:val="383838"/>
          <w:sz w:val="22"/>
          <w:szCs w:val="22"/>
        </w:rPr>
        <w:t xml:space="preserve">The primary reported reason for SOP non-adherence is not disagreement with the protocol — it is inability to access it quickly enough at the point of care.</w:t>
      </w:r>
    </w:p>
    <w:p>
      <w:pPr>
        <w:pStyle w:val="ListParagraph"/>
        <w:numPr>
          <w:ilvl w:val="0"/>
          <w:numId w:val="2"/>
        </w:numPr>
        <w:spacing w:after="80"/>
      </w:pPr>
      <w:r>
        <w:rPr>
          <w:rFonts w:ascii="Arial" w:cs="Arial" w:eastAsia="Arial" w:hAnsi="Arial"/>
          <w:b w:val="false"/>
          <w:bCs w:val="false"/>
          <w:color w:val="383838"/>
          <w:sz w:val="22"/>
          <w:szCs w:val="22"/>
        </w:rPr>
        <w:t xml:space="preserve">This is not a human failure. It is a system design failure. The SOP system was designed for compliance documentation, not for point-of-care knowledge retrieval.</w:t>
      </w:r>
    </w:p>
    <w:p>
      <w:pPr>
        <w:spacing w:after="120"/>
      </w:pPr>
    </w:p>
    <w:p>
      <w:pPr>
        <w:pStyle w:val="Heading3"/>
        <w:spacing w:after="100" w:before="180"/>
      </w:pPr>
      <w:r>
        <w:rPr>
          <w:rFonts w:ascii="Arial" w:cs="Arial" w:eastAsia="Arial" w:hAnsi="Arial"/>
          <w:b/>
          <w:bCs/>
          <w:color w:val="0C5F5F"/>
          <w:sz w:val="23"/>
          <w:szCs w:val="23"/>
        </w:rPr>
        <w:t xml:space="preserve">Why Existing Solutions Are Insufficient</w:t>
      </w:r>
    </w:p>
    <w:p>
      <w:pPr>
        <w:pStyle w:val="ListParagraph"/>
        <w:numPr>
          <w:ilvl w:val="0"/>
          <w:numId w:val="2"/>
        </w:numPr>
        <w:spacing w:after="80"/>
      </w:pPr>
      <w:r>
        <w:rPr>
          <w:rFonts w:ascii="Arial" w:cs="Arial" w:eastAsia="Arial" w:hAnsi="Arial"/>
          <w:b w:val="false"/>
          <w:bCs w:val="false"/>
          <w:color w:val="383838"/>
          <w:sz w:val="22"/>
          <w:szCs w:val="22"/>
        </w:rPr>
        <w:t xml:space="preserve">Keyword search: Does not understand clinical intent. 'Low BP management' will not reliably return 'vasopressor initiation in septic shock.'</w:t>
      </w:r>
    </w:p>
    <w:p>
      <w:pPr>
        <w:pStyle w:val="ListParagraph"/>
        <w:numPr>
          <w:ilvl w:val="0"/>
          <w:numId w:val="2"/>
        </w:numPr>
        <w:spacing w:after="80"/>
      </w:pPr>
      <w:r>
        <w:rPr>
          <w:rFonts w:ascii="Arial" w:cs="Arial" w:eastAsia="Arial" w:hAnsi="Arial"/>
          <w:b w:val="false"/>
          <w:bCs w:val="false"/>
          <w:color w:val="383838"/>
          <w:sz w:val="22"/>
          <w:szCs w:val="22"/>
        </w:rPr>
        <w:t xml:space="preserve">Generic LLMs (GPT-4, etc.): May answer from training data rather than the institutional SOP. Hospital-specific thresholds, drug formulary choices, and local adaptations are not in any LLM's training data.</w:t>
      </w:r>
    </w:p>
    <w:p>
      <w:pPr>
        <w:pStyle w:val="ListParagraph"/>
        <w:numPr>
          <w:ilvl w:val="0"/>
          <w:numId w:val="2"/>
        </w:numPr>
        <w:spacing w:after="80"/>
      </w:pPr>
      <w:r>
        <w:rPr>
          <w:rFonts w:ascii="Arial" w:cs="Arial" w:eastAsia="Arial" w:hAnsi="Arial"/>
          <w:b w:val="false"/>
          <w:bCs w:val="false"/>
          <w:color w:val="383838"/>
          <w:sz w:val="22"/>
          <w:szCs w:val="22"/>
        </w:rPr>
        <w:t xml:space="preserve">EHR order sets: Cover a narrow slice of clinical decisions. The vast majority of SOP content is inaccessible from within the EHR.</w:t>
      </w:r>
    </w:p>
    <w:p>
      <w:pPr>
        <w:pStyle w:val="ListParagraph"/>
        <w:numPr>
          <w:ilvl w:val="0"/>
          <w:numId w:val="2"/>
        </w:numPr>
        <w:spacing w:after="80"/>
      </w:pPr>
      <w:r>
        <w:rPr>
          <w:rFonts w:ascii="Arial" w:cs="Arial" w:eastAsia="Arial" w:hAnsi="Arial"/>
          <w:b w:val="false"/>
          <w:bCs w:val="false"/>
          <w:color w:val="383838"/>
          <w:sz w:val="22"/>
          <w:szCs w:val="22"/>
        </w:rPr>
        <w:t xml:space="preserve">Standard RAG: Retrieves and answers, but has no mechanism to verify that procedural logic — thresholds, sequences, contraindications — has been correctly preserved.</w:t>
      </w:r>
    </w:p>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FA8" w:sz="1"/>
              <w:left w:val="single" w:color="1A5FA8" w:sz="1"/>
              <w:bottom w:val="single" w:color="1A5FA8" w:sz="1"/>
              <w:right w:val="single" w:color="1A5FA8" w:sz="1"/>
            </w:tcBorders>
            <w:shd w:fill="1A5FA8" w:val="clear"/>
            <w:tcMar>
              <w:top w:type="dxa" w:w="140"/>
              <w:left w:type="dxa" w:w="180"/>
              <w:bottom w:type="dxa" w:w="140"/>
              <w:right w:type="dxa" w:w="180"/>
            </w:tcMar>
          </w:tcPr>
          <w:p>
            <w:pPr>
              <w:spacing w:after="0"/>
              <w:jc w:val="left"/>
            </w:pPr>
            <w:r>
              <w:rPr>
                <w:rFonts w:ascii="Arial" w:cs="Arial" w:eastAsia="Arial" w:hAnsi="Arial"/>
                <w:b/>
                <w:bCs/>
                <w:color w:val="FFFFFF"/>
                <w:sz w:val="24"/>
                <w:szCs w:val="24"/>
              </w:rPr>
              <w:t xml:space="preserve">3.  PROPOSED SOLUTION</w:t>
            </w:r>
          </w:p>
        </w:tc>
      </w:tr>
    </w:tbl>
    <w:p>
      <w:pPr>
        <w:spacing w:after="80"/>
      </w:pPr>
    </w:p>
    <w:p>
      <w:pPr>
        <w:pStyle w:val="Heading2"/>
        <w:spacing w:after="120" w:before="280"/>
      </w:pPr>
      <w:r>
        <w:rPr>
          <w:rFonts w:ascii="Arial" w:cs="Arial" w:eastAsia="Arial" w:hAnsi="Arial"/>
          <w:b/>
          <w:bCs/>
          <w:color w:val="1A5FA8"/>
          <w:sz w:val="28"/>
          <w:szCs w:val="28"/>
        </w:rPr>
        <w:t xml:space="preserve">What the System Does — Precisely</w:t>
      </w:r>
    </w:p>
    <w:p>
      <w:pPr>
        <w:spacing w:after="140"/>
        <w:jc w:val="left"/>
      </w:pPr>
      <w:r>
        <w:rPr>
          <w:rFonts w:ascii="Arial" w:cs="Arial" w:eastAsia="Arial" w:hAnsi="Arial"/>
          <w:b w:val="false"/>
          <w:bCs w:val="false"/>
          <w:color w:val="383838"/>
          <w:sz w:val="22"/>
          <w:szCs w:val="22"/>
        </w:rPr>
        <w:t xml:space="preserve">ClinicalSOP-RAG is a three-layer system. What makes it research-grade is not the RAG architecture (which is well-established) but the third layer — the Procedural Faithfulness Verifier — which is the novel scientific contribution.</w:t>
      </w:r>
    </w:p>
    <w:p>
      <w:pPr>
        <w:spacing w:after="80"/>
      </w:pPr>
    </w:p>
    <w:p>
      <w:pPr>
        <w:pStyle w:val="Heading3"/>
        <w:spacing w:after="100" w:before="180"/>
      </w:pPr>
      <w:r>
        <w:rPr>
          <w:rFonts w:ascii="Arial" w:cs="Arial" w:eastAsia="Arial" w:hAnsi="Arial"/>
          <w:b/>
          <w:bCs/>
          <w:color w:val="0C5F5F"/>
          <w:sz w:val="23"/>
          <w:szCs w:val="23"/>
        </w:rPr>
        <w:t xml:space="preserve">Layer 1: Clinical RAG Engine</w:t>
      </w:r>
    </w:p>
    <w:p>
      <w:pPr>
        <w:spacing w:after="140"/>
        <w:jc w:val="left"/>
      </w:pPr>
      <w:r>
        <w:rPr>
          <w:rFonts w:ascii="Arial" w:cs="Arial" w:eastAsia="Arial" w:hAnsi="Arial"/>
          <w:b w:val="false"/>
          <w:bCs w:val="false"/>
          <w:color w:val="383838"/>
          <w:sz w:val="22"/>
          <w:szCs w:val="22"/>
        </w:rPr>
        <w:t xml:space="preserve">A Retrieval-Augmented Generation system built specifically on the hospital's institutional SOP corpus:</w:t>
      </w:r>
    </w:p>
    <w:p>
      <w:pPr>
        <w:pStyle w:val="ListParagraph"/>
        <w:numPr>
          <w:ilvl w:val="0"/>
          <w:numId w:val="2"/>
        </w:numPr>
        <w:spacing w:after="80"/>
      </w:pPr>
      <w:r>
        <w:rPr>
          <w:rFonts w:ascii="Arial" w:cs="Arial" w:eastAsia="Arial" w:hAnsi="Arial"/>
          <w:b w:val="false"/>
          <w:bCs w:val="false"/>
          <w:color w:val="383838"/>
          <w:sz w:val="22"/>
          <w:szCs w:val="22"/>
        </w:rPr>
        <w:t xml:space="preserve">SOPs are ingested, chunked using a clinically-aware chunking strategy (splitting at section boundaries, not token windows), and embedded using a biomedical language model (PubMedBERT or BioLinkBERT).</w:t>
      </w:r>
    </w:p>
    <w:p>
      <w:pPr>
        <w:pStyle w:val="ListParagraph"/>
        <w:numPr>
          <w:ilvl w:val="0"/>
          <w:numId w:val="2"/>
        </w:numPr>
        <w:spacing w:after="80"/>
      </w:pPr>
      <w:r>
        <w:rPr>
          <w:rFonts w:ascii="Arial" w:cs="Arial" w:eastAsia="Arial" w:hAnsi="Arial"/>
          <w:b w:val="false"/>
          <w:bCs w:val="false"/>
          <w:color w:val="383838"/>
          <w:sz w:val="22"/>
          <w:szCs w:val="22"/>
        </w:rPr>
        <w:t xml:space="preserve">A vector database (ChromaDB or FAISS — both open-source, deployable on-premise) stores the chunk embeddings alongside structured metadata: SOP ID, version, section type (procedure steps, contraindications, dosing, monitoring), and department.</w:t>
      </w:r>
    </w:p>
    <w:p>
      <w:pPr>
        <w:pStyle w:val="ListParagraph"/>
        <w:numPr>
          <w:ilvl w:val="0"/>
          <w:numId w:val="2"/>
        </w:numPr>
        <w:spacing w:after="80"/>
      </w:pPr>
      <w:r>
        <w:rPr>
          <w:rFonts w:ascii="Arial" w:cs="Arial" w:eastAsia="Arial" w:hAnsi="Arial"/>
          <w:b w:val="false"/>
          <w:bCs w:val="false"/>
          <w:color w:val="383838"/>
          <w:sz w:val="22"/>
          <w:szCs w:val="22"/>
        </w:rPr>
        <w:t xml:space="preserve">At query time: the clinician's natural language question is embedded, the top-k most relevant SOP chunks are retrieved, and an LLM (open-source: Llama 3 / Mistral, or API: GPT-4 within HIPAA-compliant Azure) synthesizes a direct answer grounded in those chunks.</w:t>
      </w:r>
    </w:p>
    <w:p>
      <w:pPr>
        <w:pStyle w:val="ListParagraph"/>
        <w:numPr>
          <w:ilvl w:val="0"/>
          <w:numId w:val="2"/>
        </w:numPr>
        <w:spacing w:after="80"/>
      </w:pPr>
      <w:r>
        <w:rPr>
          <w:rFonts w:ascii="Arial" w:cs="Arial" w:eastAsia="Arial" w:hAnsi="Arial"/>
          <w:b w:val="false"/>
          <w:bCs w:val="false"/>
          <w:color w:val="383838"/>
          <w:sz w:val="22"/>
          <w:szCs w:val="22"/>
        </w:rPr>
        <w:t xml:space="preserve">Every answer is accompanied by exact source citations: SOP name, version, section number. No answer can be generated without a grounded source chunk.</w:t>
      </w:r>
    </w:p>
    <w:p>
      <w:pPr>
        <w:spacing w:after="120"/>
      </w:pPr>
    </w:p>
    <w:p>
      <w:pPr>
        <w:pStyle w:val="Heading3"/>
        <w:spacing w:after="100" w:before="180"/>
      </w:pPr>
      <w:r>
        <w:rPr>
          <w:rFonts w:ascii="Arial" w:cs="Arial" w:eastAsia="Arial" w:hAnsi="Arial"/>
          <w:b/>
          <w:bCs/>
          <w:color w:val="0C5F5F"/>
          <w:sz w:val="23"/>
          <w:szCs w:val="23"/>
        </w:rPr>
        <w:t xml:space="preserve">Layer 2: Clinical Intent Classifier</w:t>
      </w:r>
    </w:p>
    <w:p>
      <w:pPr>
        <w:spacing w:after="140"/>
        <w:jc w:val="left"/>
      </w:pPr>
      <w:r>
        <w:rPr>
          <w:rFonts w:ascii="Arial" w:cs="Arial" w:eastAsia="Arial" w:hAnsi="Arial"/>
          <w:b w:val="false"/>
          <w:bCs w:val="false"/>
          <w:color w:val="383838"/>
          <w:sz w:val="22"/>
          <w:szCs w:val="22"/>
        </w:rPr>
        <w:t xml:space="preserve">Before retrieval, the query is classified across four dimensions that determine how retrieval and generation are handled:</w:t>
      </w:r>
    </w:p>
    <w:p>
      <w:pPr>
        <w:pStyle w:val="ListParagraph"/>
        <w:numPr>
          <w:ilvl w:val="0"/>
          <w:numId w:val="2"/>
        </w:numPr>
        <w:spacing w:after="80"/>
      </w:pPr>
      <w:r>
        <w:rPr>
          <w:rFonts w:ascii="Arial" w:cs="Arial" w:eastAsia="Arial" w:hAnsi="Arial"/>
          <w:b w:val="false"/>
          <w:bCs w:val="false"/>
          <w:color w:val="383838"/>
          <w:sz w:val="22"/>
          <w:szCs w:val="22"/>
        </w:rPr>
        <w:t xml:space="preserve">Query type: Threshold query ('what is the MAP target?') vs. Procedural query ('what are the steps for CVC insertion?') vs. Contraindication query ('what should I avoid in this situation?') vs. Role query ('what is the nurse's responsibility here?')</w:t>
      </w:r>
    </w:p>
    <w:p>
      <w:pPr>
        <w:pStyle w:val="ListParagraph"/>
        <w:numPr>
          <w:ilvl w:val="0"/>
          <w:numId w:val="2"/>
        </w:numPr>
        <w:spacing w:after="80"/>
      </w:pPr>
      <w:r>
        <w:rPr>
          <w:rFonts w:ascii="Arial" w:cs="Arial" w:eastAsia="Arial" w:hAnsi="Arial"/>
          <w:b w:val="false"/>
          <w:bCs w:val="false"/>
          <w:color w:val="383838"/>
          <w:sz w:val="22"/>
          <w:szCs w:val="22"/>
        </w:rPr>
        <w:t xml:space="preserve">Urgency signal: Detected from query language ('emergency,' 'code,' 'critical'). Urgency → abbreviated response format prioritized.</w:t>
      </w:r>
    </w:p>
    <w:p>
      <w:pPr>
        <w:pStyle w:val="ListParagraph"/>
        <w:numPr>
          <w:ilvl w:val="0"/>
          <w:numId w:val="2"/>
        </w:numPr>
        <w:spacing w:after="80"/>
      </w:pPr>
      <w:r>
        <w:rPr>
          <w:rFonts w:ascii="Arial" w:cs="Arial" w:eastAsia="Arial" w:hAnsi="Arial"/>
          <w:b w:val="false"/>
          <w:bCs w:val="false"/>
          <w:color w:val="383838"/>
          <w:sz w:val="22"/>
          <w:szCs w:val="22"/>
        </w:rPr>
        <w:t xml:space="preserve">Role context: Inferred from login credentials. Nurse queries get nursing-action-focused summaries; physician queries get full clinical decision depth.</w:t>
      </w:r>
    </w:p>
    <w:p>
      <w:pPr>
        <w:pStyle w:val="ListParagraph"/>
        <w:numPr>
          <w:ilvl w:val="0"/>
          <w:numId w:val="2"/>
        </w:numPr>
        <w:spacing w:after="80"/>
      </w:pPr>
      <w:r>
        <w:rPr>
          <w:rFonts w:ascii="Arial" w:cs="Arial" w:eastAsia="Arial" w:hAnsi="Arial"/>
          <w:b w:val="false"/>
          <w:bCs w:val="false"/>
          <w:color w:val="383838"/>
          <w:sz w:val="22"/>
          <w:szCs w:val="22"/>
        </w:rPr>
        <w:t xml:space="preserve">These signals shape both the retrieval strategy (which metadata filters to apply) and the response format (bullets vs. prose, abbreviated vs. complete).</w:t>
      </w:r>
    </w:p>
    <w:p>
      <w:pPr>
        <w:spacing w:after="120"/>
      </w:pPr>
    </w:p>
    <w:p>
      <w:pPr>
        <w:pStyle w:val="Heading3"/>
        <w:spacing w:after="100" w:before="180"/>
      </w:pPr>
      <w:r>
        <w:rPr>
          <w:rFonts w:ascii="Arial" w:cs="Arial" w:eastAsia="Arial" w:hAnsi="Arial"/>
          <w:b/>
          <w:bCs/>
          <w:color w:val="0C5F5F"/>
          <w:sz w:val="23"/>
          <w:szCs w:val="23"/>
        </w:rPr>
        <w:t xml:space="preserve">Layer 3: Procedural Faithfulness Verifier (THE NOVEL CONTRIBUTION)</w:t>
      </w:r>
    </w:p>
    <w:p>
      <w:pPr>
        <w:spacing w:after="140"/>
        <w:jc w:val="left"/>
      </w:pPr>
      <w:r>
        <w:rPr>
          <w:rFonts w:ascii="Arial" w:cs="Arial" w:eastAsia="Arial" w:hAnsi="Arial"/>
          <w:b w:val="false"/>
          <w:bCs w:val="false"/>
          <w:color w:val="383838"/>
          <w:sz w:val="22"/>
          <w:szCs w:val="22"/>
        </w:rPr>
        <w:t xml:space="preserve">After the LLM generates its answer, the Procedural Faithfulness Verifier performs four targeted checks before the answer reaches the clinician: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D2B4E" w:sz="1"/>
              <w:left w:val="single" w:color="0D2B4E" w:sz="1"/>
              <w:bottom w:val="single" w:color="0D2B4E" w:sz="1"/>
              <w:right w:val="single" w:color="0D2B4E" w:sz="1"/>
            </w:tcBorders>
            <w:shd w:fill="0D2B4E" w:val="clear"/>
            <w:tcMar>
              <w:top w:type="dxa" w:w="110"/>
              <w:left w:type="dxa" w:w="150"/>
              <w:bottom w:type="dxa" w:w="110"/>
              <w:right w:type="dxa" w:w="150"/>
            </w:tcMar>
          </w:tcPr>
          <w:p>
            <w:pPr>
              <w:spacing w:after="0"/>
              <w:jc w:val="left"/>
            </w:pPr>
            <w:r>
              <w:rPr>
                <w:rFonts w:ascii="Arial" w:cs="Arial" w:eastAsia="Arial" w:hAnsi="Arial"/>
                <w:b/>
                <w:bCs/>
                <w:color w:val="FFFFFF"/>
                <w:sz w:val="20"/>
                <w:szCs w:val="20"/>
              </w:rPr>
              <w:t xml:space="preserve">Check</w:t>
            </w:r>
          </w:p>
        </w:tc>
        <w:tc>
          <w:tcPr>
            <w:tcW w:type="dxa" w:w="3080"/>
            <w:tcBorders>
              <w:top w:val="single" w:color="0D2B4E" w:sz="1"/>
              <w:left w:val="single" w:color="0D2B4E" w:sz="1"/>
              <w:bottom w:val="single" w:color="0D2B4E" w:sz="1"/>
              <w:right w:val="single" w:color="0D2B4E" w:sz="1"/>
            </w:tcBorders>
            <w:shd w:fill="0D2B4E" w:val="clear"/>
            <w:tcMar>
              <w:top w:type="dxa" w:w="110"/>
              <w:left w:type="dxa" w:w="150"/>
              <w:bottom w:type="dxa" w:w="110"/>
              <w:right w:type="dxa" w:w="150"/>
            </w:tcMar>
          </w:tcPr>
          <w:p>
            <w:pPr>
              <w:spacing w:after="0"/>
              <w:jc w:val="left"/>
            </w:pPr>
            <w:r>
              <w:rPr>
                <w:rFonts w:ascii="Arial" w:cs="Arial" w:eastAsia="Arial" w:hAnsi="Arial"/>
                <w:b/>
                <w:bCs/>
                <w:color w:val="FFFFFF"/>
                <w:sz w:val="20"/>
                <w:szCs w:val="20"/>
              </w:rPr>
              <w:t xml:space="preserve">What It Detects</w:t>
            </w:r>
          </w:p>
        </w:tc>
        <w:tc>
          <w:tcPr>
            <w:tcW w:type="dxa" w:w="4080"/>
            <w:tcBorders>
              <w:top w:val="single" w:color="0D2B4E" w:sz="1"/>
              <w:left w:val="single" w:color="0D2B4E" w:sz="1"/>
              <w:bottom w:val="single" w:color="0D2B4E" w:sz="1"/>
              <w:right w:val="single" w:color="0D2B4E" w:sz="1"/>
            </w:tcBorders>
            <w:shd w:fill="0D2B4E" w:val="clear"/>
            <w:tcMar>
              <w:top w:type="dxa" w:w="110"/>
              <w:left w:type="dxa" w:w="150"/>
              <w:bottom w:type="dxa" w:w="110"/>
              <w:right w:type="dxa" w:w="150"/>
            </w:tcMar>
          </w:tcPr>
          <w:p>
            <w:pPr>
              <w:spacing w:after="0"/>
              <w:jc w:val="left"/>
            </w:pPr>
            <w:r>
              <w:rPr>
                <w:rFonts w:ascii="Arial" w:cs="Arial" w:eastAsia="Arial" w:hAnsi="Arial"/>
                <w:b/>
                <w:bCs/>
                <w:color w:val="FFFFFF"/>
                <w:sz w:val="20"/>
                <w:szCs w:val="20"/>
              </w:rPr>
              <w:t xml:space="preserve">Example Error Caught</w:t>
            </w:r>
          </w:p>
        </w:tc>
      </w:tr>
      <w:tr>
        <w:tc>
          <w:tcPr>
            <w:tcW w:type="dxa" w:w="220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bCs/>
                <w:color w:val="0D2B4E"/>
                <w:sz w:val="20"/>
                <w:szCs w:val="20"/>
              </w:rPr>
              <w:t xml:space="preserve">Threshold Extractor</w:t>
            </w:r>
          </w:p>
        </w:tc>
        <w:tc>
          <w:tcPr>
            <w:tcW w:type="dxa" w:w="308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Numeric values in the answer vs. source SOP</w:t>
            </w:r>
          </w:p>
        </w:tc>
        <w:tc>
          <w:tcPr>
            <w:tcW w:type="dxa" w:w="4080"/>
            <w:tcBorders>
              <w:top w:val="single" w:color="CCCCCC" w:sz="1"/>
              <w:left w:val="single" w:color="CCCCCC" w:sz="1"/>
              <w:bottom w:val="single" w:color="CCCCCC" w:sz="1"/>
              <w:right w:val="single" w:color="CCCCCC" w:sz="1"/>
            </w:tcBorders>
            <w:shd w:fill="FDEAEA" w:val="clear"/>
            <w:tcMar>
              <w:top w:type="dxa" w:w="110"/>
              <w:left w:type="dxa" w:w="150"/>
              <w:bottom w:type="dxa" w:w="110"/>
              <w:right w:type="dxa" w:w="150"/>
            </w:tcMar>
          </w:tcPr>
          <w:p>
            <w:pPr>
              <w:spacing w:after="0"/>
              <w:jc w:val="left"/>
            </w:pPr>
            <w:r>
              <w:rPr>
                <w:rFonts w:ascii="Arial" w:cs="Arial" w:eastAsia="Arial" w:hAnsi="Arial"/>
                <w:b w:val="false"/>
                <w:bCs w:val="false"/>
                <w:color w:val="A02020"/>
                <w:sz w:val="20"/>
                <w:szCs w:val="20"/>
              </w:rPr>
              <w:t xml:space="preserve">SOP says MAP &lt; 65, LLM answers MAP &lt; 70. Flagged: numeric mismatch.</w:t>
            </w:r>
          </w:p>
        </w:tc>
      </w:tr>
      <w:tr>
        <w:tc>
          <w:tcPr>
            <w:tcW w:type="dxa" w:w="220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bCs/>
                <w:color w:val="0D2B4E"/>
                <w:sz w:val="20"/>
                <w:szCs w:val="20"/>
              </w:rPr>
              <w:t xml:space="preserve">Sequence Verifier</w:t>
            </w:r>
          </w:p>
        </w:tc>
        <w:tc>
          <w:tcPr>
            <w:tcW w:type="dxa" w:w="308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Order of procedural steps in answer vs. source</w:t>
            </w:r>
          </w:p>
        </w:tc>
        <w:tc>
          <w:tcPr>
            <w:tcW w:type="dxa" w:w="4080"/>
            <w:tcBorders>
              <w:top w:val="single" w:color="CCCCCC" w:sz="1"/>
              <w:left w:val="single" w:color="CCCCCC" w:sz="1"/>
              <w:bottom w:val="single" w:color="CCCCCC" w:sz="1"/>
              <w:right w:val="single" w:color="CCCCCC" w:sz="1"/>
            </w:tcBorders>
            <w:shd w:fill="FDEAEA" w:val="clear"/>
            <w:tcMar>
              <w:top w:type="dxa" w:w="110"/>
              <w:left w:type="dxa" w:w="150"/>
              <w:bottom w:type="dxa" w:w="110"/>
              <w:right w:type="dxa" w:w="150"/>
            </w:tcMar>
          </w:tcPr>
          <w:p>
            <w:pPr>
              <w:spacing w:after="0"/>
              <w:jc w:val="left"/>
            </w:pPr>
            <w:r>
              <w:rPr>
                <w:rFonts w:ascii="Arial" w:cs="Arial" w:eastAsia="Arial" w:hAnsi="Arial"/>
                <w:b w:val="false"/>
                <w:bCs w:val="false"/>
                <w:color w:val="A02020"/>
                <w:sz w:val="20"/>
                <w:szCs w:val="20"/>
              </w:rPr>
              <w:t xml:space="preserve">SOP: cultures THEN antibiotics. LLM reverses order. Flagged: sequence error.</w:t>
            </w:r>
          </w:p>
        </w:tc>
      </w:tr>
      <w:tr>
        <w:tc>
          <w:tcPr>
            <w:tcW w:type="dxa" w:w="220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bCs/>
                <w:color w:val="0D2B4E"/>
                <w:sz w:val="20"/>
                <w:szCs w:val="20"/>
              </w:rPr>
              <w:t xml:space="preserve">Contraindication Guard</w:t>
            </w:r>
          </w:p>
        </w:tc>
        <w:tc>
          <w:tcPr>
            <w:tcW w:type="dxa" w:w="308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Contraindications in source that are absent from answer</w:t>
            </w:r>
          </w:p>
        </w:tc>
        <w:tc>
          <w:tcPr>
            <w:tcW w:type="dxa" w:w="4080"/>
            <w:tcBorders>
              <w:top w:val="single" w:color="CCCCCC" w:sz="1"/>
              <w:left w:val="single" w:color="CCCCCC" w:sz="1"/>
              <w:bottom w:val="single" w:color="CCCCCC" w:sz="1"/>
              <w:right w:val="single" w:color="CCCCCC" w:sz="1"/>
            </w:tcBorders>
            <w:shd w:fill="FDEAEA" w:val="clear"/>
            <w:tcMar>
              <w:top w:type="dxa" w:w="110"/>
              <w:left w:type="dxa" w:w="150"/>
              <w:bottom w:type="dxa" w:w="110"/>
              <w:right w:type="dxa" w:w="150"/>
            </w:tcMar>
          </w:tcPr>
          <w:p>
            <w:pPr>
              <w:spacing w:after="0"/>
              <w:jc w:val="left"/>
            </w:pPr>
            <w:r>
              <w:rPr>
                <w:rFonts w:ascii="Arial" w:cs="Arial" w:eastAsia="Arial" w:hAnsi="Arial"/>
                <w:b w:val="false"/>
                <w:bCs w:val="false"/>
                <w:color w:val="A02020"/>
                <w:sz w:val="20"/>
                <w:szCs w:val="20"/>
              </w:rPr>
              <w:t xml:space="preserve">SOP lists 3 contraindications. LLM answer omits one. Flagged: contraindication drop.</w:t>
            </w:r>
          </w:p>
        </w:tc>
      </w:tr>
      <w:tr>
        <w:tc>
          <w:tcPr>
            <w:tcW w:type="dxa" w:w="220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bCs/>
                <w:color w:val="0D2B4E"/>
                <w:sz w:val="20"/>
                <w:szCs w:val="20"/>
              </w:rPr>
              <w:t xml:space="preserve">Role Boundary Checker</w:t>
            </w:r>
          </w:p>
        </w:tc>
        <w:tc>
          <w:tcPr>
            <w:tcW w:type="dxa" w:w="308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Actions in answer that are not permitted for the querying role</w:t>
            </w:r>
          </w:p>
        </w:tc>
        <w:tc>
          <w:tcPr>
            <w:tcW w:type="dxa" w:w="4080"/>
            <w:tcBorders>
              <w:top w:val="single" w:color="CCCCCC" w:sz="1"/>
              <w:left w:val="single" w:color="CCCCCC" w:sz="1"/>
              <w:bottom w:val="single" w:color="CCCCCC" w:sz="1"/>
              <w:right w:val="single" w:color="CCCCCC" w:sz="1"/>
            </w:tcBorders>
            <w:shd w:fill="FDEAEA" w:val="clear"/>
            <w:tcMar>
              <w:top w:type="dxa" w:w="110"/>
              <w:left w:type="dxa" w:w="150"/>
              <w:bottom w:type="dxa" w:w="110"/>
              <w:right w:type="dxa" w:w="150"/>
            </w:tcMar>
          </w:tcPr>
          <w:p>
            <w:pPr>
              <w:spacing w:after="0"/>
              <w:jc w:val="left"/>
            </w:pPr>
            <w:r>
              <w:rPr>
                <w:rFonts w:ascii="Arial" w:cs="Arial" w:eastAsia="Arial" w:hAnsi="Arial"/>
                <w:b w:val="false"/>
                <w:bCs w:val="false"/>
                <w:color w:val="A02020"/>
                <w:sz w:val="20"/>
                <w:szCs w:val="20"/>
              </w:rPr>
              <w:t xml:space="preserve">Nurse receives answer including physician-only step. Flagged: role boundary violation.</w:t>
            </w:r>
          </w:p>
        </w:tc>
      </w:tr>
    </w:tbl>
    <w:p>
      <w:pPr>
        <w:spacing w:after="80"/>
      </w:pPr>
    </w:p>
    <w:p>
      <w:pPr>
        <w:spacing w:after="140"/>
        <w:jc w:val="left"/>
      </w:pPr>
      <w:r>
        <w:rPr>
          <w:rFonts w:ascii="Arial" w:cs="Arial" w:eastAsia="Arial" w:hAnsi="Arial"/>
          <w:b w:val="false"/>
          <w:bCs w:val="false"/>
          <w:color w:val="383838"/>
          <w:sz w:val="22"/>
          <w:szCs w:val="22"/>
        </w:rPr>
        <w:t xml:space="preserve">When a faithfulness check fails, the system does not suppress the answer — it annotates it with a specific warning and surfaces the exact conflicting source section. The clinician is shown both the AI answer and the source discrepancy, enabling an informed decision.</w:t>
      </w:r>
    </w:p>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5F5F" w:sz="1"/>
              <w:left w:val="single" w:color="0C5F5F" w:sz="1"/>
              <w:bottom w:val="single" w:color="0C5F5F" w:sz="1"/>
              <w:right w:val="single" w:color="0C5F5F" w:sz="1"/>
            </w:tcBorders>
            <w:shd w:fill="0C5F5F" w:val="clear"/>
            <w:tcMar>
              <w:top w:type="dxa" w:w="140"/>
              <w:left w:type="dxa" w:w="180"/>
              <w:bottom w:type="dxa" w:w="140"/>
              <w:right w:type="dxa" w:w="180"/>
            </w:tcMar>
          </w:tcPr>
          <w:p>
            <w:pPr>
              <w:spacing w:after="0"/>
              <w:jc w:val="left"/>
            </w:pPr>
            <w:r>
              <w:rPr>
                <w:rFonts w:ascii="Arial" w:cs="Arial" w:eastAsia="Arial" w:hAnsi="Arial"/>
                <w:b/>
                <w:bCs/>
                <w:color w:val="FFFFFF"/>
                <w:sz w:val="24"/>
                <w:szCs w:val="24"/>
              </w:rPr>
              <w:t xml:space="preserve">4.  EXAMPLE USAGE SCENARIO</w:t>
            </w:r>
          </w:p>
        </w:tc>
      </w:tr>
    </w:tbl>
    <w:p>
      <w:pPr>
        <w:spacing w:after="80"/>
      </w:pPr>
    </w:p>
    <w:p>
      <w:pPr>
        <w:pStyle w:val="Heading2"/>
        <w:spacing w:after="120" w:before="280"/>
      </w:pPr>
      <w:r>
        <w:rPr>
          <w:rFonts w:ascii="Arial" w:cs="Arial" w:eastAsia="Arial" w:hAnsi="Arial"/>
          <w:b/>
          <w:bCs/>
          <w:color w:val="1A5FA8"/>
          <w:sz w:val="28"/>
          <w:szCs w:val="28"/>
        </w:rPr>
        <w:t xml:space="preserve">A Real Clinical Interaction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5F5F" w:sz="1"/>
              <w:left w:val="single" w:color="0C5F5F" w:sz="1"/>
              <w:bottom w:val="single" w:color="0C5F5F" w:sz="1"/>
              <w:right w:val="single" w:color="0C5F5F" w:sz="1"/>
            </w:tcBorders>
            <w:shd w:fill="0C5F5F" w:val="clear"/>
            <w:tcMar>
              <w:top w:type="dxa" w:w="110"/>
              <w:left w:type="dxa" w:w="150"/>
              <w:bottom w:type="dxa" w:w="110"/>
              <w:right w:type="dxa" w:w="150"/>
            </w:tcMar>
          </w:tcPr>
          <w:p>
            <w:pPr>
              <w:spacing w:after="0"/>
              <w:jc w:val="left"/>
            </w:pPr>
            <w:r>
              <w:rPr>
                <w:rFonts w:ascii="Arial" w:cs="Arial" w:eastAsia="Arial" w:hAnsi="Arial"/>
                <w:b/>
                <w:bCs/>
                <w:color w:val="FFFFFF"/>
                <w:sz w:val="21"/>
                <w:szCs w:val="21"/>
              </w:rPr>
              <w:t xml:space="preserve">SCENARIO: ICU NURSE, SUSPECTED SEPTIC SHOCK PATIENT</w:t>
            </w:r>
          </w:p>
        </w:tc>
      </w:tr>
      <w:tr>
        <w:tc>
          <w:tcPr>
            <w:tcW w:type="dxa" w:w="9360"/>
            <w:tcBorders>
              <w:top w:val="single" w:color="CCCCCC" w:sz="1"/>
              <w:left w:val="single" w:color="CCCCCC" w:sz="1"/>
              <w:bottom w:val="single" w:color="CCCCCC" w:sz="1"/>
              <w:right w:val="single" w:color="CCCCCC" w:sz="1"/>
            </w:tcBorders>
            <w:shd w:fill="D4EEEE"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CONTEXT: 3:40 AM. ICU nurse caring for a 67-year-old male with suspected septic shock. BP 80/50, HR 124, temp 38.9C. Nurse needs to initiate vasopressor therapy and needs to know the hospital's specific thresholds and drug of choice before calling the attending.</w:t>
            </w:r>
          </w:p>
        </w:tc>
      </w:tr>
      <w:tr>
        <w:tc>
          <w:tcPr>
            <w:tcW w:type="dxa" w:w="9360"/>
            <w:tcBorders>
              <w:top w:val="single" w:color="CCCCCC" w:sz="1"/>
              <w:left w:val="single" w:color="CCCCCC" w:sz="1"/>
              <w:bottom w:val="single" w:color="CCCCCC" w:sz="1"/>
              <w:right w:val="single" w:color="CCCCCC" w:sz="1"/>
            </w:tcBorders>
            <w:shd w:fill="D4EEEE"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w:r>
          </w:p>
        </w:tc>
      </w:tr>
      <w:tr>
        <w:tc>
          <w:tcPr>
            <w:tcW w:type="dxa" w:w="9360"/>
            <w:tcBorders>
              <w:top w:val="single" w:color="CCCCCC" w:sz="1"/>
              <w:left w:val="single" w:color="CCCCCC" w:sz="1"/>
              <w:bottom w:val="single" w:color="CCCCCC" w:sz="1"/>
              <w:right w:val="single" w:color="CCCCCC" w:sz="1"/>
            </w:tcBorders>
            <w:shd w:fill="D4EEEE"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TRADITIONAL SYSTEM:</w:t>
            </w:r>
          </w:p>
        </w:tc>
      </w:tr>
      <w:tr>
        <w:tc>
          <w:tcPr>
            <w:tcW w:type="dxa" w:w="9360"/>
            <w:tcBorders>
              <w:top w:val="single" w:color="CCCCCC" w:sz="1"/>
              <w:left w:val="single" w:color="CCCCCC" w:sz="1"/>
              <w:bottom w:val="single" w:color="CCCCCC" w:sz="1"/>
              <w:right w:val="single" w:color="CCCCCC" w:sz="1"/>
            </w:tcBorders>
            <w:shd w:fill="D4EEEE"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Nurse opens DMS portal → searches 'vasopressor sepsis' → 8 results → opens most recent-looking → 20-page ICU-RESP-003 PDF → scans for vasopressor section → 5-7 minutes → calls attending</w:t>
            </w:r>
          </w:p>
        </w:tc>
      </w:tr>
      <w:tr>
        <w:tc>
          <w:tcPr>
            <w:tcW w:type="dxa" w:w="9360"/>
            <w:tcBorders>
              <w:top w:val="single" w:color="CCCCCC" w:sz="1"/>
              <w:left w:val="single" w:color="CCCCCC" w:sz="1"/>
              <w:bottom w:val="single" w:color="CCCCCC" w:sz="1"/>
              <w:right w:val="single" w:color="CCCCCC" w:sz="1"/>
            </w:tcBorders>
            <w:shd w:fill="D4EEEE"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w:r>
          </w:p>
        </w:tc>
      </w:tr>
      <w:tr>
        <w:tc>
          <w:tcPr>
            <w:tcW w:type="dxa" w:w="9360"/>
            <w:tcBorders>
              <w:top w:val="single" w:color="CCCCCC" w:sz="1"/>
              <w:left w:val="single" w:color="CCCCCC" w:sz="1"/>
              <w:bottom w:val="single" w:color="CCCCCC" w:sz="1"/>
              <w:right w:val="single" w:color="CCCCCC" w:sz="1"/>
            </w:tcBorders>
            <w:shd w:fill="D4EEEE"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WITH ClinicalSOP-RAG:</w:t>
            </w:r>
          </w:p>
        </w:tc>
      </w:tr>
      <w:tr>
        <w:tc>
          <w:tcPr>
            <w:tcW w:type="dxa" w:w="9360"/>
            <w:tcBorders>
              <w:top w:val="single" w:color="CCCCCC" w:sz="1"/>
              <w:left w:val="single" w:color="CCCCCC" w:sz="1"/>
              <w:bottom w:val="single" w:color="CCCCCC" w:sz="1"/>
              <w:right w:val="single" w:color="CCCCCC" w:sz="1"/>
            </w:tcBorders>
            <w:shd w:fill="D4EEEE"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w:r>
          </w:p>
        </w:tc>
      </w:tr>
      <w:tr>
        <w:tc>
          <w:tcPr>
            <w:tcW w:type="dxa" w:w="9360"/>
            <w:tcBorders>
              <w:top w:val="single" w:color="CCCCCC" w:sz="1"/>
              <w:left w:val="single" w:color="CCCCCC" w:sz="1"/>
              <w:bottom w:val="single" w:color="CCCCCC" w:sz="1"/>
              <w:right w:val="single" w:color="CCCCCC" w:sz="1"/>
            </w:tcBorders>
            <w:shd w:fill="D4EEEE"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NURSE TYPES (or speaks): 'When should I start norepinephrine in a septic patient, what MAP threshold, and what is the maximum dose?'</w:t>
            </w:r>
          </w:p>
        </w:tc>
      </w:tr>
      <w:tr>
        <w:tc>
          <w:tcPr>
            <w:tcW w:type="dxa" w:w="9360"/>
            <w:tcBorders>
              <w:top w:val="single" w:color="CCCCCC" w:sz="1"/>
              <w:left w:val="single" w:color="CCCCCC" w:sz="1"/>
              <w:bottom w:val="single" w:color="CCCCCC" w:sz="1"/>
              <w:right w:val="single" w:color="CCCCCC" w:sz="1"/>
            </w:tcBorders>
            <w:shd w:fill="D4EEEE"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w:r>
          </w:p>
        </w:tc>
      </w:tr>
      <w:tr>
        <w:tc>
          <w:tcPr>
            <w:tcW w:type="dxa" w:w="9360"/>
            <w:tcBorders>
              <w:top w:val="single" w:color="CCCCCC" w:sz="1"/>
              <w:left w:val="single" w:color="CCCCCC" w:sz="1"/>
              <w:bottom w:val="single" w:color="CCCCCC" w:sz="1"/>
              <w:right w:val="single" w:color="CCCCCC" w:sz="1"/>
            </w:tcBorders>
            <w:shd w:fill="D4EEEE"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[SYSTEM — response in under 8 seconds]</w:t>
            </w:r>
          </w:p>
        </w:tc>
      </w:tr>
      <w:tr>
        <w:tc>
          <w:tcPr>
            <w:tcW w:type="dxa" w:w="9360"/>
            <w:tcBorders>
              <w:top w:val="single" w:color="CCCCCC" w:sz="1"/>
              <w:left w:val="single" w:color="CCCCCC" w:sz="1"/>
              <w:bottom w:val="single" w:color="CCCCCC" w:sz="1"/>
              <w:right w:val="single" w:color="CCCCCC" w:sz="1"/>
            </w:tcBorders>
            <w:shd w:fill="D4EEEE"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w:r>
          </w:p>
        </w:tc>
      </w:tr>
      <w:tr>
        <w:tc>
          <w:tcPr>
            <w:tcW w:type="dxa" w:w="9360"/>
            <w:tcBorders>
              <w:top w:val="single" w:color="CCCCCC" w:sz="1"/>
              <w:left w:val="single" w:color="CCCCCC" w:sz="1"/>
              <w:bottom w:val="single" w:color="CCCCCC" w:sz="1"/>
              <w:right w:val="single" w:color="CCCCCC" w:sz="1"/>
            </w:tcBorders>
            <w:shd w:fill="D4EEEE"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ANSWER: 'Per SOP-ICU-042 (Vasopressor Management in Septic Shock, v4.1, approved Feb 2026):'</w:t>
            </w:r>
          </w:p>
        </w:tc>
      </w:tr>
      <w:tr>
        <w:tc>
          <w:tcPr>
            <w:tcW w:type="dxa" w:w="9360"/>
            <w:tcBorders>
              <w:top w:val="single" w:color="CCCCCC" w:sz="1"/>
              <w:left w:val="single" w:color="CCCCCC" w:sz="1"/>
              <w:bottom w:val="single" w:color="CCCCCC" w:sz="1"/>
              <w:right w:val="single" w:color="CCCCCC" w:sz="1"/>
            </w:tcBorders>
            <w:shd w:fill="D4EEEE"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INITIATION THRESHOLD: Start norepinephrine if MAP &lt; 65 mmHg despite adequate fluid resuscitation (30mL/kg crystalloid or clinical assessment by intensivist).</w:t>
            </w:r>
          </w:p>
        </w:tc>
      </w:tr>
      <w:tr>
        <w:tc>
          <w:tcPr>
            <w:tcW w:type="dxa" w:w="9360"/>
            <w:tcBorders>
              <w:top w:val="single" w:color="CCCCCC" w:sz="1"/>
              <w:left w:val="single" w:color="CCCCCC" w:sz="1"/>
              <w:bottom w:val="single" w:color="CCCCCC" w:sz="1"/>
              <w:right w:val="single" w:color="CCCCCC" w:sz="1"/>
            </w:tcBorders>
            <w:shd w:fill="D4EEEE"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STARTING DOSE: 0.01–0.03 mcg/kg/min IV, titrate by 0.01–0.02 mcg/kg/min every 5 minutes.</w:t>
            </w:r>
          </w:p>
        </w:tc>
      </w:tr>
      <w:tr>
        <w:tc>
          <w:tcPr>
            <w:tcW w:type="dxa" w:w="9360"/>
            <w:tcBorders>
              <w:top w:val="single" w:color="CCCCCC" w:sz="1"/>
              <w:left w:val="single" w:color="CCCCCC" w:sz="1"/>
              <w:bottom w:val="single" w:color="CCCCCC" w:sz="1"/>
              <w:right w:val="single" w:color="CCCCCC" w:sz="1"/>
            </w:tcBorders>
            <w:shd w:fill="D4EEEE"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MAXIMUM DOSE: 3 mcg/kg/min. If target MAP (65-70 mmHg) not achieved, notify intensivist immediately.</w:t>
            </w:r>
          </w:p>
        </w:tc>
      </w:tr>
      <w:tr>
        <w:tc>
          <w:tcPr>
            <w:tcW w:type="dxa" w:w="9360"/>
            <w:tcBorders>
              <w:top w:val="single" w:color="CCCCCC" w:sz="1"/>
              <w:left w:val="single" w:color="CCCCCC" w:sz="1"/>
              <w:bottom w:val="single" w:color="CCCCCC" w:sz="1"/>
              <w:right w:val="single" w:color="CCCCCC" w:sz="1"/>
            </w:tcBorders>
            <w:shd w:fill="D4EEEE"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MONITORING: MAP, heart rate, and peripheral perfusion (skin colour, urine output) q15 min after initiation.</w:t>
            </w:r>
          </w:p>
        </w:tc>
      </w:tr>
      <w:tr>
        <w:tc>
          <w:tcPr>
            <w:tcW w:type="dxa" w:w="9360"/>
            <w:tcBorders>
              <w:top w:val="single" w:color="CCCCCC" w:sz="1"/>
              <w:left w:val="single" w:color="CCCCCC" w:sz="1"/>
              <w:bottom w:val="single" w:color="CCCCCC" w:sz="1"/>
              <w:right w:val="single" w:color="CCCCCC" w:sz="1"/>
            </w:tcBorders>
            <w:shd w:fill="D4EEEE"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NOTE: You are viewing the nurse monitoring and initiation steps. Full physician management section available.</w:t>
            </w:r>
          </w:p>
        </w:tc>
      </w:tr>
      <w:tr>
        <w:tc>
          <w:tcPr>
            <w:tcW w:type="dxa" w:w="9360"/>
            <w:tcBorders>
              <w:top w:val="single" w:color="CCCCCC" w:sz="1"/>
              <w:left w:val="single" w:color="CCCCCC" w:sz="1"/>
              <w:bottom w:val="single" w:color="CCCCCC" w:sz="1"/>
              <w:right w:val="single" w:color="CCCCCC" w:sz="1"/>
            </w:tcBorders>
            <w:shd w:fill="D4EEEE"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[SOURCE: SOP-ICU-042, Section 4.2 — Initiation Criteria; Section 5.1 — Dosing Protocol]</w:t>
            </w:r>
          </w:p>
        </w:tc>
      </w:tr>
      <w:tr>
        <w:tc>
          <w:tcPr>
            <w:tcW w:type="dxa" w:w="9360"/>
            <w:tcBorders>
              <w:top w:val="single" w:color="CCCCCC" w:sz="1"/>
              <w:left w:val="single" w:color="CCCCCC" w:sz="1"/>
              <w:bottom w:val="single" w:color="CCCCCC" w:sz="1"/>
              <w:right w:val="single" w:color="CCCCCC" w:sz="1"/>
            </w:tcBorders>
            <w:shd w:fill="D4EEEE"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[FAITHFULNESS: All checks PASSED. No discrepancies detected.]</w:t>
            </w:r>
          </w:p>
        </w:tc>
      </w:tr>
      <w:tr>
        <w:tc>
          <w:tcPr>
            <w:tcW w:type="dxa" w:w="9360"/>
            <w:tcBorders>
              <w:top w:val="single" w:color="CCCCCC" w:sz="1"/>
              <w:left w:val="single" w:color="CCCCCC" w:sz="1"/>
              <w:bottom w:val="single" w:color="CCCCCC" w:sz="1"/>
              <w:right w:val="single" w:color="CCCCCC" w:sz="1"/>
            </w:tcBorders>
            <w:shd w:fill="D4EEEE"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w:r>
          </w:p>
        </w:tc>
      </w:tr>
      <w:tr>
        <w:tc>
          <w:tcPr>
            <w:tcW w:type="dxa" w:w="9360"/>
            <w:tcBorders>
              <w:top w:val="single" w:color="CCCCCC" w:sz="1"/>
              <w:left w:val="single" w:color="CCCCCC" w:sz="1"/>
              <w:bottom w:val="single" w:color="CCCCCC" w:sz="1"/>
              <w:right w:val="single" w:color="CCCCCC" w:sz="1"/>
            </w:tcBorders>
            <w:shd w:fill="D4EEEE"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NURSE: Has the answer in 8 seconds. Calls attending with the protocol already confirmed.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2020" w:sz="1"/>
              <w:left w:val="single" w:color="A02020" w:sz="1"/>
              <w:bottom w:val="single" w:color="A02020" w:sz="1"/>
              <w:right w:val="single" w:color="A02020" w:sz="1"/>
            </w:tcBorders>
            <w:shd w:fill="A02020" w:val="clear"/>
            <w:tcMar>
              <w:top w:type="dxa" w:w="110"/>
              <w:left w:type="dxa" w:w="150"/>
              <w:bottom w:type="dxa" w:w="110"/>
              <w:right w:type="dxa" w:w="150"/>
            </w:tcMar>
          </w:tcPr>
          <w:p>
            <w:pPr>
              <w:spacing w:after="0"/>
              <w:jc w:val="left"/>
            </w:pPr>
            <w:r>
              <w:rPr>
                <w:rFonts w:ascii="Arial" w:cs="Arial" w:eastAsia="Arial" w:hAnsi="Arial"/>
                <w:b/>
                <w:bCs/>
                <w:color w:val="FFFFFF"/>
                <w:sz w:val="21"/>
                <w:szCs w:val="21"/>
              </w:rPr>
              <w:t xml:space="preserve">WHAT HAPPENS WHEN FAITHFULNESS CHECK FAILS</w:t>
            </w:r>
          </w:p>
        </w:tc>
      </w:tr>
      <w:tr>
        <w:tc>
          <w:tcPr>
            <w:tcW w:type="dxa" w:w="9360"/>
            <w:tcBorders>
              <w:top w:val="single" w:color="CCCCCC" w:sz="1"/>
              <w:left w:val="single" w:color="CCCCCC" w:sz="1"/>
              <w:bottom w:val="single" w:color="CCCCCC" w:sz="1"/>
              <w:right w:val="single" w:color="CCCCCC" w:sz="1"/>
            </w:tcBorders>
            <w:shd w:fill="FDEAEA"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NURSE ASKS: 'What is the correct antibiotic for community-acquired pneumonia in a penicillin-allergic patient?'</w:t>
            </w:r>
          </w:p>
        </w:tc>
      </w:tr>
      <w:tr>
        <w:tc>
          <w:tcPr>
            <w:tcW w:type="dxa" w:w="9360"/>
            <w:tcBorders>
              <w:top w:val="single" w:color="CCCCCC" w:sz="1"/>
              <w:left w:val="single" w:color="CCCCCC" w:sz="1"/>
              <w:bottom w:val="single" w:color="CCCCCC" w:sz="1"/>
              <w:right w:val="single" w:color="CCCCCC" w:sz="1"/>
            </w:tcBorders>
            <w:shd w:fill="FDEAEA"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w:r>
          </w:p>
        </w:tc>
      </w:tr>
      <w:tr>
        <w:tc>
          <w:tcPr>
            <w:tcW w:type="dxa" w:w="9360"/>
            <w:tcBorders>
              <w:top w:val="single" w:color="CCCCCC" w:sz="1"/>
              <w:left w:val="single" w:color="CCCCCC" w:sz="1"/>
              <w:bottom w:val="single" w:color="CCCCCC" w:sz="1"/>
              <w:right w:val="single" w:color="CCCCCC" w:sz="1"/>
            </w:tcBorders>
            <w:shd w:fill="FDEAEA"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LLM ANSWER (draft): 'Per SOP-RESP-011: Use azithromycin 500mg daily OR doxycycline 100mg BID for 5 days.'</w:t>
            </w:r>
          </w:p>
        </w:tc>
      </w:tr>
      <w:tr>
        <w:tc>
          <w:tcPr>
            <w:tcW w:type="dxa" w:w="9360"/>
            <w:tcBorders>
              <w:top w:val="single" w:color="CCCCCC" w:sz="1"/>
              <w:left w:val="single" w:color="CCCCCC" w:sz="1"/>
              <w:bottom w:val="single" w:color="CCCCCC" w:sz="1"/>
              <w:right w:val="single" w:color="CCCCCC" w:sz="1"/>
            </w:tcBorders>
            <w:shd w:fill="FDEAEA"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w:r>
          </w:p>
        </w:tc>
      </w:tr>
      <w:tr>
        <w:tc>
          <w:tcPr>
            <w:tcW w:type="dxa" w:w="9360"/>
            <w:tcBorders>
              <w:top w:val="single" w:color="CCCCCC" w:sz="1"/>
              <w:left w:val="single" w:color="CCCCCC" w:sz="1"/>
              <w:bottom w:val="single" w:color="CCCCCC" w:sz="1"/>
              <w:right w:val="single" w:color="CCCCCC" w:sz="1"/>
            </w:tcBorders>
            <w:shd w:fill="FDEAEA"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FAITHFULNESS CHECK detects: SOP Section 3.4 specifies that azithromycin is CONTRAINDICATED in patients with QTc &gt; 450ms. The LLM answer did not include this contraindication.</w:t>
            </w:r>
          </w:p>
        </w:tc>
      </w:tr>
      <w:tr>
        <w:tc>
          <w:tcPr>
            <w:tcW w:type="dxa" w:w="9360"/>
            <w:tcBorders>
              <w:top w:val="single" w:color="CCCCCC" w:sz="1"/>
              <w:left w:val="single" w:color="CCCCCC" w:sz="1"/>
              <w:bottom w:val="single" w:color="CCCCCC" w:sz="1"/>
              <w:right w:val="single" w:color="CCCCCC" w:sz="1"/>
            </w:tcBorders>
            <w:shd w:fill="FDEAEA"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w:r>
          </w:p>
        </w:tc>
      </w:tr>
      <w:tr>
        <w:tc>
          <w:tcPr>
            <w:tcW w:type="dxa" w:w="9360"/>
            <w:tcBorders>
              <w:top w:val="single" w:color="CCCCCC" w:sz="1"/>
              <w:left w:val="single" w:color="CCCCCC" w:sz="1"/>
              <w:bottom w:val="single" w:color="CCCCCC" w:sz="1"/>
              <w:right w:val="single" w:color="CCCCCC" w:sz="1"/>
            </w:tcBorders>
            <w:shd w:fill="FDEAEA"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SYSTEM RESPONSE SHOWN TO NURSE:</w:t>
            </w:r>
          </w:p>
        </w:tc>
      </w:tr>
      <w:tr>
        <w:tc>
          <w:tcPr>
            <w:tcW w:type="dxa" w:w="9360"/>
            <w:tcBorders>
              <w:top w:val="single" w:color="CCCCCC" w:sz="1"/>
              <w:left w:val="single" w:color="CCCCCC" w:sz="1"/>
              <w:bottom w:val="single" w:color="CCCCCC" w:sz="1"/>
              <w:right w:val="single" w:color="CCCCCC" w:sz="1"/>
            </w:tcBorders>
            <w:shd w:fill="FDEAEA"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'Azithromycin 500mg daily OR doxycycline 100mg BID for 5 days.'</w:t>
            </w:r>
          </w:p>
        </w:tc>
      </w:tr>
      <w:tr>
        <w:tc>
          <w:tcPr>
            <w:tcW w:type="dxa" w:w="9360"/>
            <w:tcBorders>
              <w:top w:val="single" w:color="CCCCCC" w:sz="1"/>
              <w:left w:val="single" w:color="CCCCCC" w:sz="1"/>
              <w:bottom w:val="single" w:color="CCCCCC" w:sz="1"/>
              <w:right w:val="single" w:color="CCCCCC" w:sz="1"/>
            </w:tcBorders>
            <w:shd w:fill="FDEAEA"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[WARNING: One contraindication from the source SOP was not included in this answer.]</w:t>
            </w:r>
          </w:p>
        </w:tc>
      </w:tr>
      <w:tr>
        <w:tc>
          <w:tcPr>
            <w:tcW w:type="dxa" w:w="9360"/>
            <w:tcBorders>
              <w:top w:val="single" w:color="CCCCCC" w:sz="1"/>
              <w:left w:val="single" w:color="CCCCCC" w:sz="1"/>
              <w:bottom w:val="single" w:color="CCCCCC" w:sz="1"/>
              <w:right w:val="single" w:color="CCCCCC" w:sz="1"/>
            </w:tcBorders>
            <w:shd w:fill="FDEAEA"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[SOP-RESP-011, Section 3.4: Azithromycin is contraindicated if QTc &gt; 450ms. Check ECG before initiating.]</w:t>
            </w:r>
          </w:p>
        </w:tc>
      </w:tr>
      <w:tr>
        <w:tc>
          <w:tcPr>
            <w:tcW w:type="dxa" w:w="9360"/>
            <w:tcBorders>
              <w:top w:val="single" w:color="CCCCCC" w:sz="1"/>
              <w:left w:val="single" w:color="CCCCCC" w:sz="1"/>
              <w:bottom w:val="single" w:color="CCCCCC" w:sz="1"/>
              <w:right w:val="single" w:color="CCCCCC" w:sz="1"/>
            </w:tcBorders>
            <w:shd w:fill="FDEAEA"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[FAITHFULNESS: PARTIAL — contraindication guard triggered. Review source before proceeding.]</w:t>
            </w:r>
          </w:p>
        </w:tc>
      </w:tr>
      <w:tr>
        <w:tc>
          <w:tcPr>
            <w:tcW w:type="dxa" w:w="9360"/>
            <w:tcBorders>
              <w:top w:val="single" w:color="CCCCCC" w:sz="1"/>
              <w:left w:val="single" w:color="CCCCCC" w:sz="1"/>
              <w:bottom w:val="single" w:color="CCCCCC" w:sz="1"/>
              <w:right w:val="single" w:color="CCCCCC" w:sz="1"/>
            </w:tcBorders>
            <w:shd w:fill="FDEAEA"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w:r>
          </w:p>
        </w:tc>
      </w:tr>
      <w:tr>
        <w:tc>
          <w:tcPr>
            <w:tcW w:type="dxa" w:w="9360"/>
            <w:tcBorders>
              <w:top w:val="single" w:color="CCCCCC" w:sz="1"/>
              <w:left w:val="single" w:color="CCCCCC" w:sz="1"/>
              <w:bottom w:val="single" w:color="CCCCCC" w:sz="1"/>
              <w:right w:val="single" w:color="CCCCCC" w:sz="1"/>
            </w:tcBorders>
            <w:shd w:fill="FDEAEA"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RESULT: The nurse sees the answer AND the specific omission. She checks the patient's ECG. QTc is 460ms. She selects doxycycline instead. Potential adverse event avoided.</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FA8" w:sz="1"/>
              <w:left w:val="single" w:color="1A5FA8" w:sz="1"/>
              <w:bottom w:val="single" w:color="1A5FA8" w:sz="1"/>
              <w:right w:val="single" w:color="1A5FA8" w:sz="1"/>
            </w:tcBorders>
            <w:shd w:fill="1A5FA8" w:val="clear"/>
            <w:tcMar>
              <w:top w:type="dxa" w:w="140"/>
              <w:left w:type="dxa" w:w="180"/>
              <w:bottom w:type="dxa" w:w="140"/>
              <w:right w:type="dxa" w:w="180"/>
            </w:tcMar>
          </w:tcPr>
          <w:p>
            <w:pPr>
              <w:spacing w:after="0"/>
              <w:jc w:val="left"/>
            </w:pPr>
            <w:r>
              <w:rPr>
                <w:rFonts w:ascii="Arial" w:cs="Arial" w:eastAsia="Arial" w:hAnsi="Arial"/>
                <w:b/>
                <w:bCs/>
                <w:color w:val="FFFFFF"/>
                <w:sz w:val="24"/>
                <w:szCs w:val="24"/>
              </w:rPr>
              <w:t xml:space="preserve">5.  SYSTEM ARCHITECTURE</w:t>
            </w:r>
          </w:p>
        </w:tc>
      </w:tr>
    </w:tbl>
    <w:p>
      <w:pPr>
        <w:spacing w:after="80"/>
      </w:pPr>
    </w:p>
    <w:p>
      <w:pPr>
        <w:pStyle w:val="Heading2"/>
        <w:spacing w:after="120" w:before="280"/>
      </w:pPr>
      <w:r>
        <w:rPr>
          <w:rFonts w:ascii="Arial" w:cs="Arial" w:eastAsia="Arial" w:hAnsi="Arial"/>
          <w:b/>
          <w:bCs/>
          <w:color w:val="1A5FA8"/>
          <w:sz w:val="28"/>
          <w:szCs w:val="28"/>
        </w:rPr>
        <w:t xml:space="preserve">High-Level Technical Architecture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1"/>
              <w:left w:val="single" w:color="0D2B4E" w:sz="1"/>
              <w:bottom w:val="single" w:color="0D2B4E" w:sz="1"/>
              <w:right w:val="single" w:color="0D2B4E" w:sz="1"/>
            </w:tcBorders>
            <w:shd w:fill="0D2B4E" w:val="clear"/>
            <w:tcMar>
              <w:top w:type="dxa" w:w="110"/>
              <w:left w:type="dxa" w:w="150"/>
              <w:bottom w:type="dxa" w:w="110"/>
              <w:right w:type="dxa" w:w="150"/>
            </w:tcMar>
          </w:tcPr>
          <w:p>
            <w:pPr>
              <w:spacing w:after="0"/>
              <w:jc w:val="left"/>
            </w:pPr>
            <w:r>
              <w:rPr>
                <w:rFonts w:ascii="Arial" w:cs="Arial" w:eastAsia="Arial" w:hAnsi="Arial"/>
                <w:b/>
                <w:bCs/>
                <w:color w:val="FFFFFF"/>
                <w:sz w:val="21"/>
                <w:szCs w:val="21"/>
              </w:rPr>
              <w:t xml:space="preserve">ARCHITECTURE OVERVIEW — END TO END</w:t>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INPUT LAYER</w:t>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  SOP Corpus: Hospital SOP documents (PDF/DOCX from DMS). No EHR data required.</w:t>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  Clinician Query: Natural language text (web/mobile UI) or voice (optional, Phase 2).</w:t>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  User Role Context: Role (nurse/physician/pharmacist) inferred from login.</w:t>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PROCESSING LAYER — OFFLINE (SOP INGESTION, RUNS ONCE + ON UPDATE)</w:t>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  Document Parser: Extracts structured sections from SOP documents (title, scope, steps, contraindications, dosing, monitoring).</w:t>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  Clinical Chunker: Splits documents by semantic SOP section type, not token window. Preserves procedural structure.</w:t>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  Biomedical Embedder: PubMedBERT or BioLinkBERT generates dense vector representations of each chunk.</w:t>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  Vector Store: ChromaDB or FAISS stores embeddings + structured metadata (SOP ID, version, section type, department).</w:t>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PROCESSING LAYER — ONLINE (QUERY TIME, REAL-TIME)</w:t>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  Intent Classifier: Classifies query type (threshold / procedural / contraindication / role). Sets retrieval filters.</w:t>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  Hybrid Retriever: Combines dense retrieval (vector similarity) + sparse retrieval (BM25) for robust coverage.</w:t>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  LLM Generator: GPT-4 / Llama 3 / Mistral generates grounded answer from retrieved chunks. Citation required.</w:t>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  Procedural Faithfulness Verifier: 4-check pipeline (threshold, sequence, contraindication, role boundary).</w:t>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OUTPUT LAYER</w:t>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  Clinician-facing response: Formatted answer + citations + faithfulness status badge.</w:t>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  Flagged response: Warning annotation + specific conflicting SOP source text when checks fail.</w:t>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  Query log: Anonymized query + answer + faithfulness result stored for evaluation and model improvement.</w:t>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DEPLOYMENT CONSTRAINTS</w:t>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  Fully on-premise OR HIPAA-compliant cloud (Azure Health AI, AWS HealthLake).</w:t>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  No patient data required — SOP documents only.</w:t>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  No EHR integration required for Phase 1 — reduces deployment barrier dramatically.</w:t>
            </w:r>
          </w:p>
        </w:tc>
      </w:tr>
    </w:tbl>
    <w:p>
      <w:pPr>
        <w:spacing w:after="80"/>
      </w:pPr>
    </w:p>
    <w:p>
      <w:pPr>
        <w:pStyle w:val="Heading3"/>
        <w:spacing w:after="100" w:before="180"/>
      </w:pPr>
      <w:r>
        <w:rPr>
          <w:rFonts w:ascii="Arial" w:cs="Arial" w:eastAsia="Arial" w:hAnsi="Arial"/>
          <w:b/>
          <w:bCs/>
          <w:color w:val="0C5F5F"/>
          <w:sz w:val="23"/>
          <w:szCs w:val="23"/>
        </w:rPr>
        <w:t xml:space="preserve">Technology Stack (Prototypeable with Open-Source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0D2B4E" w:val="clear"/>
            <w:tcMar>
              <w:top w:type="dxa" w:w="110"/>
              <w:left w:type="dxa" w:w="150"/>
              <w:bottom w:type="dxa" w:w="110"/>
              <w:right w:type="dxa" w:w="150"/>
            </w:tcMar>
          </w:tcPr>
          <w:p>
            <w:pPr>
              <w:spacing w:after="0"/>
              <w:jc w:val="left"/>
            </w:pPr>
            <w:r>
              <w:rPr>
                <w:rFonts w:ascii="Arial" w:cs="Arial" w:eastAsia="Arial" w:hAnsi="Arial"/>
                <w:b/>
                <w:bCs/>
                <w:color w:val="FFFFFF"/>
                <w:sz w:val="20"/>
                <w:szCs w:val="20"/>
              </w:rPr>
              <w:t xml:space="preserve">Component</w:t>
            </w:r>
          </w:p>
        </w:tc>
        <w:tc>
          <w:tcPr>
            <w:tcW w:type="dxa" w:w="6860"/>
            <w:tcBorders>
              <w:top w:val="single" w:color="CCCCCC" w:sz="1"/>
              <w:left w:val="single" w:color="CCCCCC" w:sz="1"/>
              <w:bottom w:val="single" w:color="CCCCCC" w:sz="1"/>
              <w:right w:val="single" w:color="CCCCCC" w:sz="1"/>
            </w:tcBorders>
            <w:shd w:fill="0D2B4E" w:val="clear"/>
            <w:tcMar>
              <w:top w:type="dxa" w:w="110"/>
              <w:left w:type="dxa" w:w="150"/>
              <w:bottom w:type="dxa" w:w="110"/>
              <w:right w:type="dxa" w:w="150"/>
            </w:tcMar>
          </w:tcPr>
          <w:p>
            <w:pPr>
              <w:spacing w:after="0"/>
              <w:jc w:val="left"/>
            </w:pPr>
            <w:r>
              <w:rPr>
                <w:rFonts w:ascii="Arial" w:cs="Arial" w:eastAsia="Arial" w:hAnsi="Arial"/>
                <w:b/>
                <w:bCs/>
                <w:color w:val="FFFFFF"/>
                <w:sz w:val="20"/>
                <w:szCs w:val="20"/>
              </w:rPr>
              <w:t xml:space="preserve">Technology Options</w:t>
            </w:r>
          </w:p>
        </w:tc>
      </w:tr>
      <w:tr>
        <w:tc>
          <w:tcPr>
            <w:tcW w:type="dxa" w:w="250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0D2B4E"/>
                <w:sz w:val="20"/>
                <w:szCs w:val="20"/>
              </w:rPr>
              <w:t xml:space="preserve">LLM (Generation)</w:t>
            </w:r>
          </w:p>
        </w:tc>
        <w:tc>
          <w:tcPr>
            <w:tcW w:type="dxa" w:w="686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GPT-4 (Azure OpenAI, HIPAA BAA available) or Llama 3 / Mistral 7B (on-premise, no data leaves hospital)</w:t>
            </w:r>
          </w:p>
        </w:tc>
      </w:tr>
      <w:tr>
        <w:tc>
          <w:tcPr>
            <w:tcW w:type="dxa" w:w="250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0D2B4E"/>
                <w:sz w:val="20"/>
                <w:szCs w:val="20"/>
              </w:rPr>
              <w:t xml:space="preserve">Embeddings</w:t>
            </w:r>
          </w:p>
        </w:tc>
        <w:tc>
          <w:tcPr>
            <w:tcW w:type="dxa" w:w="686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PubMedBERT (Hugging Face), BioLinkBERT, or text-embedding-ada-002 (Azure)</w:t>
            </w:r>
          </w:p>
        </w:tc>
      </w:tr>
      <w:tr>
        <w:tc>
          <w:tcPr>
            <w:tcW w:type="dxa" w:w="250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0D2B4E"/>
                <w:sz w:val="20"/>
                <w:szCs w:val="20"/>
              </w:rPr>
              <w:t xml:space="preserve">Vector Database</w:t>
            </w:r>
          </w:p>
        </w:tc>
        <w:tc>
          <w:tcPr>
            <w:tcW w:type="dxa" w:w="686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ChromaDB (open-source, local) or FAISS (Meta, open-source) — both deployable on a single GPU server</w:t>
            </w:r>
          </w:p>
        </w:tc>
      </w:tr>
      <w:tr>
        <w:tc>
          <w:tcPr>
            <w:tcW w:type="dxa" w:w="250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0D2B4E"/>
                <w:sz w:val="20"/>
                <w:szCs w:val="20"/>
              </w:rPr>
              <w:t xml:space="preserve">RAG Framework</w:t>
            </w:r>
          </w:p>
        </w:tc>
        <w:tc>
          <w:tcPr>
            <w:tcW w:type="dxa" w:w="686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LangChain or LlamaIndex — both have hospital-ready RAG pipelines with metadata filtering</w:t>
            </w:r>
          </w:p>
        </w:tc>
      </w:tr>
      <w:tr>
        <w:tc>
          <w:tcPr>
            <w:tcW w:type="dxa" w:w="250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0D2B4E"/>
                <w:sz w:val="20"/>
                <w:szCs w:val="20"/>
              </w:rPr>
              <w:t xml:space="preserve">Faithfulness Verifier</w:t>
            </w:r>
          </w:p>
        </w:tc>
        <w:tc>
          <w:tcPr>
            <w:tcW w:type="dxa" w:w="686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Custom NLP pipeline: SpaCy for numeric extraction + NLI model (DeBERTa-v3) for contradiction detection</w:t>
            </w:r>
          </w:p>
        </w:tc>
      </w:tr>
      <w:tr>
        <w:tc>
          <w:tcPr>
            <w:tcW w:type="dxa" w:w="250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0D2B4E"/>
                <w:sz w:val="20"/>
                <w:szCs w:val="20"/>
              </w:rPr>
              <w:t xml:space="preserve">Evaluation Framework</w:t>
            </w:r>
          </w:p>
        </w:tc>
        <w:tc>
          <w:tcPr>
            <w:tcW w:type="dxa" w:w="686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Ragas (open-source RAG evaluation) + custom Procedural Faithfulness metrics (contribution)</w:t>
            </w:r>
          </w:p>
        </w:tc>
      </w:tr>
      <w:tr>
        <w:tc>
          <w:tcPr>
            <w:tcW w:type="dxa" w:w="250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0D2B4E"/>
                <w:sz w:val="20"/>
                <w:szCs w:val="20"/>
              </w:rPr>
              <w:t xml:space="preserve">Prototype Dataset</w:t>
            </w:r>
          </w:p>
        </w:tc>
        <w:tc>
          <w:tcPr>
            <w:tcW w:type="dxa" w:w="686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Publicly available clinical guidelines (AHA, IDSA, WHO) + simulated SOPs based on real institutional structures</w:t>
            </w:r>
          </w:p>
        </w:tc>
      </w:tr>
      <w:tr>
        <w:tc>
          <w:tcPr>
            <w:tcW w:type="dxa" w:w="250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0D2B4E"/>
                <w:sz w:val="20"/>
                <w:szCs w:val="20"/>
              </w:rPr>
              <w:t xml:space="preserve">Real Dataset (Phase 2)</w:t>
            </w:r>
          </w:p>
        </w:tc>
        <w:tc>
          <w:tcPr>
            <w:tcW w:type="dxa" w:w="686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Single hospital SOP corpus under data use agreement — no patient data required</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5F5F" w:sz="1"/>
              <w:left w:val="single" w:color="0C5F5F" w:sz="1"/>
              <w:bottom w:val="single" w:color="0C5F5F" w:sz="1"/>
              <w:right w:val="single" w:color="0C5F5F" w:sz="1"/>
            </w:tcBorders>
            <w:shd w:fill="0C5F5F" w:val="clear"/>
            <w:tcMar>
              <w:top w:type="dxa" w:w="140"/>
              <w:left w:type="dxa" w:w="180"/>
              <w:bottom w:type="dxa" w:w="140"/>
              <w:right w:type="dxa" w:w="180"/>
            </w:tcMar>
          </w:tcPr>
          <w:p>
            <w:pPr>
              <w:spacing w:after="0"/>
              <w:jc w:val="left"/>
            </w:pPr>
            <w:r>
              <w:rPr>
                <w:rFonts w:ascii="Arial" w:cs="Arial" w:eastAsia="Arial" w:hAnsi="Arial"/>
                <w:b/>
                <w:bCs/>
                <w:color w:val="FFFFFF"/>
                <w:sz w:val="24"/>
                <w:szCs w:val="24"/>
              </w:rPr>
              <w:t xml:space="preserve">6.  REAL-WORLD IMPACT</w:t>
            </w:r>
          </w:p>
        </w:tc>
      </w:tr>
    </w:tbl>
    <w:p>
      <w:pPr>
        <w:spacing w:after="80"/>
      </w:pPr>
    </w:p>
    <w:p>
      <w:pPr>
        <w:pStyle w:val="Heading2"/>
        <w:spacing w:after="120" w:before="280"/>
      </w:pPr>
      <w:r>
        <w:rPr>
          <w:rFonts w:ascii="Arial" w:cs="Arial" w:eastAsia="Arial" w:hAnsi="Arial"/>
          <w:b/>
          <w:bCs/>
          <w:color w:val="1A5FA8"/>
          <w:sz w:val="28"/>
          <w:szCs w:val="28"/>
        </w:rPr>
        <w:t xml:space="preserve">How This Changes Clinical Practice</w:t>
      </w:r>
    </w:p>
    <w:p>
      <w:pPr>
        <w:spacing w:after="80"/>
      </w:pPr>
    </w:p>
    <w:p>
      <w:pPr>
        <w:pStyle w:val="Heading3"/>
        <w:spacing w:after="100" w:before="180"/>
      </w:pPr>
      <w:r>
        <w:rPr>
          <w:rFonts w:ascii="Arial" w:cs="Arial" w:eastAsia="Arial" w:hAnsi="Arial"/>
          <w:b/>
          <w:bCs/>
          <w:color w:val="0C5F5F"/>
          <w:sz w:val="23"/>
          <w:szCs w:val="23"/>
        </w:rPr>
        <w:t xml:space="preserve">Impact on Patient Safety</w:t>
      </w:r>
    </w:p>
    <w:p>
      <w:pPr>
        <w:pStyle w:val="ListParagraph"/>
        <w:numPr>
          <w:ilvl w:val="0"/>
          <w:numId w:val="2"/>
        </w:numPr>
        <w:spacing w:after="80"/>
      </w:pPr>
      <w:r>
        <w:rPr>
          <w:rFonts w:ascii="Arial" w:cs="Arial" w:eastAsia="Arial" w:hAnsi="Arial"/>
          <w:b w:val="false"/>
          <w:bCs w:val="false"/>
          <w:color w:val="383838"/>
          <w:sz w:val="22"/>
          <w:szCs w:val="22"/>
        </w:rPr>
        <w:t xml:space="preserve">Directly reduces the most common mechanism of SOP non-adherence: inability to access the protocol quickly enough. If the answer takes 8 seconds instead of 7 minutes, clinicians will check the SOP.</w:t>
      </w:r>
    </w:p>
    <w:p>
      <w:pPr>
        <w:pStyle w:val="ListParagraph"/>
        <w:numPr>
          <w:ilvl w:val="0"/>
          <w:numId w:val="2"/>
        </w:numPr>
        <w:spacing w:after="80"/>
      </w:pPr>
      <w:r>
        <w:rPr>
          <w:rFonts w:ascii="Arial" w:cs="Arial" w:eastAsia="Arial" w:hAnsi="Arial"/>
          <w:b w:val="false"/>
          <w:bCs w:val="false"/>
          <w:color w:val="383838"/>
          <w:sz w:val="22"/>
          <w:szCs w:val="22"/>
        </w:rPr>
        <w:t xml:space="preserve">The Procedural Faithfulness Verifier catches specific classes of AI errors that could cause direct patient harm — threshold errors, step reordering, missed contraindications — before they reach the clinician.</w:t>
      </w:r>
    </w:p>
    <w:p>
      <w:pPr>
        <w:pStyle w:val="ListParagraph"/>
        <w:numPr>
          <w:ilvl w:val="0"/>
          <w:numId w:val="2"/>
        </w:numPr>
        <w:spacing w:after="80"/>
      </w:pPr>
      <w:r>
        <w:rPr>
          <w:rFonts w:ascii="Arial" w:cs="Arial" w:eastAsia="Arial" w:hAnsi="Arial"/>
          <w:b w:val="false"/>
          <w:bCs w:val="false"/>
          <w:color w:val="383838"/>
          <w:sz w:val="22"/>
          <w:szCs w:val="22"/>
        </w:rPr>
        <w:t xml:space="preserve">Creates a safety net that makes AI-assisted SOP access safer than generic LLM access, addressing the primary objection to clinical AI deployment.</w:t>
      </w:r>
    </w:p>
    <w:p>
      <w:pPr>
        <w:spacing w:after="80"/>
      </w:pPr>
    </w:p>
    <w:p>
      <w:pPr>
        <w:pStyle w:val="Heading3"/>
        <w:spacing w:after="100" w:before="180"/>
      </w:pPr>
      <w:r>
        <w:rPr>
          <w:rFonts w:ascii="Arial" w:cs="Arial" w:eastAsia="Arial" w:hAnsi="Arial"/>
          <w:b/>
          <w:bCs/>
          <w:color w:val="0C5F5F"/>
          <w:sz w:val="23"/>
          <w:szCs w:val="23"/>
        </w:rPr>
        <w:t xml:space="preserve">Impact on Clinical Efficiency</w:t>
      </w:r>
    </w:p>
    <w:p>
      <w:pPr>
        <w:pStyle w:val="ListParagraph"/>
        <w:numPr>
          <w:ilvl w:val="0"/>
          <w:numId w:val="2"/>
        </w:numPr>
        <w:spacing w:after="80"/>
      </w:pPr>
      <w:r>
        <w:rPr>
          <w:rFonts w:ascii="Arial" w:cs="Arial" w:eastAsia="Arial" w:hAnsi="Arial"/>
          <w:b w:val="false"/>
          <w:bCs w:val="false"/>
          <w:color w:val="383838"/>
          <w:sz w:val="22"/>
          <w:szCs w:val="22"/>
        </w:rPr>
        <w:t xml:space="preserve">Reduces SOP lookup time from 4-9 minutes to under 10 seconds in the majority of cases.</w:t>
      </w:r>
    </w:p>
    <w:p>
      <w:pPr>
        <w:pStyle w:val="ListParagraph"/>
        <w:numPr>
          <w:ilvl w:val="0"/>
          <w:numId w:val="2"/>
        </w:numPr>
        <w:spacing w:after="80"/>
      </w:pPr>
      <w:r>
        <w:rPr>
          <w:rFonts w:ascii="Arial" w:cs="Arial" w:eastAsia="Arial" w:hAnsi="Arial"/>
          <w:b w:val="false"/>
          <w:bCs w:val="false"/>
          <w:color w:val="383838"/>
          <w:sz w:val="22"/>
          <w:szCs w:val="22"/>
        </w:rPr>
        <w:t xml:space="preserve">Eliminates the cognitive cost of scanning long documents — answers are synthesized, cited, and role-targeted.</w:t>
      </w:r>
    </w:p>
    <w:p>
      <w:pPr>
        <w:pStyle w:val="ListParagraph"/>
        <w:numPr>
          <w:ilvl w:val="0"/>
          <w:numId w:val="2"/>
        </w:numPr>
        <w:spacing w:after="80"/>
      </w:pPr>
      <w:r>
        <w:rPr>
          <w:rFonts w:ascii="Arial" w:cs="Arial" w:eastAsia="Arial" w:hAnsi="Arial"/>
          <w:b w:val="false"/>
          <w:bCs w:val="false"/>
          <w:color w:val="383838"/>
          <w:sz w:val="22"/>
          <w:szCs w:val="22"/>
        </w:rPr>
        <w:t xml:space="preserve">Works on mobile — clinicians at the bedside, in the OR, or at the nursing station get the same quality of access.</w:t>
      </w:r>
    </w:p>
    <w:p>
      <w:pPr>
        <w:spacing w:after="80"/>
      </w:pPr>
    </w:p>
    <w:p>
      <w:pPr>
        <w:pStyle w:val="Heading3"/>
        <w:spacing w:after="100" w:before="180"/>
      </w:pPr>
      <w:r>
        <w:rPr>
          <w:rFonts w:ascii="Arial" w:cs="Arial" w:eastAsia="Arial" w:hAnsi="Arial"/>
          <w:b/>
          <w:bCs/>
          <w:color w:val="0C5F5F"/>
          <w:sz w:val="23"/>
          <w:szCs w:val="23"/>
        </w:rPr>
        <w:t xml:space="preserve">Impact on Decision-Making Quality</w:t>
      </w:r>
    </w:p>
    <w:p>
      <w:pPr>
        <w:pStyle w:val="ListParagraph"/>
        <w:numPr>
          <w:ilvl w:val="0"/>
          <w:numId w:val="2"/>
        </w:numPr>
        <w:spacing w:after="80"/>
      </w:pPr>
      <w:r>
        <w:rPr>
          <w:rFonts w:ascii="Arial" w:cs="Arial" w:eastAsia="Arial" w:hAnsi="Arial"/>
          <w:b w:val="false"/>
          <w:bCs w:val="false"/>
          <w:color w:val="383838"/>
          <w:sz w:val="22"/>
          <w:szCs w:val="22"/>
        </w:rPr>
        <w:t xml:space="preserve">Provides institution-specific, version-confirmed answers — not generic medical knowledge from LLM training data. The MAP threshold in this hospital's SOP may differ from the national guideline default.</w:t>
      </w:r>
    </w:p>
    <w:p>
      <w:pPr>
        <w:pStyle w:val="ListParagraph"/>
        <w:numPr>
          <w:ilvl w:val="0"/>
          <w:numId w:val="2"/>
        </w:numPr>
        <w:spacing w:after="80"/>
      </w:pPr>
      <w:r>
        <w:rPr>
          <w:rFonts w:ascii="Arial" w:cs="Arial" w:eastAsia="Arial" w:hAnsi="Arial"/>
          <w:b w:val="false"/>
          <w:bCs w:val="false"/>
          <w:color w:val="383838"/>
          <w:sz w:val="22"/>
          <w:szCs w:val="22"/>
        </w:rPr>
        <w:t xml:space="preserve">Citations make the source traceable and auditable. Clinicians can verify and read more deeply when needed.</w:t>
      </w:r>
    </w:p>
    <w:p>
      <w:pPr>
        <w:pStyle w:val="ListParagraph"/>
        <w:numPr>
          <w:ilvl w:val="0"/>
          <w:numId w:val="2"/>
        </w:numPr>
        <w:spacing w:after="80"/>
      </w:pPr>
      <w:r>
        <w:rPr>
          <w:rFonts w:ascii="Arial" w:cs="Arial" w:eastAsia="Arial" w:hAnsi="Arial"/>
          <w:b w:val="false"/>
          <w:bCs w:val="false"/>
          <w:color w:val="383838"/>
          <w:sz w:val="22"/>
          <w:szCs w:val="22"/>
        </w:rPr>
        <w:t xml:space="preserve">Faithfulness warnings create a learning feedback loop: clinicians see when the AI is uncertain or when source material is complex, reinforcing appropriate reliance on the full document.</w:t>
      </w:r>
    </w:p>
    <w:p>
      <w:pPr>
        <w:spacing w:after="80"/>
      </w:pPr>
    </w:p>
    <w:p>
      <w:pPr>
        <w:pStyle w:val="Heading3"/>
        <w:spacing w:after="100" w:before="180"/>
      </w:pPr>
      <w:r>
        <w:rPr>
          <w:rFonts w:ascii="Arial" w:cs="Arial" w:eastAsia="Arial" w:hAnsi="Arial"/>
          <w:b/>
          <w:bCs/>
          <w:color w:val="0C5F5F"/>
          <w:sz w:val="23"/>
          <w:szCs w:val="23"/>
        </w:rPr>
        <w:t xml:space="preserve">Broader System-Level Impact</w:t>
      </w:r>
    </w:p>
    <w:p>
      <w:pPr>
        <w:pStyle w:val="ListParagraph"/>
        <w:numPr>
          <w:ilvl w:val="0"/>
          <w:numId w:val="2"/>
        </w:numPr>
        <w:spacing w:after="80"/>
      </w:pPr>
      <w:r>
        <w:rPr>
          <w:rFonts w:ascii="Arial" w:cs="Arial" w:eastAsia="Arial" w:hAnsi="Arial"/>
          <w:b w:val="false"/>
          <w:bCs w:val="false"/>
          <w:color w:val="383838"/>
          <w:sz w:val="22"/>
          <w:szCs w:val="22"/>
        </w:rPr>
        <w:t xml:space="preserve">Query logs (anonymized) reveal which SOP sections are most-queried, which questions are hardest to answer (retrieval failures), and which answers receive negative feedback — directly feeding into the SOP improvement cycle.</w:t>
      </w:r>
    </w:p>
    <w:p>
      <w:pPr>
        <w:pStyle w:val="ListParagraph"/>
        <w:numPr>
          <w:ilvl w:val="0"/>
          <w:numId w:val="2"/>
        </w:numPr>
        <w:spacing w:after="80"/>
      </w:pPr>
      <w:r>
        <w:rPr>
          <w:rFonts w:ascii="Arial" w:cs="Arial" w:eastAsia="Arial" w:hAnsi="Arial"/>
          <w:b w:val="false"/>
          <w:bCs w:val="false"/>
          <w:color w:val="383838"/>
          <w:sz w:val="22"/>
          <w:szCs w:val="22"/>
        </w:rPr>
        <w:t xml:space="preserve">Measurable increase in SOP adherence rates can be tracked against clinical outcome data over time, creating a feedback loop between the knowledge system and patient outcomes.</w:t>
      </w:r>
    </w:p>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1"/>
              <w:left w:val="single" w:color="0D2B4E" w:sz="1"/>
              <w:bottom w:val="single" w:color="0D2B4E" w:sz="1"/>
              <w:right w:val="single" w:color="0D2B4E" w:sz="1"/>
            </w:tcBorders>
            <w:shd w:fill="0D2B4E" w:val="clear"/>
            <w:tcMar>
              <w:top w:type="dxa" w:w="140"/>
              <w:left w:type="dxa" w:w="180"/>
              <w:bottom w:type="dxa" w:w="140"/>
              <w:right w:type="dxa" w:w="180"/>
            </w:tcMar>
          </w:tcPr>
          <w:p>
            <w:pPr>
              <w:spacing w:after="0"/>
              <w:jc w:val="left"/>
            </w:pPr>
            <w:r>
              <w:rPr>
                <w:rFonts w:ascii="Arial" w:cs="Arial" w:eastAsia="Arial" w:hAnsi="Arial"/>
                <w:b/>
                <w:bCs/>
                <w:color w:val="FFFFFF"/>
                <w:sz w:val="24"/>
                <w:szCs w:val="24"/>
              </w:rPr>
              <w:t xml:space="preserve">7.  WHY THIS IS RESEARCH-WORTHY</w:t>
            </w:r>
          </w:p>
        </w:tc>
      </w:tr>
    </w:tbl>
    <w:p>
      <w:pPr>
        <w:spacing w:after="80"/>
      </w:pPr>
    </w:p>
    <w:p>
      <w:pPr>
        <w:pStyle w:val="Heading2"/>
        <w:spacing w:after="120" w:before="280"/>
      </w:pPr>
      <w:r>
        <w:rPr>
          <w:rFonts w:ascii="Arial" w:cs="Arial" w:eastAsia="Arial" w:hAnsi="Arial"/>
          <w:b/>
          <w:bCs/>
          <w:color w:val="1A5FA8"/>
          <w:sz w:val="28"/>
          <w:szCs w:val="28"/>
        </w:rPr>
        <w:t xml:space="preserve">The Novel Scientific Contributions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1"/>
              <w:left w:val="single" w:color="0D2B4E" w:sz="1"/>
              <w:bottom w:val="single" w:color="0D2B4E" w:sz="1"/>
              <w:right w:val="single" w:color="0D2B4E" w:sz="1"/>
            </w:tcBorders>
            <w:shd w:fill="0D2B4E" w:val="clear"/>
            <w:tcMar>
              <w:top w:type="dxa" w:w="110"/>
              <w:left w:type="dxa" w:w="150"/>
              <w:bottom w:type="dxa" w:w="110"/>
              <w:right w:type="dxa" w:w="150"/>
            </w:tcMar>
          </w:tcPr>
          <w:p>
            <w:pPr>
              <w:spacing w:after="0"/>
              <w:jc w:val="left"/>
            </w:pPr>
            <w:r>
              <w:rPr>
                <w:rFonts w:ascii="Arial" w:cs="Arial" w:eastAsia="Arial" w:hAnsi="Arial"/>
                <w:b/>
                <w:bCs/>
                <w:color w:val="FFFFFF"/>
                <w:sz w:val="21"/>
                <w:szCs w:val="21"/>
              </w:rPr>
              <w:t xml:space="preserve">NOVEL CONTRIBUTIONS — WHAT THIS ADDS TO THE LITERATURE</w:t>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CONTRIBUTION 1: PROCEDURAL FAITHFULNESS AS A NEW EVALUATION DIMENSION</w:t>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No existing NLP evaluation framework defines or measures procedural faithfulness — the degree to which an AI-generated answer correctly preserves the decision logic, thresholds, sequences, and contraindications of a source procedural document. This paper defines it formally, proposes an operationalization, and demonstrates that existing metrics (faithfulness scores, ROUGE, BERTScore) systematically fail to detect procedural errors in clinical SOP QA.</w:t>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CONTRIBUTION 2: FIRST CLINICAL SOP QA BENCHMARK</w:t>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The paper introduces the first publicly releasable benchmark dataset for clinical SOP question answering — a collection of question-answer pairs derived from institutional SOP documents, annotated with procedural faithfulness labels across four error categories (threshold, sequence, contraindication, role). This benchmark will be usable by the entire clinical NLP community for future evaluation.</w:t>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CONTRIBUTION 3: CLINICALLY-AWARE CHUNKING STRATEGY</w:t>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Standard RAG uses token-window chunking. For procedural documents, this breaks procedural logic across chunks, reducing retrieval quality for the most critical content types (ordered steps, if-then conditions). This paper proposes and evaluates a section-type-aware clinical chunking strategy and demonstrates measurable improvement in retrieval quality for threshold and contraindication queries.</w:t>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CONTRIBUTION 4: COMPARATIVE EVALUATION AGAINST CLINICAL BASELINES</w:t>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A rigorous comparison: (1) keyword DMS search [baseline], (2) standard GPT-4 without RAG, (3) standard RAG with GPT-4, (4) ClinicalSOP-RAG with Faithfulness Verifier. Evaluated on Procedural Faithfulness, answer accuracy, source citation quality, and clinical safety failure rate. Results are directly interpretable by clinicians and informaticists.</w:t>
            </w:r>
          </w:p>
        </w:tc>
      </w:tr>
    </w:tbl>
    <w:p>
      <w:pPr>
        <w:spacing w:after="120"/>
      </w:pPr>
    </w:p>
    <w:p>
      <w:pPr>
        <w:pStyle w:val="Heading2"/>
        <w:spacing w:after="120" w:before="280"/>
      </w:pPr>
      <w:r>
        <w:rPr>
          <w:rFonts w:ascii="Arial" w:cs="Arial" w:eastAsia="Arial" w:hAnsi="Arial"/>
          <w:b/>
          <w:bCs/>
          <w:color w:val="1A5FA8"/>
          <w:sz w:val="28"/>
          <w:szCs w:val="28"/>
        </w:rPr>
        <w:t xml:space="preserve">Measurable Research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2B4E" w:val="clear"/>
            <w:tcMar>
              <w:top w:type="dxa" w:w="110"/>
              <w:left w:type="dxa" w:w="150"/>
              <w:bottom w:type="dxa" w:w="110"/>
              <w:right w:type="dxa" w:w="150"/>
            </w:tcMar>
          </w:tcPr>
          <w:p>
            <w:pPr>
              <w:spacing w:after="0"/>
              <w:jc w:val="left"/>
            </w:pPr>
            <w:r>
              <w:rPr>
                <w:rFonts w:ascii="Arial" w:cs="Arial" w:eastAsia="Arial" w:hAnsi="Arial"/>
                <w:b/>
                <w:bCs/>
                <w:color w:val="FFFFFF"/>
                <w:sz w:val="20"/>
                <w:szCs w:val="20"/>
              </w:rPr>
              <w:t xml:space="preserve">Metric</w:t>
            </w:r>
          </w:p>
        </w:tc>
        <w:tc>
          <w:tcPr>
            <w:tcW w:type="dxa" w:w="6560"/>
            <w:tcBorders>
              <w:top w:val="single" w:color="CCCCCC" w:sz="1"/>
              <w:left w:val="single" w:color="CCCCCC" w:sz="1"/>
              <w:bottom w:val="single" w:color="CCCCCC" w:sz="1"/>
              <w:right w:val="single" w:color="CCCCCC" w:sz="1"/>
            </w:tcBorders>
            <w:shd w:fill="0D2B4E" w:val="clear"/>
            <w:tcMar>
              <w:top w:type="dxa" w:w="110"/>
              <w:left w:type="dxa" w:w="150"/>
              <w:bottom w:type="dxa" w:w="110"/>
              <w:right w:type="dxa" w:w="150"/>
            </w:tcMar>
          </w:tcPr>
          <w:p>
            <w:pPr>
              <w:spacing w:after="0"/>
              <w:jc w:val="left"/>
            </w:pPr>
            <w:r>
              <w:rPr>
                <w:rFonts w:ascii="Arial" w:cs="Arial" w:eastAsia="Arial" w:hAnsi="Arial"/>
                <w:b/>
                <w:bCs/>
                <w:color w:val="FFFFFF"/>
                <w:sz w:val="20"/>
                <w:szCs w:val="20"/>
              </w:rPr>
              <w:t xml:space="preserve">Definition and Measurement Method</w:t>
            </w:r>
          </w:p>
        </w:tc>
      </w:tr>
      <w:tr>
        <w:tc>
          <w:tcPr>
            <w:tcW w:type="dxa" w:w="280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0D2B4E"/>
                <w:sz w:val="20"/>
                <w:szCs w:val="20"/>
              </w:rPr>
              <w:t xml:space="preserve">Procedural Faithfulness Score (PF-Score)</w:t>
            </w:r>
          </w:p>
        </w:tc>
        <w:tc>
          <w:tcPr>
            <w:tcW w:type="dxa" w:w="656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Novel metric: % of answers that correctly preserve all thresholds, sequences, and contraindications from source SOP. Measured against expert-annotated gold standard.</w:t>
            </w:r>
          </w:p>
        </w:tc>
      </w:tr>
      <w:tr>
        <w:tc>
          <w:tcPr>
            <w:tcW w:type="dxa" w:w="280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0D2B4E"/>
                <w:sz w:val="20"/>
                <w:szCs w:val="20"/>
              </w:rPr>
              <w:t xml:space="preserve">Clinical Safety Failure Rate</w:t>
            </w:r>
          </w:p>
        </w:tc>
        <w:tc>
          <w:tcPr>
            <w:tcW w:type="dxa" w:w="656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of answers containing a clinically dangerous error (wrong threshold / missed contraindication / reversed sequence). Key patient safety metric.</w:t>
            </w:r>
          </w:p>
        </w:tc>
      </w:tr>
      <w:tr>
        <w:tc>
          <w:tcPr>
            <w:tcW w:type="dxa" w:w="280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0D2B4E"/>
                <w:sz w:val="20"/>
                <w:szCs w:val="20"/>
              </w:rPr>
              <w:t xml:space="preserve">Retrieval Precision@k</w:t>
            </w:r>
          </w:p>
        </w:tc>
        <w:tc>
          <w:tcPr>
            <w:tcW w:type="dxa" w:w="656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of top-k retrieved SOP chunks that are relevant to the query. Compared across chunking strategies.</w:t>
            </w:r>
          </w:p>
        </w:tc>
      </w:tr>
      <w:tr>
        <w:tc>
          <w:tcPr>
            <w:tcW w:type="dxa" w:w="280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0D2B4E"/>
                <w:sz w:val="20"/>
                <w:szCs w:val="20"/>
              </w:rPr>
              <w:t xml:space="preserve">Answer Accuracy</w:t>
            </w:r>
          </w:p>
        </w:tc>
        <w:tc>
          <w:tcPr>
            <w:tcW w:type="dxa" w:w="656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Expert physician and nurse ratings of answer correctness on a 4-point scale (correct, partially correct, incorrect, dangerous).</w:t>
            </w:r>
          </w:p>
        </w:tc>
      </w:tr>
      <w:tr>
        <w:tc>
          <w:tcPr>
            <w:tcW w:type="dxa" w:w="280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0D2B4E"/>
                <w:sz w:val="20"/>
                <w:szCs w:val="20"/>
              </w:rPr>
              <w:t xml:space="preserve">Time-to-Answer</w:t>
            </w:r>
          </w:p>
        </w:tc>
        <w:tc>
          <w:tcPr>
            <w:tcW w:type="dxa" w:w="656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Wall-clock time from query submission to answer display. Target: &lt;10 seconds for 95% of queries.</w:t>
            </w:r>
          </w:p>
        </w:tc>
      </w:tr>
      <w:tr>
        <w:tc>
          <w:tcPr>
            <w:tcW w:type="dxa" w:w="280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0D2B4E"/>
                <w:sz w:val="20"/>
                <w:szCs w:val="20"/>
              </w:rPr>
              <w:t xml:space="preserve">User Satisfaction (SUS)</w:t>
            </w:r>
          </w:p>
        </w:tc>
        <w:tc>
          <w:tcPr>
            <w:tcW w:type="dxa" w:w="656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System Usability Scale score from clinician pilot. Compared against current DMS baseline.</w:t>
            </w:r>
          </w:p>
        </w:tc>
      </w:tr>
      <w:tr>
        <w:tc>
          <w:tcPr>
            <w:tcW w:type="dxa" w:w="280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0D2B4E"/>
                <w:sz w:val="20"/>
                <w:szCs w:val="20"/>
              </w:rPr>
              <w:t xml:space="preserve">Faithfulness Verifier Precision/Recall</w:t>
            </w:r>
          </w:p>
        </w:tc>
        <w:tc>
          <w:tcPr>
            <w:tcW w:type="dxa" w:w="656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When the verifier flags an error, how often is it a real error? (Precision) What % of real errors does it catch? (Recall)</w:t>
            </w:r>
          </w:p>
        </w:tc>
      </w:tr>
    </w:tbl>
    <w:p>
      <w:pPr>
        <w:spacing w:after="80"/>
      </w:pPr>
    </w:p>
    <w:p>
      <w:pPr>
        <w:pStyle w:val="Heading2"/>
        <w:spacing w:after="120" w:before="280"/>
      </w:pPr>
      <w:r>
        <w:rPr>
          <w:rFonts w:ascii="Arial" w:cs="Arial" w:eastAsia="Arial" w:hAnsi="Arial"/>
          <w:b/>
          <w:bCs/>
          <w:color w:val="1A5FA8"/>
          <w:sz w:val="28"/>
          <w:szCs w:val="28"/>
        </w:rPr>
        <w:t xml:space="preserve">Why Journals Would Publish This</w:t>
      </w:r>
    </w:p>
    <w:p>
      <w:pPr>
        <w:pStyle w:val="ListParagraph"/>
        <w:numPr>
          <w:ilvl w:val="0"/>
          <w:numId w:val="2"/>
        </w:numPr>
        <w:spacing w:after="80"/>
      </w:pPr>
      <w:r>
        <w:rPr>
          <w:rFonts w:ascii="Arial" w:cs="Arial" w:eastAsia="Arial" w:hAnsi="Arial"/>
          <w:b w:val="false"/>
          <w:bCs w:val="false"/>
          <w:color w:val="383838"/>
          <w:sz w:val="22"/>
          <w:szCs w:val="22"/>
        </w:rPr>
        <w:t xml:space="preserve">JAMIA (Journal of the American Medical Informatics Association): Directly in scope — clinical NLP, health information systems, patient safety. The benchmark dataset alone is publishable here.</w:t>
      </w:r>
    </w:p>
    <w:p>
      <w:pPr>
        <w:pStyle w:val="ListParagraph"/>
        <w:numPr>
          <w:ilvl w:val="0"/>
          <w:numId w:val="2"/>
        </w:numPr>
        <w:spacing w:after="80"/>
      </w:pPr>
      <w:r>
        <w:rPr>
          <w:rFonts w:ascii="Arial" w:cs="Arial" w:eastAsia="Arial" w:hAnsi="Arial"/>
          <w:b w:val="false"/>
          <w:bCs w:val="false"/>
          <w:color w:val="383838"/>
          <w:sz w:val="22"/>
          <w:szCs w:val="22"/>
        </w:rPr>
        <w:t xml:space="preserve">npj Digital Medicine (Nature): High-profile venue for AI in clinical settings. The Procedural Faithfulness concept is novel enough for this audience.</w:t>
      </w:r>
    </w:p>
    <w:p>
      <w:pPr>
        <w:pStyle w:val="ListParagraph"/>
        <w:numPr>
          <w:ilvl w:val="0"/>
          <w:numId w:val="2"/>
        </w:numPr>
        <w:spacing w:after="80"/>
      </w:pPr>
      <w:r>
        <w:rPr>
          <w:rFonts w:ascii="Arial" w:cs="Arial" w:eastAsia="Arial" w:hAnsi="Arial"/>
          <w:b w:val="false"/>
          <w:bCs w:val="false"/>
          <w:color w:val="383838"/>
          <w:sz w:val="22"/>
          <w:szCs w:val="22"/>
        </w:rPr>
        <w:t xml:space="preserve">ACL BioNLP Workshop / EMNLP Clinical NLP: NLP methods contribution with the faithfulness evaluation framework and benchmark.</w:t>
      </w:r>
    </w:p>
    <w:p>
      <w:pPr>
        <w:pStyle w:val="ListParagraph"/>
        <w:numPr>
          <w:ilvl w:val="0"/>
          <w:numId w:val="2"/>
        </w:numPr>
        <w:spacing w:after="80"/>
      </w:pPr>
      <w:r>
        <w:rPr>
          <w:rFonts w:ascii="Arial" w:cs="Arial" w:eastAsia="Arial" w:hAnsi="Arial"/>
          <w:b w:val="false"/>
          <w:bCs w:val="false"/>
          <w:color w:val="383838"/>
          <w:sz w:val="22"/>
          <w:szCs w:val="22"/>
        </w:rPr>
        <w:t xml:space="preserve">Applied Clinical Informatics: System paper with clinical pilot data — strong fit.</w:t>
      </w:r>
    </w:p>
    <w:p>
      <w:pPr>
        <w:pStyle w:val="ListParagraph"/>
        <w:numPr>
          <w:ilvl w:val="0"/>
          <w:numId w:val="2"/>
        </w:numPr>
        <w:spacing w:after="80"/>
      </w:pPr>
      <w:r>
        <w:rPr>
          <w:rFonts w:ascii="Arial" w:cs="Arial" w:eastAsia="Arial" w:hAnsi="Arial"/>
          <w:b w:val="false"/>
          <w:bCs w:val="false"/>
          <w:color w:val="383838"/>
          <w:sz w:val="22"/>
          <w:szCs w:val="22"/>
        </w:rPr>
        <w:t xml:space="preserve">The cross-disciplinary nature (NLP + clinical informatics + patient safety) gives it flexibility across multiple strong venues.</w:t>
      </w:r>
    </w:p>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2020" w:sz="1"/>
              <w:left w:val="single" w:color="A02020" w:sz="1"/>
              <w:bottom w:val="single" w:color="A02020" w:sz="1"/>
              <w:right w:val="single" w:color="A02020" w:sz="1"/>
            </w:tcBorders>
            <w:shd w:fill="A02020" w:val="clear"/>
            <w:tcMar>
              <w:top w:type="dxa" w:w="140"/>
              <w:left w:type="dxa" w:w="180"/>
              <w:bottom w:type="dxa" w:w="140"/>
              <w:right w:type="dxa" w:w="180"/>
            </w:tcMar>
          </w:tcPr>
          <w:p>
            <w:pPr>
              <w:spacing w:after="0"/>
              <w:jc w:val="left"/>
            </w:pPr>
            <w:r>
              <w:rPr>
                <w:rFonts w:ascii="Arial" w:cs="Arial" w:eastAsia="Arial" w:hAnsi="Arial"/>
                <w:b/>
                <w:bCs/>
                <w:color w:val="FFFFFF"/>
                <w:sz w:val="24"/>
                <w:szCs w:val="24"/>
              </w:rPr>
              <w:t xml:space="preserve">8.  KEY CHALLENGES — HONEST AND REALISTIC</w:t>
            </w:r>
          </w:p>
        </w:tc>
      </w:tr>
    </w:tbl>
    <w:p>
      <w:pPr>
        <w:spacing w:after="80"/>
      </w:pPr>
    </w:p>
    <w:p>
      <w:pPr>
        <w:pStyle w:val="Heading2"/>
        <w:spacing w:after="120" w:before="280"/>
      </w:pPr>
      <w:r>
        <w:rPr>
          <w:rFonts w:ascii="Arial" w:cs="Arial" w:eastAsia="Arial" w:hAnsi="Arial"/>
          <w:b/>
          <w:bCs/>
          <w:color w:val="1A5FA8"/>
          <w:sz w:val="28"/>
          <w:szCs w:val="28"/>
        </w:rPr>
        <w:t xml:space="preserve">What Could Go Wrong and How to Mitigate It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2020" w:sz="1"/>
              <w:left w:val="single" w:color="A02020" w:sz="1"/>
              <w:bottom w:val="single" w:color="A02020" w:sz="1"/>
              <w:right w:val="single" w:color="A02020" w:sz="1"/>
            </w:tcBorders>
            <w:shd w:fill="A02020" w:val="clear"/>
            <w:tcMar>
              <w:top w:type="dxa" w:w="110"/>
              <w:left w:type="dxa" w:w="150"/>
              <w:bottom w:type="dxa" w:w="110"/>
              <w:right w:type="dxa" w:w="150"/>
            </w:tcMar>
          </w:tcPr>
          <w:p>
            <w:pPr>
              <w:spacing w:after="0"/>
              <w:jc w:val="left"/>
            </w:pPr>
            <w:r>
              <w:rPr>
                <w:rFonts w:ascii="Arial" w:cs="Arial" w:eastAsia="Arial" w:hAnsi="Arial"/>
                <w:b/>
                <w:bCs/>
                <w:color w:val="FFFFFF"/>
                <w:sz w:val="21"/>
                <w:szCs w:val="21"/>
              </w:rPr>
              <w:t xml:space="preserve">CHALLENGE 1: SOP CORPUS ACCESS</w:t>
            </w:r>
          </w:p>
        </w:tc>
      </w:tr>
      <w:tr>
        <w:tc>
          <w:tcPr>
            <w:tcW w:type="dxa" w:w="9360"/>
            <w:tcBorders>
              <w:top w:val="single" w:color="CCCCCC" w:sz="1"/>
              <w:left w:val="single" w:color="CCCCCC" w:sz="1"/>
              <w:bottom w:val="single" w:color="CCCCCC" w:sz="1"/>
              <w:right w:val="single" w:color="CCCCCC" w:sz="1"/>
            </w:tcBorders>
            <w:shd w:fill="FDEAEA"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RISK: Getting access to real institutional SOP documents requires hospital partnership, data use agreements, and potentially IRB review (even though SOPs contain no patient data, some hospitals treat them as proprietary).</w:t>
            </w:r>
          </w:p>
        </w:tc>
      </w:tr>
      <w:tr>
        <w:tc>
          <w:tcPr>
            <w:tcW w:type="dxa" w:w="9360"/>
            <w:tcBorders>
              <w:top w:val="single" w:color="CCCCCC" w:sz="1"/>
              <w:left w:val="single" w:color="CCCCCC" w:sz="1"/>
              <w:bottom w:val="single" w:color="CCCCCC" w:sz="1"/>
              <w:right w:val="single" w:color="CCCCCC" w:sz="1"/>
            </w:tcBorders>
            <w:shd w:fill="FDEAEA"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w:r>
          </w:p>
        </w:tc>
      </w:tr>
      <w:tr>
        <w:tc>
          <w:tcPr>
            <w:tcW w:type="dxa" w:w="9360"/>
            <w:tcBorders>
              <w:top w:val="single" w:color="CCCCCC" w:sz="1"/>
              <w:left w:val="single" w:color="CCCCCC" w:sz="1"/>
              <w:bottom w:val="single" w:color="CCCCCC" w:sz="1"/>
              <w:right w:val="single" w:color="CCCCCC" w:sz="1"/>
            </w:tcBorders>
            <w:shd w:fill="FDEAEA"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MITIGATION: Phase 1 of the research can use publicly available clinical guidelines (AHA, IDSA, WHO, NICE — all publicly downloadable) as SOP proxies. These are procedural documents with the same structure (thresholds, steps, contraindications) as institutional SOPs. Phase 2 establishes a hospital partnership for a real SOP corpus. Most papers in this space begin with public guidelines and add real institutional data in follow-up work. This is an accepted pattern in clinical NLP.</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2020" w:sz="1"/>
              <w:left w:val="single" w:color="A02020" w:sz="1"/>
              <w:bottom w:val="single" w:color="A02020" w:sz="1"/>
              <w:right w:val="single" w:color="A02020" w:sz="1"/>
            </w:tcBorders>
            <w:shd w:fill="A02020" w:val="clear"/>
            <w:tcMar>
              <w:top w:type="dxa" w:w="110"/>
              <w:left w:type="dxa" w:w="150"/>
              <w:bottom w:type="dxa" w:w="110"/>
              <w:right w:type="dxa" w:w="150"/>
            </w:tcMar>
          </w:tcPr>
          <w:p>
            <w:pPr>
              <w:spacing w:after="0"/>
              <w:jc w:val="left"/>
            </w:pPr>
            <w:r>
              <w:rPr>
                <w:rFonts w:ascii="Arial" w:cs="Arial" w:eastAsia="Arial" w:hAnsi="Arial"/>
                <w:b/>
                <w:bCs/>
                <w:color w:val="FFFFFF"/>
                <w:sz w:val="21"/>
                <w:szCs w:val="21"/>
              </w:rPr>
              <w:t xml:space="preserve">CHALLENGE 2: HALLUCINATION IN HIGH-STAKES CONTEXTS</w:t>
            </w:r>
          </w:p>
        </w:tc>
      </w:tr>
      <w:tr>
        <w:tc>
          <w:tcPr>
            <w:tcW w:type="dxa" w:w="9360"/>
            <w:tcBorders>
              <w:top w:val="single" w:color="CCCCCC" w:sz="1"/>
              <w:left w:val="single" w:color="CCCCCC" w:sz="1"/>
              <w:bottom w:val="single" w:color="CCCCCC" w:sz="1"/>
              <w:right w:val="single" w:color="CCCCCC" w:sz="1"/>
            </w:tcBorders>
            <w:shd w:fill="FDEAEA"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RISK: Even with RAG, LLMs can hallucinate — generate a plausible but incorrect answer not grounded in any retrieved chunk. In a clinical context, this could cause patient harm.</w:t>
            </w:r>
          </w:p>
        </w:tc>
      </w:tr>
      <w:tr>
        <w:tc>
          <w:tcPr>
            <w:tcW w:type="dxa" w:w="9360"/>
            <w:tcBorders>
              <w:top w:val="single" w:color="CCCCCC" w:sz="1"/>
              <w:left w:val="single" w:color="CCCCCC" w:sz="1"/>
              <w:bottom w:val="single" w:color="CCCCCC" w:sz="1"/>
              <w:right w:val="single" w:color="CCCCCC" w:sz="1"/>
            </w:tcBorders>
            <w:shd w:fill="FDEAEA"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w:r>
          </w:p>
        </w:tc>
      </w:tr>
      <w:tr>
        <w:tc>
          <w:tcPr>
            <w:tcW w:type="dxa" w:w="9360"/>
            <w:tcBorders>
              <w:top w:val="single" w:color="CCCCCC" w:sz="1"/>
              <w:left w:val="single" w:color="CCCCCC" w:sz="1"/>
              <w:bottom w:val="single" w:color="CCCCCC" w:sz="1"/>
              <w:right w:val="single" w:color="CCCCCC" w:sz="1"/>
            </w:tcBorders>
            <w:shd w:fill="FDEAEA"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MITIGATION: The Procedural Faithfulness Verifier specifically targets the most dangerous hallucination patterns (threshold errors, step reordering, dropped contraindications). Additionally, the system enforces a hard citation requirement: if no relevant SOP chunk is retrieved above a confidence threshold, the system responds with 'Insufficient information in institutional SOPs — please consult the full document library or a clinical expert' rather than generating a speculative answer. This is a design-level safety constraint, not just a post-hoc check.</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2020" w:sz="1"/>
              <w:left w:val="single" w:color="A02020" w:sz="1"/>
              <w:bottom w:val="single" w:color="A02020" w:sz="1"/>
              <w:right w:val="single" w:color="A02020" w:sz="1"/>
            </w:tcBorders>
            <w:shd w:fill="A02020" w:val="clear"/>
            <w:tcMar>
              <w:top w:type="dxa" w:w="110"/>
              <w:left w:type="dxa" w:w="150"/>
              <w:bottom w:type="dxa" w:w="110"/>
              <w:right w:type="dxa" w:w="150"/>
            </w:tcMar>
          </w:tcPr>
          <w:p>
            <w:pPr>
              <w:spacing w:after="0"/>
              <w:jc w:val="left"/>
            </w:pPr>
            <w:r>
              <w:rPr>
                <w:rFonts w:ascii="Arial" w:cs="Arial" w:eastAsia="Arial" w:hAnsi="Arial"/>
                <w:b/>
                <w:bCs/>
                <w:color w:val="FFFFFF"/>
                <w:sz w:val="21"/>
                <w:szCs w:val="21"/>
              </w:rPr>
              <w:t xml:space="preserve">CHALLENGE 3: REGULATORY CLASSIFICATION (FDA SaMD)</w:t>
            </w:r>
          </w:p>
        </w:tc>
      </w:tr>
      <w:tr>
        <w:tc>
          <w:tcPr>
            <w:tcW w:type="dxa" w:w="9360"/>
            <w:tcBorders>
              <w:top w:val="single" w:color="CCCCCC" w:sz="1"/>
              <w:left w:val="single" w:color="CCCCCC" w:sz="1"/>
              <w:bottom w:val="single" w:color="CCCCCC" w:sz="1"/>
              <w:right w:val="single" w:color="CCCCCC" w:sz="1"/>
            </w:tcBorders>
            <w:shd w:fill="FDEAEA"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RISK: The FDA classifies software that provides clinical decision support as Software as a Medical Device (SaMD) under 21 CFR Part 820. A system that answers clinical questions based on SOPs could require regulatory clearance.</w:t>
            </w:r>
          </w:p>
        </w:tc>
      </w:tr>
      <w:tr>
        <w:tc>
          <w:tcPr>
            <w:tcW w:type="dxa" w:w="9360"/>
            <w:tcBorders>
              <w:top w:val="single" w:color="CCCCCC" w:sz="1"/>
              <w:left w:val="single" w:color="CCCCCC" w:sz="1"/>
              <w:bottom w:val="single" w:color="CCCCCC" w:sz="1"/>
              <w:right w:val="single" w:color="CCCCCC" w:sz="1"/>
            </w:tcBorders>
            <w:shd w:fill="FDEAEA"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w:r>
          </w:p>
        </w:tc>
      </w:tr>
      <w:tr>
        <w:tc>
          <w:tcPr>
            <w:tcW w:type="dxa" w:w="9360"/>
            <w:tcBorders>
              <w:top w:val="single" w:color="CCCCCC" w:sz="1"/>
              <w:left w:val="single" w:color="CCCCCC" w:sz="1"/>
              <w:bottom w:val="single" w:color="CCCCCC" w:sz="1"/>
              <w:right w:val="single" w:color="CCCCCC" w:sz="1"/>
            </w:tcBorders>
            <w:shd w:fill="FDEAEA"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MITIGATION: FDA's 2022 AI/ML Action Plan distinguishes between software that locks the clinical decision (high-risk SaMD) and software that informs the clinician while keeping them in the decision loop (lower-risk or potentially non-device). ClinicalSOP-RAG is explicitly designed to always surface source citations and faithfulness warnings, keeping the clinician in the decision loop. The system answers with 'Per SOP [citation]' not 'Do this.' For a research prototype, regulatory clearance is not required — the research paper itself does not deploy a clinical device. It demonstrates feasibility and evaluates the system in a controlled setting.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2020" w:sz="1"/>
              <w:left w:val="single" w:color="A02020" w:sz="1"/>
              <w:bottom w:val="single" w:color="A02020" w:sz="1"/>
              <w:right w:val="single" w:color="A02020" w:sz="1"/>
            </w:tcBorders>
            <w:shd w:fill="A02020" w:val="clear"/>
            <w:tcMar>
              <w:top w:type="dxa" w:w="110"/>
              <w:left w:type="dxa" w:w="150"/>
              <w:bottom w:type="dxa" w:w="110"/>
              <w:right w:type="dxa" w:w="150"/>
            </w:tcMar>
          </w:tcPr>
          <w:p>
            <w:pPr>
              <w:spacing w:after="0"/>
              <w:jc w:val="left"/>
            </w:pPr>
            <w:r>
              <w:rPr>
                <w:rFonts w:ascii="Arial" w:cs="Arial" w:eastAsia="Arial" w:hAnsi="Arial"/>
                <w:b/>
                <w:bCs/>
                <w:color w:val="FFFFFF"/>
                <w:sz w:val="21"/>
                <w:szCs w:val="21"/>
              </w:rPr>
              <w:t xml:space="preserve">CHALLENGE 4: FAITHFULNESS VERIFIER COVERAGE (FALSE NEGATIVES)</w:t>
            </w:r>
          </w:p>
        </w:tc>
      </w:tr>
      <w:tr>
        <w:tc>
          <w:tcPr>
            <w:tcW w:type="dxa" w:w="9360"/>
            <w:tcBorders>
              <w:top w:val="single" w:color="CCCCCC" w:sz="1"/>
              <w:left w:val="single" w:color="CCCCCC" w:sz="1"/>
              <w:bottom w:val="single" w:color="CCCCCC" w:sz="1"/>
              <w:right w:val="single" w:color="CCCCCC" w:sz="1"/>
            </w:tcBorders>
            <w:shd w:fill="FDEAEA"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RISK: The Procedural Faithfulness Verifier catches the four most common procedural error classes. But clinical SOPs can have complex procedural logic that falls outside these four categories. Errors in categories the verifier does not cover will not be flagged.</w:t>
            </w:r>
          </w:p>
        </w:tc>
      </w:tr>
      <w:tr>
        <w:tc>
          <w:tcPr>
            <w:tcW w:type="dxa" w:w="9360"/>
            <w:tcBorders>
              <w:top w:val="single" w:color="CCCCCC" w:sz="1"/>
              <w:left w:val="single" w:color="CCCCCC" w:sz="1"/>
              <w:bottom w:val="single" w:color="CCCCCC" w:sz="1"/>
              <w:right w:val="single" w:color="CCCCCC" w:sz="1"/>
            </w:tcBorders>
            <w:shd w:fill="FDEAEA"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w:r>
          </w:p>
        </w:tc>
      </w:tr>
      <w:tr>
        <w:tc>
          <w:tcPr>
            <w:tcW w:type="dxa" w:w="9360"/>
            <w:tcBorders>
              <w:top w:val="single" w:color="CCCCCC" w:sz="1"/>
              <w:left w:val="single" w:color="CCCCCC" w:sz="1"/>
              <w:bottom w:val="single" w:color="CCCCCC" w:sz="1"/>
              <w:right w:val="single" w:color="CCCCCC" w:sz="1"/>
            </w:tcBorders>
            <w:shd w:fill="FDEAEA"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MITIGATION: This is explicitly framed as a limitation in the paper and a direction for future work. The paper's contribution is not to claim the verifier catches all errors — it is to demonstrate that (a) standard RAG evaluation misses clinically dangerous errors that the verifier catches, and (b) the four categories cover the most common and dangerous error types. A clinically-honest paper that quantifies both the verifier's precision/recall AND its coverage limitations is a stronger contribution than one that overclaims.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2020" w:sz="1"/>
              <w:left w:val="single" w:color="A02020" w:sz="1"/>
              <w:bottom w:val="single" w:color="A02020" w:sz="1"/>
              <w:right w:val="single" w:color="A02020" w:sz="1"/>
            </w:tcBorders>
            <w:shd w:fill="A02020" w:val="clear"/>
            <w:tcMar>
              <w:top w:type="dxa" w:w="110"/>
              <w:left w:type="dxa" w:w="150"/>
              <w:bottom w:type="dxa" w:w="110"/>
              <w:right w:type="dxa" w:w="150"/>
            </w:tcMar>
          </w:tcPr>
          <w:p>
            <w:pPr>
              <w:spacing w:after="0"/>
              <w:jc w:val="left"/>
            </w:pPr>
            <w:r>
              <w:rPr>
                <w:rFonts w:ascii="Arial" w:cs="Arial" w:eastAsia="Arial" w:hAnsi="Arial"/>
                <w:b/>
                <w:bCs/>
                <w:color w:val="FFFFFF"/>
                <w:sz w:val="21"/>
                <w:szCs w:val="21"/>
              </w:rPr>
              <w:t xml:space="preserve">CHALLENGE 5: CLINICIAN ADOPTION AND TRUST</w:t>
            </w:r>
          </w:p>
        </w:tc>
      </w:tr>
      <w:tr>
        <w:tc>
          <w:tcPr>
            <w:tcW w:type="dxa" w:w="9360"/>
            <w:tcBorders>
              <w:top w:val="single" w:color="CCCCCC" w:sz="1"/>
              <w:left w:val="single" w:color="CCCCCC" w:sz="1"/>
              <w:bottom w:val="single" w:color="CCCCCC" w:sz="1"/>
              <w:right w:val="single" w:color="CCCCCC" w:sz="1"/>
            </w:tcBorders>
            <w:shd w:fill="FDEAEA"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RISK: Clinicians trained to be skeptical of clinical AI tools may not trust the system, particularly given high-profile failures of clinical AI (sepsis prediction models, imaging AI with demographic bias).</w:t>
            </w:r>
          </w:p>
        </w:tc>
      </w:tr>
      <w:tr>
        <w:tc>
          <w:tcPr>
            <w:tcW w:type="dxa" w:w="9360"/>
            <w:tcBorders>
              <w:top w:val="single" w:color="CCCCCC" w:sz="1"/>
              <w:left w:val="single" w:color="CCCCCC" w:sz="1"/>
              <w:bottom w:val="single" w:color="CCCCCC" w:sz="1"/>
              <w:right w:val="single" w:color="CCCCCC" w:sz="1"/>
            </w:tcBorders>
            <w:shd w:fill="FDEAEA"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w:r>
          </w:p>
        </w:tc>
      </w:tr>
      <w:tr>
        <w:tc>
          <w:tcPr>
            <w:tcW w:type="dxa" w:w="9360"/>
            <w:tcBorders>
              <w:top w:val="single" w:color="CCCCCC" w:sz="1"/>
              <w:left w:val="single" w:color="CCCCCC" w:sz="1"/>
              <w:bottom w:val="single" w:color="CCCCCC" w:sz="1"/>
              <w:right w:val="single" w:color="CCCCCC" w:sz="1"/>
            </w:tcBorders>
            <w:shd w:fill="FDEAEA"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MITIGATION: The citation-grounded design is specifically intended to build trust: every answer shows its source SOP, version, and section. Clinicians can verify any answer in one click. The system is not positioned as 'the AI knows the answer' but as 'the AI found the relevant SOP section and extracted the answer — here is exactly where it came from.' This transparency-first design is both a clinical safety feature and a trust-building mechanism.</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1"/>
              <w:left w:val="single" w:color="0D2B4E" w:sz="1"/>
              <w:bottom w:val="single" w:color="0D2B4E" w:sz="1"/>
              <w:right w:val="single" w:color="0D2B4E" w:sz="1"/>
            </w:tcBorders>
            <w:shd w:fill="0D2B4E" w:val="clear"/>
            <w:tcMar>
              <w:top w:type="dxa" w:w="140"/>
              <w:left w:type="dxa" w:w="180"/>
              <w:bottom w:type="dxa" w:w="140"/>
              <w:right w:type="dxa" w:w="180"/>
            </w:tcMar>
          </w:tcPr>
          <w:p>
            <w:pPr>
              <w:spacing w:after="0"/>
              <w:jc w:val="left"/>
            </w:pPr>
            <w:r>
              <w:rPr>
                <w:rFonts w:ascii="Arial" w:cs="Arial" w:eastAsia="Arial" w:hAnsi="Arial"/>
                <w:b/>
                <w:bCs/>
                <w:color w:val="FFFFFF"/>
                <w:sz w:val="24"/>
                <w:szCs w:val="24"/>
              </w:rPr>
              <w:t xml:space="preserve">PROFESSOR PITCH SUMMARY — ONE PAGE</w:t>
            </w:r>
          </w:p>
        </w:tc>
      </w:tr>
    </w:tbl>
    <w:p>
      <w:pPr>
        <w:spacing w:after="120"/>
      </w:pPr>
    </w:p>
    <w:p>
      <w:pPr>
        <w:pStyle w:val="Heading2"/>
        <w:spacing w:after="120" w:before="280"/>
      </w:pPr>
      <w:r>
        <w:rPr>
          <w:rFonts w:ascii="Arial" w:cs="Arial" w:eastAsia="Arial" w:hAnsi="Arial"/>
          <w:b/>
          <w:bCs/>
          <w:color w:val="1A5FA8"/>
          <w:sz w:val="28"/>
          <w:szCs w:val="28"/>
        </w:rPr>
        <w:t xml:space="preserve">The Three-Sentence Pitch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1"/>
              <w:left w:val="single" w:color="0D2B4E" w:sz="1"/>
              <w:bottom w:val="single" w:color="0D2B4E" w:sz="1"/>
              <w:right w:val="single" w:color="0D2B4E" w:sz="1"/>
            </w:tcBorders>
            <w:shd w:fill="0D2B4E" w:val="clear"/>
            <w:tcMar>
              <w:top w:type="dxa" w:w="110"/>
              <w:left w:type="dxa" w:w="150"/>
              <w:bottom w:type="dxa" w:w="110"/>
              <w:right w:type="dxa" w:w="150"/>
            </w:tcMar>
          </w:tcPr>
          <w:p>
            <w:pPr>
              <w:spacing w:after="0"/>
              <w:jc w:val="left"/>
            </w:pPr>
            <w:r>
              <w:rPr>
                <w:rFonts w:ascii="Arial" w:cs="Arial" w:eastAsia="Arial" w:hAnsi="Arial"/>
                <w:b/>
                <w:bCs/>
                <w:color w:val="FFFFFF"/>
                <w:sz w:val="21"/>
                <w:szCs w:val="21"/>
              </w:rPr>
              <w:t xml:space="preserve">HOW TO PITCH THIS IN 60 SECONDS</w:t>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THE PROBLEM: Hospitals have detailed Standard Operating Procedures that are clinically critical — but the only way to access them is a keyword search that takes 5-7 minutes to answer a clinical question, which means that in high-pressure clinical situations, SOPs are routinely bypassed entirely.</w:t>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THE GAP IN AI: Retrieval-Augmented Generation can answer natural language questions from documents in seconds — but for clinical SOPs, standard RAG evaluation frameworks cannot detect the most dangerous errors: wrong numeric thresholds, reordered procedural steps, and missing contraindications. There is no 'Procedural Faithfulness' concept or evaluation framework in the current clinical NLP literature.</w:t>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THE RESEARCH: We define Procedural Faithfulness as a new evaluation dimension, build the first clinical SOP QA benchmark, implement ClinicalSOP-RAG with a four-layer Procedural Faithfulness Verifier, and demonstrate that standard RAG metrics systematically miss clinically dangerous errors that our verifier catches — making the system measurably safer than generic RAG for clinical SOP retrieval.</w:t>
            </w:r>
          </w:p>
        </w:tc>
      </w:tr>
    </w:tbl>
    <w:p>
      <w:pPr>
        <w:spacing w:after="120"/>
      </w:pPr>
    </w:p>
    <w:p>
      <w:pPr>
        <w:pStyle w:val="Heading2"/>
        <w:spacing w:after="120" w:before="280"/>
      </w:pPr>
      <w:r>
        <w:rPr>
          <w:rFonts w:ascii="Arial" w:cs="Arial" w:eastAsia="Arial" w:hAnsi="Arial"/>
          <w:b/>
          <w:bCs/>
          <w:color w:val="1A5FA8"/>
          <w:sz w:val="28"/>
          <w:szCs w:val="28"/>
        </w:rPr>
        <w:t xml:space="preserve">Feasibility for a Research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2B4E" w:val="clear"/>
            <w:tcMar>
              <w:top w:type="dxa" w:w="110"/>
              <w:left w:type="dxa" w:w="150"/>
              <w:bottom w:type="dxa" w:w="110"/>
              <w:right w:type="dxa" w:w="150"/>
            </w:tcMar>
          </w:tcPr>
          <w:p>
            <w:pPr>
              <w:spacing w:after="0"/>
              <w:jc w:val="left"/>
            </w:pPr>
            <w:r>
              <w:rPr>
                <w:rFonts w:ascii="Arial" w:cs="Arial" w:eastAsia="Arial" w:hAnsi="Arial"/>
                <w:b/>
                <w:bCs/>
                <w:color w:val="FFFFFF"/>
                <w:sz w:val="20"/>
                <w:szCs w:val="20"/>
              </w:rPr>
              <w:t xml:space="preserve">Aspect</w:t>
            </w:r>
          </w:p>
        </w:tc>
        <w:tc>
          <w:tcPr>
            <w:tcW w:type="dxa" w:w="6560"/>
            <w:tcBorders>
              <w:top w:val="single" w:color="CCCCCC" w:sz="1"/>
              <w:left w:val="single" w:color="CCCCCC" w:sz="1"/>
              <w:bottom w:val="single" w:color="CCCCCC" w:sz="1"/>
              <w:right w:val="single" w:color="CCCCCC" w:sz="1"/>
            </w:tcBorders>
            <w:shd w:fill="0D2B4E" w:val="clear"/>
            <w:tcMar>
              <w:top w:type="dxa" w:w="110"/>
              <w:left w:type="dxa" w:w="150"/>
              <w:bottom w:type="dxa" w:w="110"/>
              <w:right w:type="dxa" w:w="150"/>
            </w:tcMar>
          </w:tcPr>
          <w:p>
            <w:pPr>
              <w:spacing w:after="0"/>
              <w:jc w:val="left"/>
            </w:pPr>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0D2B4E"/>
                <w:sz w:val="20"/>
                <w:szCs w:val="20"/>
              </w:rPr>
              <w:t xml:space="preserve">Requires patient data?</w:t>
            </w:r>
          </w:p>
        </w:tc>
        <w:tc>
          <w:tcPr>
            <w:tcW w:type="dxa" w:w="656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No. SOPs only. No EHR access required for Phase 1.</w:t>
            </w:r>
          </w:p>
        </w:tc>
      </w:tr>
      <w:tr>
        <w:tc>
          <w:tcPr>
            <w:tcW w:type="dxa" w:w="280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0D2B4E"/>
                <w:sz w:val="20"/>
                <w:szCs w:val="20"/>
              </w:rPr>
              <w:t xml:space="preserve">Requires hospital partnership?</w:t>
            </w:r>
          </w:p>
        </w:tc>
        <w:tc>
          <w:tcPr>
            <w:tcW w:type="dxa" w:w="656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No for Phase 1 (public guidelines). Yes for Phase 2 (optional, strengthens paper).</w:t>
            </w:r>
          </w:p>
        </w:tc>
      </w:tr>
      <w:tr>
        <w:tc>
          <w:tcPr>
            <w:tcW w:type="dxa" w:w="280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0D2B4E"/>
                <w:sz w:val="20"/>
                <w:szCs w:val="20"/>
              </w:rPr>
              <w:t xml:space="preserve">Requires novel AI?</w:t>
            </w:r>
          </w:p>
        </w:tc>
        <w:tc>
          <w:tcPr>
            <w:tcW w:type="dxa" w:w="656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No. Contribution is the evaluation framework and benchmark, not a new model architecture.</w:t>
            </w:r>
          </w:p>
        </w:tc>
      </w:tr>
      <w:tr>
        <w:tc>
          <w:tcPr>
            <w:tcW w:type="dxa" w:w="280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0D2B4E"/>
                <w:sz w:val="20"/>
                <w:szCs w:val="20"/>
              </w:rPr>
              <w:t xml:space="preserve">Prototypeable with open-source?</w:t>
            </w:r>
          </w:p>
        </w:tc>
        <w:tc>
          <w:tcPr>
            <w:tcW w:type="dxa" w:w="656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Yes. LangChain + ChromaDB + Llama 3 + PubMedBERT — all free, all deployable locally.</w:t>
            </w:r>
          </w:p>
        </w:tc>
      </w:tr>
      <w:tr>
        <w:tc>
          <w:tcPr>
            <w:tcW w:type="dxa" w:w="280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0D2B4E"/>
                <w:sz w:val="20"/>
                <w:szCs w:val="20"/>
              </w:rPr>
              <w:t xml:space="preserve">Timeline to working prototype?</w:t>
            </w:r>
          </w:p>
        </w:tc>
        <w:tc>
          <w:tcPr>
            <w:tcW w:type="dxa" w:w="656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8-12 weeks to functional Phase 1 system on public clinical guidelines.</w:t>
            </w:r>
          </w:p>
        </w:tc>
      </w:tr>
      <w:tr>
        <w:tc>
          <w:tcPr>
            <w:tcW w:type="dxa" w:w="280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0D2B4E"/>
                <w:sz w:val="20"/>
                <w:szCs w:val="20"/>
              </w:rPr>
              <w:t xml:space="preserve">Timeline to publishable paper?</w:t>
            </w:r>
          </w:p>
        </w:tc>
        <w:tc>
          <w:tcPr>
            <w:tcW w:type="dxa" w:w="656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12-18 months for full benchmark + evaluation + pilot study.</w:t>
            </w:r>
          </w:p>
        </w:tc>
      </w:tr>
      <w:tr>
        <w:tc>
          <w:tcPr>
            <w:tcW w:type="dxa" w:w="280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0D2B4E"/>
                <w:sz w:val="20"/>
                <w:szCs w:val="20"/>
              </w:rPr>
              <w:t xml:space="preserve">Skills required?</w:t>
            </w:r>
          </w:p>
        </w:tc>
        <w:tc>
          <w:tcPr>
            <w:tcW w:type="dxa" w:w="656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Python, NLP/Transformers (Hugging Face), basic RAG implementation, clinical text understanding.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1"/>
              <w:left w:val="single" w:color="0D2B4E" w:sz="1"/>
              <w:bottom w:val="single" w:color="0D2B4E" w:sz="1"/>
              <w:right w:val="single" w:color="0D2B4E" w:sz="1"/>
            </w:tcBorders>
            <w:shd w:fill="0D2B4E" w:val="clear"/>
            <w:tcMar>
              <w:top w:type="dxa" w:w="110"/>
              <w:left w:type="dxa" w:w="150"/>
              <w:bottom w:type="dxa" w:w="110"/>
              <w:right w:type="dxa" w:w="150"/>
            </w:tcMar>
          </w:tcPr>
          <w:p>
            <w:pPr>
              <w:spacing w:after="0"/>
              <w:jc w:val="left"/>
            </w:pPr>
            <w:r>
              <w:rPr>
                <w:rFonts w:ascii="Arial" w:cs="Arial" w:eastAsia="Arial" w:hAnsi="Arial"/>
                <w:b/>
                <w:bCs/>
                <w:color w:val="FFFFFF"/>
                <w:sz w:val="21"/>
                <w:szCs w:val="21"/>
              </w:rPr>
              <w:t xml:space="preserve">BOTTOM LINE</w:t>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This is the single best research idea because it combines three things that rarely align in one project:</w:t>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1.  DIRECT CLINICAL IMPACT: Solves the most acute, documented, well-described pain point that real doctors and nurses face every shift.</w:t>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2.  GENUINE NOVELTY: 'Procedural Faithfulness' does not exist in the current literature. The benchmark dataset and evaluation framework are independent contributions that the NLP community will use beyond this project.</w:t>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3.  ACHIEVABLE BY ONE RESEARCHER: No patient data. No EHR integration. No novel model architecture. A determined graduate student can build a working prototype in 8-12 weeks and a publishable system in 12-18 months.</w:t>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
            </w:r>
          </w:p>
        </w:tc>
      </w:tr>
      <w:tr>
        <w:tc>
          <w:tcPr>
            <w:tcW w:type="dxa" w:w="9360"/>
            <w:tcBorders>
              <w:top w:val="single" w:color="CCCCCC" w:sz="1"/>
              <w:left w:val="single" w:color="CCCCCC" w:sz="1"/>
              <w:bottom w:val="single" w:color="CCCCCC" w:sz="1"/>
              <w:right w:val="single" w:color="CCCCCC" w:sz="1"/>
            </w:tcBorders>
            <w:shd w:fill="F3F5F8" w:val="clear"/>
            <w:tcMar>
              <w:top w:type="dxa" w:w="110"/>
              <w:left w:type="dxa" w:w="150"/>
              <w:bottom w:type="dxa" w:w="110"/>
              <w:right w:type="dxa" w:w="150"/>
            </w:tcMar>
          </w:tcPr>
          <w:p>
            <w:pPr>
              <w:spacing w:after="0"/>
              <w:jc w:val="left"/>
            </w:pPr>
            <w:r>
              <w:rPr>
                <w:rFonts w:ascii="Arial" w:cs="Arial" w:eastAsia="Arial" w:hAnsi="Arial"/>
                <w:b w:val="false"/>
                <w:bCs w:val="false"/>
                <w:color w:val="383838"/>
                <w:sz w:val="20"/>
                <w:szCs w:val="20"/>
              </w:rPr>
              <w:t xml:space="preserve">It is the rare research idea where impact, novelty, and feasibility are simultaneously maximized.</w:t>
            </w:r>
          </w:p>
        </w:tc>
      </w:tr>
    </w:tbl>
    <w:p>
      <w:pPr>
        <w:spacing w:after="200"/>
      </w:pPr>
    </w:p>
    <w:p>
      <w:pPr>
        <w:pBdr>
          <w:bottom w:val="single" w:color="0D2B4E" w:sz="8" w:space="1"/>
        </w:pBdr>
        <w:spacing w:after="180"/>
      </w:pPr>
    </w:p>
    <w:p>
      <w:pPr>
        <w:spacing w:after="60"/>
        <w:jc w:val="center"/>
      </w:pPr>
      <w:r>
        <w:rPr>
          <w:rFonts w:ascii="Arial" w:cs="Arial" w:eastAsia="Arial" w:hAnsi="Arial"/>
          <w:b w:val="false"/>
          <w:bCs w:val="false"/>
          <w:color w:val="888888"/>
          <w:sz w:val="18"/>
          <w:szCs w:val="18"/>
        </w:rPr>
        <w:t xml:space="preserve">END OF RESEARCH PROPOSAL | ClinicalSOP-RAG: Procedural Faithfulness for Hospital SOP QA |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spacing w:before="80"/>
    </w:pPr>
    <w:r>
      <w:rPr>
        <w:rFonts w:ascii="Arial" w:cs="Arial" w:eastAsia="Arial" w:hAnsi="Arial"/>
        <w:b w:val="false"/>
        <w:bCs w:val="false"/>
        <w:color w:val="999999"/>
        <w:sz w:val="16"/>
        <w:szCs w:val="16"/>
      </w:rPr>
      <w:t xml:space="preserve">Confidential Research Proposal | Academic Use Only</w:t>
    </w:r>
    <w:r>
      <w:rPr>
        <w:rFonts w:ascii="Arial" w:cs="Arial" w:eastAsia="Arial" w:hAnsi="Arial"/>
        <w:b w:val="false"/>
        <w:bCs w:val="false"/>
        <w:color w:val="999999"/>
        <w:sz w:val="16"/>
        <w:szCs w:val="16"/>
      </w:rPr>
      <w:t xml:space="preserve">	Page </w:t>
    </w:r>
    <w:r>
      <w:rPr>
        <w:rFonts w:ascii="Arial" w:cs="Arial" w:eastAsia="Arial" w:hAnsi="Arial"/>
        <w:color w:val="1A5F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FA8" w:sz="6" w:space="1"/>
      </w:pBdr>
      <w:tabs>
        <w:tab w:val="right" w:pos="9360"/>
      </w:tabs>
      <w:spacing w:after="100"/>
    </w:pPr>
    <w:r>
      <w:rPr>
        <w:rFonts w:ascii="Arial" w:cs="Arial" w:eastAsia="Arial" w:hAnsi="Arial"/>
        <w:b w:val="false"/>
        <w:bCs w:val="false"/>
        <w:color w:val="1A5FA8"/>
        <w:sz w:val="18"/>
        <w:szCs w:val="18"/>
      </w:rPr>
      <w:t xml:space="preserve">Research Proposal | Hospital SOP Intelligence Systems</w:t>
    </w:r>
    <w:r>
      <w:rPr>
        <w:rFonts w:ascii="Arial" w:cs="Arial" w:eastAsia="Arial" w:hAnsi="Arial"/>
        <w:b w:val="false"/>
        <w:bCs w:val="false"/>
        <w:color w:val="999999"/>
        <w:sz w:val="16"/>
        <w:szCs w:val="16"/>
      </w:rPr>
      <w:t xml:space="preserve">		Prepared for Faisal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D2B4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5FA8"/>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0C5F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2026-06-23T22:39:28.208Z</dcterms:created>
  <dcterms:modified xsi:type="dcterms:W3CDTF">2026-06-23T22:39:28.209Z</dcterms:modified>
</cp:coreProperties>
</file>

<file path=docProps/custom.xml><?xml version="1.0" encoding="utf-8"?>
<Properties xmlns="http://schemas.openxmlformats.org/officeDocument/2006/custom-properties" xmlns:vt="http://schemas.openxmlformats.org/officeDocument/2006/docPropsVTypes"/>
</file>