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Stage 2 – Scaling Techniques Documentation</w:t>
      </w:r>
    </w:p>
    <w:p>
      <w:pPr>
        <w:jc w:val="center"/>
      </w:pPr>
      <w:r>
        <w:rPr>
          <w:i/>
          <w:sz w:val="24"/>
        </w:rPr>
        <w:t>Customer Churn Analysis Project</w:t>
      </w:r>
    </w:p>
    <w:p>
      <w:pPr>
        <w:pStyle w:val="Heading1"/>
      </w:pPr>
      <w:r>
        <w:t>1. Purpose of Feature Scaling</w:t>
      </w:r>
    </w:p>
    <w:p>
      <w:r>
        <w:t>Feature scaling was applied during Stage 2 data preparation to place numerical variables on comparable scales. This is particularly important for K-Means clustering because K-Means uses distance calculations when assigning observations to clusters.</w:t>
      </w:r>
    </w:p>
    <w:p>
      <w:pPr>
        <w:pStyle w:val="Heading1"/>
      </w:pPr>
      <w:r>
        <w:t>2. Numerical Features Scaled</w:t>
      </w:r>
    </w:p>
    <w:p>
      <w:r>
        <w:t>The following numerical variables were included in the scaling process:</w:t>
      </w:r>
    </w:p>
    <w:p>
      <w:pPr>
        <w:pStyle w:val="ListBullet"/>
      </w:pPr>
      <w:r>
        <w:t>SeniorCitizen</w:t>
      </w:r>
    </w:p>
    <w:p>
      <w:pPr>
        <w:pStyle w:val="ListBullet"/>
      </w:pPr>
      <w:r>
        <w:t>tenure</w:t>
      </w:r>
    </w:p>
    <w:p>
      <w:pPr>
        <w:pStyle w:val="ListBullet"/>
      </w:pPr>
      <w:r>
        <w:t>MonthlyCharges</w:t>
      </w:r>
    </w:p>
    <w:p>
      <w:pPr>
        <w:pStyle w:val="ListBullet"/>
      </w:pPr>
      <w:r>
        <w:t>TotalCharges</w:t>
      </w:r>
    </w:p>
    <w:p>
      <w:pPr>
        <w:pStyle w:val="Heading1"/>
      </w:pPr>
      <w:r>
        <w:t>3. Scaling Technique Used – StandardScaler</w:t>
      </w:r>
    </w:p>
    <w:p>
      <w:r>
        <w:t>StandardScaler from scikit-learn was used to standardise the numerical features. Standardisation transforms the training values so that each feature has a mean close to 0 and a standard deviation close to 1.</w:t>
      </w:r>
    </w:p>
    <w:p>
      <w:pPr>
        <w:jc w:val="center"/>
      </w:pPr>
      <w:r>
        <w:rPr>
          <w:b/>
          <w:sz w:val="26"/>
        </w:rPr>
        <w:t>z = (x − μ) / σ</w:t>
      </w:r>
    </w:p>
    <w:p>
      <w:r>
        <w:t>Here, x represents the original value, μ is the mean calculated from the training data, and σ is the standard deviation calculated from the training data.</w:t>
      </w:r>
    </w:p>
    <w:p>
      <w:pPr>
        <w:pStyle w:val="Heading1"/>
      </w:pPr>
      <w:r>
        <w:t>4. Why StandardScaler Was Applied</w:t>
      </w:r>
    </w:p>
    <w:p>
      <w:pPr>
        <w:pStyle w:val="ListBullet"/>
      </w:pPr>
      <w:r>
        <w:t>The numerical variables have different ranges and units.</w:t>
      </w:r>
    </w:p>
    <w:p>
      <w:pPr>
        <w:pStyle w:val="ListBullet"/>
      </w:pPr>
      <w:r>
        <w:t>TotalCharges has a much larger numerical range than SeniorCitizen.</w:t>
      </w:r>
    </w:p>
    <w:p>
      <w:pPr>
        <w:pStyle w:val="ListBullet"/>
      </w:pPr>
      <w:r>
        <w:t>K-Means is distance-based, so variables with larger numerical ranges can have a disproportionate influence if they are not standardised.</w:t>
      </w:r>
    </w:p>
    <w:p>
      <w:pPr>
        <w:pStyle w:val="ListBullet"/>
      </w:pPr>
      <w:r>
        <w:t>Standardisation makes the numerical features more comparable for subsequent analysis.</w:t>
      </w:r>
    </w:p>
    <w:p>
      <w:pPr>
        <w:pStyle w:val="Heading1"/>
      </w:pPr>
      <w:r>
        <w:t>5. Scaling Implementation</w:t>
      </w:r>
    </w:p>
    <w:p>
      <w:r>
        <w:t>The following code was used in the Colab notebook. The scaler was fitted only on the training numerical data and then applied to the testing numerical data. This helps prevent information from the testing set influencing the preprocessing process.</w:t>
      </w:r>
    </w:p>
    <w:p>
      <w:r>
        <w:rPr>
          <w:rFonts w:ascii="Consolas" w:hAnsi="Consolas"/>
          <w:sz w:val="17"/>
        </w:rPr>
        <w:t># Create the StandardScaler object.</w:t>
        <w:br/>
        <w:t># StandardScaler standardises numerical variables so that they</w:t>
        <w:br/>
        <w:t># have a mean close to 0 and a standard deviation close to 1.</w:t>
        <w:br/>
        <w:t>scaler = StandardScaler()</w:t>
        <w:br/>
        <w:br/>
        <w:t># Identify the numerical portion of the encoded training data.</w:t>
        <w:br/>
        <w:t>X_train_numerical = X_train_encoded[:, -numerical_feature_count:]</w:t>
        <w:br/>
        <w:br/>
        <w:t># Identify the numerical portion of the encoded testing data.</w:t>
        <w:br/>
        <w:t>X_test_numerical = X_test_encoded[:, -numerical_feature_count:]</w:t>
        <w:br/>
        <w:br/>
        <w:t># Fit the scaler ONLY on the training numerical data.</w:t>
        <w:br/>
        <w:t>X_train_numerical_scaled = scaler.fit_transform(</w:t>
        <w:br/>
        <w:t xml:space="preserve">    X_train_numerical</w:t>
        <w:br/>
        <w:t>)</w:t>
        <w:br/>
        <w:br/>
        <w:t># Apply the fitted scaler to the testing numerical data.</w:t>
        <w:br/>
        <w:t>X_test_numerical_scaled = scaler.transform(</w:t>
        <w:br/>
        <w:t xml:space="preserve">    X_test_numerical</w:t>
        <w:br/>
        <w:t>)</w:t>
        <w:br/>
        <w:br/>
        <w:t># Replace the original numerical values with scaled values.</w:t>
        <w:br/>
        <w:t>X_train_scaled = X_train_encoded.copy()</w:t>
        <w:br/>
        <w:t>X_test_scaled = X_test_encoded.copy()</w:t>
        <w:br/>
        <w:br/>
        <w:t>X_train_scaled[:, -numerical_feature_count:] = (</w:t>
        <w:br/>
        <w:t xml:space="preserve">    X_train_numerical_scaled</w:t>
        <w:br/>
        <w:t>)</w:t>
        <w:br/>
        <w:br/>
        <w:t>X_test_scaled[:, -numerical_feature_count:] = (</w:t>
        <w:br/>
        <w:t xml:space="preserve">    X_test_numerical_scaled</w:t>
        <w:br/>
        <w:t>)</w:t>
      </w:r>
    </w:p>
    <w:p>
      <w:pPr>
        <w:pStyle w:val="Heading1"/>
      </w:pPr>
      <w:r>
        <w:t>6. Training and Testing Data Handling</w:t>
      </w:r>
    </w:p>
    <w:p>
      <w:r>
        <w:t>The cleaned dataset was divided using an 80/20 stratified train/test split. The training set contained 5,634 customers and the testing set contained 1,409 customers. The scaler was fitted only on the training numerical features and the same fitted scaler was used to transform the testing numerical features.</w:t>
      </w:r>
    </w:p>
    <w:p>
      <w:pPr>
        <w:pStyle w:val="Heading1"/>
      </w:pPr>
      <w:r>
        <w:t>7. Scaling Verification Results</w:t>
      </w:r>
    </w:p>
    <w:p>
      <w:r>
        <w:t>The scaling output was verified in the Colab notebook. The training numerical features had means approximately equal to 0 and standard deviations approximately equal to 1.</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Numerical Feature</w:t>
            </w:r>
          </w:p>
        </w:tc>
        <w:tc>
          <w:tcPr>
            <w:tcW w:type="dxa" w:w="3312"/>
          </w:tcPr>
          <w:p>
            <w:r>
              <w:t>Mean After Scaling</w:t>
            </w:r>
          </w:p>
        </w:tc>
        <w:tc>
          <w:tcPr>
            <w:tcW w:type="dxa" w:w="3312"/>
          </w:tcPr>
          <w:p>
            <w:r>
              <w:t>Std. Dev. After Scaling</w:t>
            </w:r>
          </w:p>
        </w:tc>
      </w:tr>
      <w:tr>
        <w:tc>
          <w:tcPr>
            <w:tcW w:type="dxa" w:w="3312"/>
          </w:tcPr>
          <w:p>
            <w:r>
              <w:t>SeniorCitizen</w:t>
            </w:r>
          </w:p>
        </w:tc>
        <w:tc>
          <w:tcPr>
            <w:tcW w:type="dxa" w:w="3312"/>
          </w:tcPr>
          <w:p>
            <w:r>
              <w:t>Approximately 0</w:t>
            </w:r>
          </w:p>
        </w:tc>
        <w:tc>
          <w:tcPr>
            <w:tcW w:type="dxa" w:w="3312"/>
          </w:tcPr>
          <w:p>
            <w:r>
              <w:t>Approximately 1</w:t>
            </w:r>
          </w:p>
        </w:tc>
      </w:tr>
      <w:tr>
        <w:tc>
          <w:tcPr>
            <w:tcW w:type="dxa" w:w="3312"/>
          </w:tcPr>
          <w:p>
            <w:r>
              <w:t>tenure</w:t>
            </w:r>
          </w:p>
        </w:tc>
        <w:tc>
          <w:tcPr>
            <w:tcW w:type="dxa" w:w="3312"/>
          </w:tcPr>
          <w:p>
            <w:r>
              <w:t>Approximately 0</w:t>
            </w:r>
          </w:p>
        </w:tc>
        <w:tc>
          <w:tcPr>
            <w:tcW w:type="dxa" w:w="3312"/>
          </w:tcPr>
          <w:p>
            <w:r>
              <w:t>Approximately 1</w:t>
            </w:r>
          </w:p>
        </w:tc>
      </w:tr>
      <w:tr>
        <w:tc>
          <w:tcPr>
            <w:tcW w:type="dxa" w:w="3312"/>
          </w:tcPr>
          <w:p>
            <w:r>
              <w:t>MonthlyCharges</w:t>
            </w:r>
          </w:p>
        </w:tc>
        <w:tc>
          <w:tcPr>
            <w:tcW w:type="dxa" w:w="3312"/>
          </w:tcPr>
          <w:p>
            <w:r>
              <w:t>Approximately 0</w:t>
            </w:r>
          </w:p>
        </w:tc>
        <w:tc>
          <w:tcPr>
            <w:tcW w:type="dxa" w:w="3312"/>
          </w:tcPr>
          <w:p>
            <w:r>
              <w:t>Approximately 1</w:t>
            </w:r>
          </w:p>
        </w:tc>
      </w:tr>
      <w:tr>
        <w:tc>
          <w:tcPr>
            <w:tcW w:type="dxa" w:w="3312"/>
          </w:tcPr>
          <w:p>
            <w:r>
              <w:t>TotalCharges</w:t>
            </w:r>
          </w:p>
        </w:tc>
        <w:tc>
          <w:tcPr>
            <w:tcW w:type="dxa" w:w="3312"/>
          </w:tcPr>
          <w:p>
            <w:r>
              <w:t>Approximately 0</w:t>
            </w:r>
          </w:p>
        </w:tc>
        <w:tc>
          <w:tcPr>
            <w:tcW w:type="dxa" w:w="3312"/>
          </w:tcPr>
          <w:p>
            <w:r>
              <w:t>Approximately 1</w:t>
            </w:r>
          </w:p>
        </w:tc>
      </w:tr>
    </w:tbl>
    <w:p>
      <w:pPr>
        <w:pStyle w:val="Heading1"/>
      </w:pPr>
      <w:r>
        <w:t>8. Relationship to K-Means Clustering</w:t>
      </w:r>
    </w:p>
    <w:p>
      <w:r>
        <w:t>The scaled numerical features were combined with the one-hot encoded categorical features to form the clustering dataset. The clustering dataset contained 5,634 customers and 45 processed features. The Churn target was excluded from the clustering inputs because K-Means is an unsupervised technique.</w:t>
      </w:r>
    </w:p>
    <w:p>
      <w:r>
        <w:t>Scaling was important because K-Means relies on distance calculations. The final clustering analysis evaluated different values of K using the elbow method and selected K = 4 for the final model.</w:t>
      </w:r>
    </w:p>
    <w:p>
      <w:pPr>
        <w:pStyle w:val="Heading1"/>
      </w:pPr>
      <w:r>
        <w:t>9. Stage 2 Outcome</w:t>
      </w:r>
    </w:p>
    <w:p>
      <w:r>
        <w:t>The scaling process successfully standardised the selected numerical variables while maintaining the separation between training and testing data. The resulting processed data was suitable for the Stage 2 clustering analysis.</w:t>
      </w:r>
    </w:p>
    <w:p>
      <w:pPr>
        <w:pStyle w:val="Heading1"/>
      </w:pPr>
      <w:r>
        <w:t>10. Summary</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Result</w:t>
            </w:r>
          </w:p>
        </w:tc>
      </w:tr>
      <w:tr>
        <w:tc>
          <w:tcPr>
            <w:tcW w:type="dxa" w:w="4968"/>
          </w:tcPr>
          <w:p>
            <w:r>
              <w:t>Scaling method</w:t>
            </w:r>
          </w:p>
        </w:tc>
        <w:tc>
          <w:tcPr>
            <w:tcW w:type="dxa" w:w="4968"/>
          </w:tcPr>
          <w:p>
            <w:r>
              <w:t>StandardScaler</w:t>
            </w:r>
          </w:p>
        </w:tc>
      </w:tr>
      <w:tr>
        <w:tc>
          <w:tcPr>
            <w:tcW w:type="dxa" w:w="4968"/>
          </w:tcPr>
          <w:p>
            <w:r>
              <w:t>Numerical features</w:t>
            </w:r>
          </w:p>
        </w:tc>
        <w:tc>
          <w:tcPr>
            <w:tcW w:type="dxa" w:w="4968"/>
          </w:tcPr>
          <w:p>
            <w:r>
              <w:t>SeniorCitizen, tenure, MonthlyCharges, TotalCharges</w:t>
            </w:r>
          </w:p>
        </w:tc>
      </w:tr>
      <w:tr>
        <w:tc>
          <w:tcPr>
            <w:tcW w:type="dxa" w:w="4968"/>
          </w:tcPr>
          <w:p>
            <w:r>
              <w:t>Training records</w:t>
            </w:r>
          </w:p>
        </w:tc>
        <w:tc>
          <w:tcPr>
            <w:tcW w:type="dxa" w:w="4968"/>
          </w:tcPr>
          <w:p>
            <w:r>
              <w:t>5,634</w:t>
            </w:r>
          </w:p>
        </w:tc>
      </w:tr>
      <w:tr>
        <w:tc>
          <w:tcPr>
            <w:tcW w:type="dxa" w:w="4968"/>
          </w:tcPr>
          <w:p>
            <w:r>
              <w:t>Testing records</w:t>
            </w:r>
          </w:p>
        </w:tc>
        <w:tc>
          <w:tcPr>
            <w:tcW w:type="dxa" w:w="4968"/>
          </w:tcPr>
          <w:p>
            <w:r>
              <w:t>1,409</w:t>
            </w:r>
          </w:p>
        </w:tc>
      </w:tr>
      <w:tr>
        <w:tc>
          <w:tcPr>
            <w:tcW w:type="dxa" w:w="4968"/>
          </w:tcPr>
          <w:p>
            <w:r>
              <w:t>Processed features</w:t>
            </w:r>
          </w:p>
        </w:tc>
        <w:tc>
          <w:tcPr>
            <w:tcW w:type="dxa" w:w="4968"/>
          </w:tcPr>
          <w:p>
            <w:r>
              <w:t>45</w:t>
            </w:r>
          </w:p>
        </w:tc>
      </w:tr>
      <w:tr>
        <w:tc>
          <w:tcPr>
            <w:tcW w:type="dxa" w:w="4968"/>
          </w:tcPr>
          <w:p>
            <w:r>
              <w:t>Training mean after scaling</w:t>
            </w:r>
          </w:p>
        </w:tc>
        <w:tc>
          <w:tcPr>
            <w:tcW w:type="dxa" w:w="4968"/>
          </w:tcPr>
          <w:p>
            <w:r>
              <w:t>Approximately 0</w:t>
            </w:r>
          </w:p>
        </w:tc>
      </w:tr>
      <w:tr>
        <w:tc>
          <w:tcPr>
            <w:tcW w:type="dxa" w:w="4968"/>
          </w:tcPr>
          <w:p>
            <w:r>
              <w:t>Training standard deviation</w:t>
            </w:r>
          </w:p>
        </w:tc>
        <w:tc>
          <w:tcPr>
            <w:tcW w:type="dxa" w:w="4968"/>
          </w:tcPr>
          <w:p>
            <w:r>
              <w:t>Approximately 1</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Churn Analysis – Stage 2 | Scaling Techniques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