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2A44"/>
          <w:sz w:val="72"/>
          <w:szCs w:val="72"/>
        </w:rPr>
        <w:t xml:space="preserve">TrustLayer</w:t>
      </w:r>
    </w:p>
    <w:p>
      <w:pPr>
        <w:spacing w:after="100" w:before="200"/>
        <w:jc w:val="center"/>
      </w:pPr>
      <w:r>
        <w:rPr>
          <w:b/>
          <w:bCs/>
          <w:color w:val="2E5AAC"/>
          <w:sz w:val="30"/>
          <w:szCs w:val="30"/>
        </w:rPr>
        <w:t xml:space="preserve">Continuous Responsible AI Assurance, Policy Enforcement &amp; Audit Platform</w:t>
      </w:r>
    </w:p>
    <w:p>
      <w:pPr>
        <w:spacing w:after="600" w:before="100"/>
        <w:jc w:val="center"/>
      </w:pPr>
      <w:r>
        <w:rPr>
          <w:color w:val="5B6270"/>
          <w:sz w:val="24"/>
          <w:szCs w:val="24"/>
        </w:rPr>
        <w:t xml:space="preserve">Product Requirements Document (PRD)</w:t>
      </w:r>
    </w:p>
    <w:p>
      <w:pPr>
        <w:spacing w:after="80"/>
        <w:jc w:val="center"/>
      </w:pPr>
      <w:r>
        <w:rPr>
          <w:b/>
          <w:bCs/>
          <w:sz w:val="22"/>
          <w:szCs w:val="22"/>
        </w:rPr>
        <w:t xml:space="preserve">Smart India Hackathon 2026</w:t>
      </w:r>
    </w:p>
    <w:p>
      <w:pPr>
        <w:spacing w:after="80"/>
        <w:jc w:val="center"/>
      </w:pPr>
      <w:r>
        <w:rPr>
          <w:sz w:val="20"/>
          <w:szCs w:val="20"/>
        </w:rPr>
        <w:t xml:space="preserve">Problem Statement Theme: Artificial Intelligence — Responsible AI Governance Platform</w:t>
      </w:r>
    </w:p>
    <w:p>
      <w:pPr>
        <w:spacing w:after="40"/>
        <w:jc w:val="center"/>
      </w:pPr>
      <w:r>
        <w:rPr>
          <w:color w:val="5B6270"/>
          <w:sz w:val="20"/>
          <w:szCs w:val="20"/>
        </w:rPr>
        <w:t xml:space="preserve">Document version: 1.0</w:t>
      </w:r>
    </w:p>
    <w:p>
      <w:pPr>
        <w:spacing w:after="40"/>
        <w:jc w:val="center"/>
      </w:pPr>
      <w:r>
        <w:rPr>
          <w:color w:val="5B6270"/>
          <w:sz w:val="20"/>
          <w:szCs w:val="20"/>
        </w:rPr>
        <w:t xml:space="preserve">Date: 18 August 2026</w:t>
      </w:r>
    </w:p>
    <w:p>
      <w:pPr>
        <w:spacing w:after="40"/>
        <w:jc w:val="center"/>
      </w:pPr>
      <w:r>
        <w:rPr>
          <w:color w:val="5B6270"/>
          <w:sz w:val="20"/>
          <w:szCs w:val="20"/>
        </w:rPr>
        <w:t xml:space="preserve">Team size: 6</w:t>
      </w:r>
    </w:p>
    <w:p>
      <w:pPr>
        <w:spacing w:after="1200"/>
        <w:jc w:val="center"/>
      </w:pPr>
      <w:r>
        <w:rPr>
          <w:color w:val="5B6270"/>
          <w:sz w:val="20"/>
          <w:szCs w:val="20"/>
        </w:rPr>
        <w:t xml:space="preserve">Status: Draft for team review</w:t>
      </w:r>
    </w:p>
    <w:p>
      <w:r>
        <w:br w:type="page"/>
      </w:r>
    </w:p>
    <w:p>
      <w:pPr>
        <w:pStyle w:val="Heading1"/>
        <w:spacing w:after="200" w:before="400"/>
      </w:pPr>
      <w:r>
        <w:t xml:space="preserve">1. Executive Summary</w:t>
      </w:r>
    </w:p>
    <w:p>
      <w:pPr>
        <w:spacing w:after="160"/>
      </w:pPr>
      <w:r>
        <w:t xml:space="preserve">TrustLayer is a continuous assurance and governance layer for enterprise AI. It automatically evaluates machine learning models for performance, fairness, explainability, robustness and drift; enforces organisation-defined deployment policies; and maintains audit-ready evidence across the model lifecycle.</w:t>
      </w:r>
    </w:p>
    <w:p>
      <w:pPr>
        <w:spacing w:after="160"/>
      </w:pPr>
      <w:r>
        <w:t xml:space="preserve">Most existing “Responsible AI” tooling reports problems after a model has already been evaluated once. TrustLayer's differentiator is that it turns Responsible AI requirements into executable, configurable policy that automatically tests, blocks, monitors and re-audits models — functioning as a governance gate in the model deployment pipeline rather than a one-off report generator.</w:t>
      </w:r>
    </w:p>
    <w:p>
      <w:pPr>
        <w:spacing w:after="100"/>
      </w:pPr>
      <w:r>
        <w:rPr>
          <w:b/>
          <w:bCs/>
        </w:rPr>
        <w:t xml:space="preserve">Primary demo flow: </w:t>
      </w:r>
      <w:r>
        <w:t xml:space="preserve">Register a binary-classification model and its evaluation data → run an automated audit across performance, fairness, explainability, robustness and drift → apply governance policy → block or approve deployment → compare a mitigated model against the original → generate a downloadable audit report / model card.</w:t>
      </w:r>
    </w:p>
    <w:p>
      <w:pPr>
        <w:spacing w:after="100"/>
      </w:pPr>
      <w:r>
        <w:rPr>
          <w:b/>
          <w:bCs/>
        </w:rPr>
        <w:t xml:space="preserve">Target competition: </w:t>
      </w:r>
      <w:r>
        <w:t xml:space="preserve">Smart India Hackathon (SIH) 2026, Artificial Intelligence theme — “Responsible AI Governance Platform” problem statement.</w:t>
      </w:r>
    </w:p>
    <w:p>
      <w:pPr>
        <w:spacing w:after="100"/>
      </w:pPr>
      <w:r>
        <w:rPr>
          <w:b/>
          <w:bCs/>
        </w:rPr>
        <w:t xml:space="preserve">Team: </w:t>
      </w:r>
      <w:r>
        <w:t xml:space="preserve">6 members — 4 build the governance platform (backend/registry, fairness &amp; explainability, monitoring &amp; policy, frontend &amp; reporting); 2 own the demo dataset and the deliberately biased / mitigated models.</w:t>
      </w:r>
    </w:p>
    <w:p>
      <w:pPr>
        <w:pStyle w:val="Heading1"/>
        <w:spacing w:after="200" w:before="400"/>
      </w:pPr>
      <w:r>
        <w:t xml:space="preserve">2. Problem Statement</w:t>
      </w:r>
    </w:p>
    <w:p>
      <w:pPr>
        <w:pStyle w:val="Heading2"/>
        <w:spacing w:after="150" w:before="300"/>
      </w:pPr>
      <w:r>
        <w:t xml:space="preserve">2.1 Official problem statement</w:t>
      </w:r>
    </w:p>
    <w:p>
      <w:pPr>
        <w:spacing w:after="160"/>
      </w:pPr>
      <w:r>
        <w:t xml:space="preserve">Organisations deploying AI require mechanisms to ensure transparency, fairness, explainability and compliance with emerging AI regulations.</w:t>
      </w:r>
    </w:p>
    <w:p>
      <w:pPr>
        <w:spacing w:after="100"/>
      </w:pPr>
      <w:r>
        <w:rPr>
          <w:b/>
          <w:bCs/>
        </w:rPr>
        <w:t xml:space="preserve">Expected solution (as given): </w:t>
      </w:r>
      <w:r>
        <w:t xml:space="preserve">An AI governance platform with bias detection, model monitoring, explainability and audit reporting.</w:t>
      </w:r>
    </w:p>
    <w:p>
      <w:pPr>
        <w:pStyle w:val="Heading2"/>
        <w:spacing w:after="150" w:before="300"/>
      </w:pPr>
      <w:r>
        <w:t xml:space="preserve">2.2 Why this problem matters now</w:t>
      </w:r>
    </w:p>
    <w:p>
      <w:pPr>
        <w:spacing w:after="160"/>
      </w:pPr>
      <w:r>
        <w:t xml:space="preserve">Formal AI risk-management expectations are actively converging across jurisdictions: NIST's AI Risk Management Framework organises trustworthy-AI practice around Govern, Map, Measure and Manage; ISO/IEC 42001 defines an AI management-system standard; the EU AI Act applies a risk-based regulatory approach; and in India, IndiaAI's AI Governance Guidelines (November 2025) and the DPDP Act / DPDP Rules establish a domestic expectation of fairness, accountability, safety, and responsible data handling. Organisations currently coordinate this evidence manually across spreadsheets, documents and disconnected monitoring tools, which does not scale and leaves audit trails incomplete.</w:t>
      </w:r>
    </w:p>
    <w:p>
      <w:pPr>
        <w:pStyle w:val="Heading2"/>
        <w:spacing w:after="150" w:before="300"/>
      </w:pPr>
      <w:r>
        <w:t xml:space="preserve">2.3 Reframed problem</w:t>
      </w:r>
    </w:p>
    <w:p>
      <w:pPr>
        <w:spacing w:after="160"/>
      </w:pPr>
      <w:r>
        <w:t xml:space="preserve">Before and after an organisation deploys an AI model, is that model accurate, fair, explainable, safe, stable, privacy-aware and properly documented — and can the organisation prove it, continuously, without manual effort?</w:t>
      </w:r>
    </w:p>
    <w:p>
      <w:pPr>
        <w:pStyle w:val="Heading1"/>
        <w:spacing w:after="200" w:before="400"/>
      </w:pPr>
      <w:r>
        <w:t xml:space="preserve">3. Goals &amp; Objectives</w:t>
      </w:r>
    </w:p>
    <w:p>
      <w:pPr>
        <w:pStyle w:val="Heading2"/>
        <w:spacing w:after="150" w:before="300"/>
      </w:pPr>
      <w:r>
        <w:t xml:space="preserve">3.1 Product goals</w:t>
      </w:r>
    </w:p>
    <w:p>
      <w:pPr>
        <w:pStyle w:val="ListParagraph"/>
        <w:numPr>
          <w:ilvl w:val="0"/>
          <w:numId w:val="1"/>
        </w:numPr>
        <w:spacing w:after="80"/>
      </w:pPr>
      <w:r>
        <w:t xml:space="preserve">Give any team a single place to register an AI model and automatically audit it for performance, fairness, explainability, robustness and drift.</w:t>
      </w:r>
    </w:p>
    <w:p>
      <w:pPr>
        <w:pStyle w:val="ListParagraph"/>
        <w:numPr>
          <w:ilvl w:val="0"/>
          <w:numId w:val="1"/>
        </w:numPr>
        <w:spacing w:after="80"/>
      </w:pPr>
      <w:r>
        <w:t xml:space="preserve">Turn Responsible-AI requirements into configurable, enforceable policy that produces a deterministic PASS / REVIEW / BLOCK deployment decision with explicit reasons.</w:t>
      </w:r>
    </w:p>
    <w:p>
      <w:pPr>
        <w:pStyle w:val="ListParagraph"/>
        <w:numPr>
          <w:ilvl w:val="0"/>
          <w:numId w:val="1"/>
        </w:numPr>
        <w:spacing w:after="80"/>
      </w:pPr>
      <w:r>
        <w:t xml:space="preserve">Make audit evidence (model metadata, findings, reviewer decisions, timestamps) durable and exportable, so any decision is reconstructable later.</w:t>
      </w:r>
    </w:p>
    <w:p>
      <w:pPr>
        <w:pStyle w:val="ListParagraph"/>
        <w:numPr>
          <w:ilvl w:val="0"/>
          <w:numId w:val="1"/>
        </w:numPr>
        <w:spacing w:after="80"/>
      </w:pPr>
      <w:r>
        <w:t xml:space="preserve">Demonstrate a full model-lifecycle story in a single live demo: register → audit → block → mitigate → re-audit → approve → monitor → report.</w:t>
      </w:r>
    </w:p>
    <w:p>
      <w:pPr>
        <w:pStyle w:val="Heading2"/>
        <w:spacing w:after="150" w:before="300"/>
      </w:pPr>
      <w:r>
        <w:t xml:space="preserve">3.2 Hackathon-specific objectives</w:t>
      </w:r>
    </w:p>
    <w:p>
      <w:pPr>
        <w:pStyle w:val="ListParagraph"/>
        <w:numPr>
          <w:ilvl w:val="0"/>
          <w:numId w:val="1"/>
        </w:numPr>
        <w:spacing w:after="80"/>
      </w:pPr>
      <w:r>
        <w:t xml:space="preserve">Working end-to-end demo on a binary-classification loan-approval model, runnable fully offline / on a laptop.</w:t>
      </w:r>
    </w:p>
    <w:p>
      <w:pPr>
        <w:pStyle w:val="ListParagraph"/>
        <w:numPr>
          <w:ilvl w:val="0"/>
          <w:numId w:val="1"/>
        </w:numPr>
        <w:spacing w:after="80"/>
      </w:pPr>
      <w:r>
        <w:t xml:space="preserve">Clear, judge-legible visual moments: a fairness failure, a SHAP explanation, a policy block, a before/after mitigation comparison, and a generated report.</w:t>
      </w:r>
    </w:p>
    <w:p>
      <w:pPr>
        <w:pStyle w:val="ListParagraph"/>
        <w:numPr>
          <w:ilvl w:val="0"/>
          <w:numId w:val="1"/>
        </w:numPr>
        <w:spacing w:after="80"/>
      </w:pPr>
      <w:r>
        <w:t xml:space="preserve">A defensible, non-overclaiming stance on fairness and compliance — the platform surfaces evidence and review signals, not legal or ethical verdicts.</w:t>
      </w:r>
    </w:p>
    <w:p>
      <w:pPr>
        <w:pStyle w:val="Heading2"/>
        <w:spacing w:after="150" w:before="300"/>
      </w:pPr>
      <w:r>
        <w:t xml:space="preserve">3.3 Success metrics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200"/>
        <w:gridCol w:w="4700"/>
      </w:tblGrid>
      <w:tr>
        <w:trPr>
          <w:tblHeader/>
        </w:trPr>
        <w:tc>
          <w:tcPr>
            <w:tcW w:type="dxa" w:w="5200"/>
            <w:shd w:fill="1F2A44" w:val="clear"/>
            <w:tcMar>
              <w:top w:type="dxa" w:w="80"/>
              <w:left w:type="dxa" w:w="100"/>
              <w:bottom w:type="dxa" w:w="80"/>
              <w:right w:type="dxa" w:w="100"/>
            </w:tcMar>
          </w:tcPr>
          <w:p>
            <w:r>
              <w:rPr>
                <w:b/>
                <w:bCs/>
              </w:rPr>
              <w:t xml:space="preserve">Metric</w:t>
            </w:r>
          </w:p>
        </w:tc>
        <w:tc>
          <w:tcPr>
            <w:tcW w:type="dxa" w:w="4700"/>
            <w:shd w:fill="1F2A44" w:val="clear"/>
            <w:tcMar>
              <w:top w:type="dxa" w:w="80"/>
              <w:left w:type="dxa" w:w="100"/>
              <w:bottom w:type="dxa" w:w="80"/>
              <w:right w:type="dxa" w:w="100"/>
            </w:tcMar>
          </w:tcPr>
          <w:p>
            <w:r>
              <w:rPr>
                <w:b/>
                <w:bCs/>
              </w:rPr>
              <w:t xml:space="preserve">Target</w:t>
            </w:r>
          </w:p>
        </w:tc>
      </w:tr>
      <w:tr>
        <w:tc>
          <w:tcPr>
            <w:tcW w:type="dxa" w:w="5200"/>
            <w:tcMar>
              <w:top w:type="dxa" w:w="80"/>
              <w:left w:type="dxa" w:w="100"/>
              <w:bottom w:type="dxa" w:w="80"/>
              <w:right w:type="dxa" w:w="100"/>
            </w:tcMar>
          </w:tcPr>
          <w:p>
            <w:r>
              <w:rPr>
                <w:b w:val="false"/>
                <w:bCs w:val="false"/>
              </w:rPr>
              <w:t xml:space="preserve">End-to-end demo completion time</w:t>
            </w:r>
          </w:p>
        </w:tc>
        <w:tc>
          <w:tcPr>
            <w:tcW w:type="dxa" w:w="4700"/>
            <w:tcMar>
              <w:top w:type="dxa" w:w="80"/>
              <w:left w:type="dxa" w:w="100"/>
              <w:bottom w:type="dxa" w:w="80"/>
              <w:right w:type="dxa" w:w="100"/>
            </w:tcMar>
          </w:tcPr>
          <w:p>
            <w:r>
              <w:rPr>
                <w:b w:val="false"/>
                <w:bCs w:val="false"/>
              </w:rPr>
              <w:t xml:space="preserve">Under 5 minutes, no terminal intervention</w:t>
            </w:r>
          </w:p>
        </w:tc>
      </w:tr>
      <w:tr>
        <w:tc>
          <w:tcPr>
            <w:tcW w:type="dxa" w:w="5200"/>
            <w:shd w:fill="EAF0FB" w:val="clear"/>
            <w:tcMar>
              <w:top w:type="dxa" w:w="80"/>
              <w:left w:type="dxa" w:w="100"/>
              <w:bottom w:type="dxa" w:w="80"/>
              <w:right w:type="dxa" w:w="100"/>
            </w:tcMar>
          </w:tcPr>
          <w:p>
            <w:r>
              <w:rPr>
                <w:b w:val="false"/>
                <w:bCs w:val="false"/>
              </w:rPr>
              <w:t xml:space="preserve">Fairness metric accuracy</w:t>
            </w:r>
          </w:p>
        </w:tc>
        <w:tc>
          <w:tcPr>
            <w:tcW w:type="dxa" w:w="4700"/>
            <w:shd w:fill="EAF0FB" w:val="clear"/>
            <w:tcMar>
              <w:top w:type="dxa" w:w="80"/>
              <w:left w:type="dxa" w:w="100"/>
              <w:bottom w:type="dxa" w:w="80"/>
              <w:right w:type="dxa" w:w="100"/>
            </w:tcMar>
          </w:tcPr>
          <w:p>
            <w:r>
              <w:rPr>
                <w:b w:val="false"/>
                <w:bCs w:val="false"/>
              </w:rPr>
              <w:t xml:space="preserve">Matches hand-calculated values on test fixtures</w:t>
            </w:r>
          </w:p>
        </w:tc>
      </w:tr>
      <w:tr>
        <w:tc>
          <w:tcPr>
            <w:tcW w:type="dxa" w:w="5200"/>
            <w:tcMar>
              <w:top w:type="dxa" w:w="80"/>
              <w:left w:type="dxa" w:w="100"/>
              <w:bottom w:type="dxa" w:w="80"/>
              <w:right w:type="dxa" w:w="100"/>
            </w:tcMar>
          </w:tcPr>
          <w:p>
            <w:r>
              <w:rPr>
                <w:b w:val="false"/>
                <w:bCs w:val="false"/>
              </w:rPr>
              <w:t xml:space="preserve">Policy decision determinism</w:t>
            </w:r>
          </w:p>
        </w:tc>
        <w:tc>
          <w:tcPr>
            <w:tcW w:type="dxa" w:w="4700"/>
            <w:tcMar>
              <w:top w:type="dxa" w:w="80"/>
              <w:left w:type="dxa" w:w="100"/>
              <w:bottom w:type="dxa" w:w="80"/>
              <w:right w:type="dxa" w:w="100"/>
            </w:tcMar>
          </w:tcPr>
          <w:p>
            <w:r>
              <w:rPr>
                <w:b w:val="false"/>
                <w:bCs w:val="false"/>
              </w:rPr>
              <w:t xml:space="preserve">Same inputs always produce the same PASS/REVIEW/BLOCK verdict</w:t>
            </w:r>
          </w:p>
        </w:tc>
      </w:tr>
      <w:tr>
        <w:tc>
          <w:tcPr>
            <w:tcW w:type="dxa" w:w="5200"/>
            <w:shd w:fill="EAF0FB" w:val="clear"/>
            <w:tcMar>
              <w:top w:type="dxa" w:w="80"/>
              <w:left w:type="dxa" w:w="100"/>
              <w:bottom w:type="dxa" w:w="80"/>
              <w:right w:type="dxa" w:w="100"/>
            </w:tcMar>
          </w:tcPr>
          <w:p>
            <w:r>
              <w:rPr>
                <w:b w:val="false"/>
                <w:bCs w:val="false"/>
              </w:rPr>
              <w:t xml:space="preserve">Drift detection reliability</w:t>
            </w:r>
          </w:p>
        </w:tc>
        <w:tc>
          <w:tcPr>
            <w:tcW w:type="dxa" w:w="4700"/>
            <w:shd w:fill="EAF0FB" w:val="clear"/>
            <w:tcMar>
              <w:top w:type="dxa" w:w="80"/>
              <w:left w:type="dxa" w:w="100"/>
              <w:bottom w:type="dxa" w:w="80"/>
              <w:right w:type="dxa" w:w="100"/>
            </w:tcMar>
          </w:tcPr>
          <w:p>
            <w:r>
              <w:rPr>
                <w:b w:val="false"/>
                <w:bCs w:val="false"/>
              </w:rPr>
              <w:t xml:space="preserve">Month-2 simulated batch reliably triggers a drift alert</w:t>
            </w:r>
          </w:p>
        </w:tc>
      </w:tr>
      <w:tr>
        <w:tc>
          <w:tcPr>
            <w:tcW w:type="dxa" w:w="5200"/>
            <w:tcMar>
              <w:top w:type="dxa" w:w="80"/>
              <w:left w:type="dxa" w:w="100"/>
              <w:bottom w:type="dxa" w:w="80"/>
              <w:right w:type="dxa" w:w="100"/>
            </w:tcMar>
          </w:tcPr>
          <w:p>
            <w:r>
              <w:rPr>
                <w:b w:val="false"/>
                <w:bCs w:val="false"/>
              </w:rPr>
              <w:t xml:space="preserve">Report completeness</w:t>
            </w:r>
          </w:p>
        </w:tc>
        <w:tc>
          <w:tcPr>
            <w:tcW w:type="dxa" w:w="4700"/>
            <w:tcMar>
              <w:top w:type="dxa" w:w="80"/>
              <w:left w:type="dxa" w:w="100"/>
              <w:bottom w:type="dxa" w:w="80"/>
              <w:right w:type="dxa" w:w="100"/>
            </w:tcMar>
          </w:tcPr>
          <w:p>
            <w:r>
              <w:rPr>
                <w:b w:val="false"/>
                <w:bCs w:val="false"/>
              </w:rPr>
              <w:t xml:space="preserve">Every audit report includes model version, findings, reviewer decision and timestamp</w:t>
            </w:r>
          </w:p>
        </w:tc>
      </w:tr>
      <w:tr>
        <w:tc>
          <w:tcPr>
            <w:tcW w:type="dxa" w:w="5200"/>
            <w:shd w:fill="EAF0FB" w:val="clear"/>
            <w:tcMar>
              <w:top w:type="dxa" w:w="80"/>
              <w:left w:type="dxa" w:w="100"/>
              <w:bottom w:type="dxa" w:w="80"/>
              <w:right w:type="dxa" w:w="100"/>
            </w:tcMar>
          </w:tcPr>
          <w:p>
            <w:r>
              <w:rPr>
                <w:b w:val="false"/>
                <w:bCs w:val="false"/>
              </w:rPr>
              <w:t xml:space="preserve">Demo resilience</w:t>
            </w:r>
          </w:p>
        </w:tc>
        <w:tc>
          <w:tcPr>
            <w:tcW w:type="dxa" w:w="4700"/>
            <w:shd w:fill="EAF0FB" w:val="clear"/>
            <w:tcMar>
              <w:top w:type="dxa" w:w="80"/>
              <w:left w:type="dxa" w:w="100"/>
              <w:bottom w:type="dxa" w:w="80"/>
              <w:right w:type="dxa" w:w="100"/>
            </w:tcMar>
          </w:tcPr>
          <w:p>
            <w:r>
              <w:rPr>
                <w:b w:val="false"/>
                <w:bCs w:val="false"/>
              </w:rPr>
              <w:t xml:space="preserve">3 consecutive clean rehearsals with a working fallback (cached results / recorded video)</w:t>
            </w:r>
          </w:p>
        </w:tc>
      </w:tr>
    </w:tbl>
    <w:p>
      <w:pPr>
        <w:pStyle w:val="Heading1"/>
        <w:spacing w:after="200" w:before="400"/>
      </w:pPr>
      <w:r>
        <w:t xml:space="preserve">4. Non-Goals / Out of Scope</w:t>
      </w:r>
    </w:p>
    <w:p>
      <w:pPr>
        <w:spacing w:after="160"/>
      </w:pPr>
      <w:r>
        <w:t xml:space="preserve">To protect the build timeline, the following are explicitly excluded from the MVP:</w:t>
      </w:r>
    </w:p>
    <w:p>
      <w:pPr>
        <w:pStyle w:val="ListParagraph"/>
        <w:numPr>
          <w:ilvl w:val="0"/>
          <w:numId w:val="1"/>
        </w:numPr>
        <w:spacing w:after="80"/>
      </w:pPr>
      <w:r>
        <w:t xml:space="preserve">Authentication / RBAC, a production-grade model registry, Kubernetes, or real CI/CD integration.</w:t>
      </w:r>
    </w:p>
    <w:p>
      <w:pPr>
        <w:pStyle w:val="ListParagraph"/>
        <w:numPr>
          <w:ilvl w:val="0"/>
          <w:numId w:val="1"/>
        </w:numPr>
        <w:spacing w:after="80"/>
      </w:pPr>
      <w:r>
        <w:t xml:space="preserve">LLM / generative-AI governance, computer-vision or NLP model governance (documented as a Phase 2 roadmap item).</w:t>
      </w:r>
    </w:p>
    <w:p>
      <w:pPr>
        <w:pStyle w:val="ListParagraph"/>
        <w:numPr>
          <w:ilvl w:val="0"/>
          <w:numId w:val="1"/>
        </w:numPr>
        <w:spacing w:after="80"/>
      </w:pPr>
      <w:r>
        <w:t xml:space="preserve">Automated retraining, adversarial ML red-teaming, and sophisticated privacy-attack simulation.</w:t>
      </w:r>
    </w:p>
    <w:p>
      <w:pPr>
        <w:pStyle w:val="ListParagraph"/>
        <w:numPr>
          <w:ilvl w:val="0"/>
          <w:numId w:val="1"/>
        </w:numPr>
        <w:spacing w:after="80"/>
      </w:pPr>
      <w:r>
        <w:t xml:space="preserve">Any claim of legal compliance or a universal numeric “ethics score.” Policy thresholds are organisation-configured governance rules; framework mappings are evidence support, not certification.</w:t>
      </w:r>
    </w:p>
    <w:p>
      <w:pPr>
        <w:pStyle w:val="ListParagraph"/>
        <w:numPr>
          <w:ilvl w:val="0"/>
          <w:numId w:val="1"/>
        </w:numPr>
        <w:spacing w:after="80"/>
      </w:pPr>
      <w:r>
        <w:t xml:space="preserve">Support for multiple model families beyond scikit-learn-style binary classifiers (logistic regression, random forest, XGBoost) in the MVP.</w:t>
      </w:r>
    </w:p>
    <w:p>
      <w:pPr>
        <w:pStyle w:val="Heading1"/>
        <w:spacing w:after="200" w:before="400"/>
      </w:pPr>
      <w:r>
        <w:t xml:space="preserve">5. Target Users &amp; Personas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shd w:fill="1F2A44" w:val="clear"/>
            <w:tcMar>
              <w:top w:type="dxa" w:w="80"/>
              <w:left w:type="dxa" w:w="100"/>
              <w:bottom w:type="dxa" w:w="80"/>
              <w:right w:type="dxa" w:w="100"/>
            </w:tcMar>
          </w:tcPr>
          <w:p>
            <w:r>
              <w:rPr>
                <w:b/>
                <w:bCs/>
              </w:rPr>
              <w:t xml:space="preserve">Persona</w:t>
            </w:r>
          </w:p>
        </w:tc>
        <w:tc>
          <w:tcPr>
            <w:tcW w:type="dxa" w:w="6700"/>
            <w:shd w:fill="1F2A44" w:val="clear"/>
            <w:tcMar>
              <w:top w:type="dxa" w:w="80"/>
              <w:left w:type="dxa" w:w="100"/>
              <w:bottom w:type="dxa" w:w="80"/>
              <w:right w:type="dxa" w:w="100"/>
            </w:tcMar>
          </w:tcPr>
          <w:p>
            <w:r>
              <w:rPr>
                <w:b/>
                <w:bCs/>
              </w:rPr>
              <w:t xml:space="preserve">Goal on the platform</w:t>
            </w:r>
          </w:p>
        </w:tc>
      </w:tr>
      <w:tr>
        <w:tc>
          <w:tcPr>
            <w:tcW w:type="dxa" w:w="3200"/>
            <w:tcMar>
              <w:top w:type="dxa" w:w="80"/>
              <w:left w:type="dxa" w:w="100"/>
              <w:bottom w:type="dxa" w:w="80"/>
              <w:right w:type="dxa" w:w="100"/>
            </w:tcMar>
          </w:tcPr>
          <w:p>
            <w:r>
              <w:rPr>
                <w:b w:val="false"/>
                <w:bCs w:val="false"/>
              </w:rPr>
              <w:t xml:space="preserve">ML Engineer</w:t>
            </w:r>
          </w:p>
        </w:tc>
        <w:tc>
          <w:tcPr>
            <w:tcW w:type="dxa" w:w="6700"/>
            <w:tcMar>
              <w:top w:type="dxa" w:w="80"/>
              <w:left w:type="dxa" w:w="100"/>
              <w:bottom w:type="dxa" w:w="80"/>
              <w:right w:type="dxa" w:w="100"/>
            </w:tcMar>
          </w:tcPr>
          <w:p>
            <w:r>
              <w:rPr>
                <w:b w:val="false"/>
                <w:bCs w:val="false"/>
              </w:rPr>
              <w:t xml:space="preserve">Registers a model, uploads evaluation data, reviews technical audit failures (performance, fairness, robustness).</w:t>
            </w:r>
          </w:p>
        </w:tc>
      </w:tr>
      <w:tr>
        <w:tc>
          <w:tcPr>
            <w:tcW w:type="dxa" w:w="3200"/>
            <w:shd w:fill="EAF0FB" w:val="clear"/>
            <w:tcMar>
              <w:top w:type="dxa" w:w="80"/>
              <w:left w:type="dxa" w:w="100"/>
              <w:bottom w:type="dxa" w:w="80"/>
              <w:right w:type="dxa" w:w="100"/>
            </w:tcMar>
          </w:tcPr>
          <w:p>
            <w:r>
              <w:rPr>
                <w:b w:val="false"/>
                <w:bCs w:val="false"/>
              </w:rPr>
              <w:t xml:space="preserve">Risk / Compliance Officer</w:t>
            </w:r>
          </w:p>
        </w:tc>
        <w:tc>
          <w:tcPr>
            <w:tcW w:type="dxa" w:w="6700"/>
            <w:shd w:fill="EAF0FB" w:val="clear"/>
            <w:tcMar>
              <w:top w:type="dxa" w:w="80"/>
              <w:left w:type="dxa" w:w="100"/>
              <w:bottom w:type="dxa" w:w="80"/>
              <w:right w:type="dxa" w:w="100"/>
            </w:tcMar>
          </w:tcPr>
          <w:p>
            <w:r>
              <w:rPr>
                <w:b w:val="false"/>
                <w:bCs w:val="false"/>
              </w:rPr>
              <w:t xml:space="preserve">Reviews governance risk scores, approves or blocks deployment, sets policy thresholds.</w:t>
            </w:r>
          </w:p>
        </w:tc>
      </w:tr>
      <w:tr>
        <w:tc>
          <w:tcPr>
            <w:tcW w:type="dxa" w:w="3200"/>
            <w:tcMar>
              <w:top w:type="dxa" w:w="80"/>
              <w:left w:type="dxa" w:w="100"/>
              <w:bottom w:type="dxa" w:w="80"/>
              <w:right w:type="dxa" w:w="100"/>
            </w:tcMar>
          </w:tcPr>
          <w:p>
            <w:r>
              <w:rPr>
                <w:b w:val="false"/>
                <w:bCs w:val="false"/>
              </w:rPr>
              <w:t xml:space="preserve">Auditor</w:t>
            </w:r>
          </w:p>
        </w:tc>
        <w:tc>
          <w:tcPr>
            <w:tcW w:type="dxa" w:w="6700"/>
            <w:tcMar>
              <w:top w:type="dxa" w:w="80"/>
              <w:left w:type="dxa" w:w="100"/>
              <w:bottom w:type="dxa" w:w="80"/>
              <w:right w:type="dxa" w:w="100"/>
            </w:tcMar>
          </w:tcPr>
          <w:p>
            <w:r>
              <w:rPr>
                <w:b w:val="false"/>
                <w:bCs w:val="false"/>
              </w:rPr>
              <w:t xml:space="preserve">Reconstructs why a specific decision was made; reviews evidence, logs and framework mappings.</w:t>
            </w:r>
          </w:p>
        </w:tc>
      </w:tr>
      <w:tr>
        <w:tc>
          <w:tcPr>
            <w:tcW w:type="dxa" w:w="3200"/>
            <w:shd w:fill="EAF0FB" w:val="clear"/>
            <w:tcMar>
              <w:top w:type="dxa" w:w="80"/>
              <w:left w:type="dxa" w:w="100"/>
              <w:bottom w:type="dxa" w:w="80"/>
              <w:right w:type="dxa" w:w="100"/>
            </w:tcMar>
          </w:tcPr>
          <w:p>
            <w:r>
              <w:rPr>
                <w:b w:val="false"/>
                <w:bCs w:val="false"/>
              </w:rPr>
              <w:t xml:space="preserve">Business / Model Owner</w:t>
            </w:r>
          </w:p>
        </w:tc>
        <w:tc>
          <w:tcPr>
            <w:tcW w:type="dxa" w:w="6700"/>
            <w:shd w:fill="EAF0FB" w:val="clear"/>
            <w:tcMar>
              <w:top w:type="dxa" w:w="80"/>
              <w:left w:type="dxa" w:w="100"/>
              <w:bottom w:type="dxa" w:w="80"/>
              <w:right w:type="dxa" w:w="100"/>
            </w:tcMar>
          </w:tcPr>
          <w:p>
            <w:r>
              <w:rPr>
                <w:b w:val="false"/>
                <w:bCs w:val="false"/>
              </w:rPr>
              <w:t xml:space="preserve">Checks overall model status and deployment eligibility at a glance.</w:t>
            </w:r>
          </w:p>
        </w:tc>
      </w:tr>
      <w:tr>
        <w:tc>
          <w:tcPr>
            <w:tcW w:type="dxa" w:w="3200"/>
            <w:tcMar>
              <w:top w:type="dxa" w:w="80"/>
              <w:left w:type="dxa" w:w="100"/>
              <w:bottom w:type="dxa" w:w="80"/>
              <w:right w:type="dxa" w:w="100"/>
            </w:tcMar>
          </w:tcPr>
          <w:p>
            <w:r>
              <w:rPr>
                <w:b w:val="false"/>
                <w:bCs w:val="false"/>
              </w:rPr>
              <w:t xml:space="preserve">Admin</w:t>
            </w:r>
          </w:p>
        </w:tc>
        <w:tc>
          <w:tcPr>
            <w:tcW w:type="dxa" w:w="6700"/>
            <w:tcMar>
              <w:top w:type="dxa" w:w="80"/>
              <w:left w:type="dxa" w:w="100"/>
              <w:bottom w:type="dxa" w:w="80"/>
              <w:right w:type="dxa" w:w="100"/>
            </w:tcMar>
          </w:tcPr>
          <w:p>
            <w:r>
              <w:rPr>
                <w:b w:val="false"/>
                <w:bCs w:val="false"/>
              </w:rPr>
              <w:t xml:space="preserve">Defines organisation-wide governance policies and thresholds.</w:t>
            </w:r>
          </w:p>
        </w:tc>
      </w:tr>
    </w:tbl>
    <w:p>
      <w:pPr>
        <w:pStyle w:val="Heading1"/>
        <w:spacing w:after="200" w:before="400"/>
      </w:pPr>
      <w:r>
        <w:t xml:space="preserve">6. Scope of the MVP</w:t>
      </w:r>
    </w:p>
    <w:p>
      <w:pPr>
        <w:pStyle w:val="Heading2"/>
        <w:spacing w:after="150" w:before="300"/>
      </w:pPr>
      <w:r>
        <w:t xml:space="preserve">6.1 Core modules</w:t>
      </w:r>
    </w:p>
    <w:p>
      <w:pPr>
        <w:pStyle w:val="ListParagraph"/>
        <w:numPr>
          <w:ilvl w:val="0"/>
          <w:numId w:val="1"/>
        </w:numPr>
        <w:spacing w:after="80"/>
      </w:pPr>
      <w:r>
        <w:t xml:space="preserve">Model Registry — register model name, version, owner, use case, target column, sensitive attributes and status.</w:t>
      </w:r>
    </w:p>
    <w:p>
      <w:pPr>
        <w:pStyle w:val="ListParagraph"/>
        <w:numPr>
          <w:ilvl w:val="0"/>
          <w:numId w:val="1"/>
        </w:numPr>
        <w:spacing w:after="80"/>
      </w:pPr>
      <w:r>
        <w:t xml:space="preserve">Performance Audit — accuracy, precision, recall, F1, ROC-AUC and confusion matrix.</w:t>
      </w:r>
    </w:p>
    <w:p>
      <w:pPr>
        <w:pStyle w:val="ListParagraph"/>
        <w:numPr>
          <w:ilvl w:val="0"/>
          <w:numId w:val="1"/>
        </w:numPr>
        <w:spacing w:after="80"/>
      </w:pPr>
      <w:r>
        <w:t xml:space="preserve">Fairness Audit — per-group selection rates, demographic parity difference, disparate-impact ratio, true-positive-rate (equal opportunity) gap, and intersectional subgroup discovery.</w:t>
      </w:r>
    </w:p>
    <w:p>
      <w:pPr>
        <w:pStyle w:val="ListParagraph"/>
        <w:numPr>
          <w:ilvl w:val="0"/>
          <w:numId w:val="1"/>
        </w:numPr>
        <w:spacing w:after="80"/>
      </w:pPr>
      <w:r>
        <w:t xml:space="preserve">Explainability — global feature importance plus a local SHAP explanation for an individual prediction, including basic proxy-feature flags.</w:t>
      </w:r>
    </w:p>
    <w:p>
      <w:pPr>
        <w:pStyle w:val="ListParagraph"/>
        <w:numPr>
          <w:ilvl w:val="0"/>
          <w:numId w:val="1"/>
        </w:numPr>
        <w:spacing w:after="80"/>
      </w:pPr>
      <w:r>
        <w:t xml:space="preserve">Robustness &amp; Monitoring — missing-value / noise perturbation tests, data drift and fairness drift on simulated production batches.</w:t>
      </w:r>
    </w:p>
    <w:p>
      <w:pPr>
        <w:pStyle w:val="ListParagraph"/>
        <w:numPr>
          <w:ilvl w:val="0"/>
          <w:numId w:val="1"/>
        </w:numPr>
        <w:spacing w:after="80"/>
      </w:pPr>
      <w:r>
        <w:t xml:space="preserve">Policy Engine — configurable organisation thresholds that produce a PASS, REVIEW (WARNING) or BLOCK decision with explicit failed-rule reasons.</w:t>
      </w:r>
    </w:p>
    <w:p>
      <w:pPr>
        <w:pStyle w:val="ListParagraph"/>
        <w:numPr>
          <w:ilvl w:val="0"/>
          <w:numId w:val="1"/>
        </w:numPr>
        <w:spacing w:after="80"/>
      </w:pPr>
      <w:r>
        <w:t xml:space="preserve">Mitigation Comparison — before/after view comparing a biased model against a mitigated model on accuracy and fairness.</w:t>
      </w:r>
    </w:p>
    <w:p>
      <w:pPr>
        <w:pStyle w:val="ListParagraph"/>
        <w:numPr>
          <w:ilvl w:val="0"/>
          <w:numId w:val="1"/>
        </w:numPr>
        <w:spacing w:after="80"/>
      </w:pPr>
      <w:r>
        <w:t xml:space="preserve">Audit Trail &amp; Report — persisted model metadata, findings, reviewer decision, and a downloadable audit report / model card.</w:t>
      </w:r>
    </w:p>
    <w:p>
      <w:pPr>
        <w:pStyle w:val="Heading2"/>
        <w:spacing w:after="150" w:before="300"/>
      </w:pPr>
      <w:r>
        <w:t xml:space="preserve">6.2 Build-track options</w:t>
      </w:r>
    </w:p>
    <w:p>
      <w:pPr>
        <w:spacing w:after="160"/>
      </w:pPr>
      <w:r>
        <w:t xml:space="preserve">Two build tracks were planned depending on available time; both share the same architecture and interface contract.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3200"/>
      </w:tblGrid>
      <w:tr>
        <w:trPr>
          <w:tblHeader/>
        </w:trPr>
        <w:tc>
          <w:tcPr>
            <w:tcW w:type="dxa" w:w="5000"/>
            <w:shd w:fill="1F2A44" w:val="clear"/>
            <w:tcMar>
              <w:top w:type="dxa" w:w="80"/>
              <w:left w:type="dxa" w:w="100"/>
              <w:bottom w:type="dxa" w:w="80"/>
              <w:right w:type="dxa" w:w="100"/>
            </w:tcMar>
          </w:tcPr>
          <w:p>
            <w:r>
              <w:rPr>
                <w:b/>
                <w:bCs/>
              </w:rPr>
              <w:t xml:space="preserve">Track</w:t>
            </w:r>
          </w:p>
        </w:tc>
        <w:tc>
          <w:tcPr>
            <w:tcW w:type="dxa" w:w="1700"/>
            <w:shd w:fill="1F2A44" w:val="clear"/>
            <w:tcMar>
              <w:top w:type="dxa" w:w="80"/>
              <w:left w:type="dxa" w:w="100"/>
              <w:bottom w:type="dxa" w:w="80"/>
              <w:right w:type="dxa" w:w="100"/>
            </w:tcMar>
          </w:tcPr>
          <w:p>
            <w:r>
              <w:rPr>
                <w:b/>
                <w:bCs/>
              </w:rPr>
              <w:t xml:space="preserve">Duration</w:t>
            </w:r>
          </w:p>
        </w:tc>
        <w:tc>
          <w:tcPr>
            <w:tcW w:type="dxa" w:w="3200"/>
            <w:shd w:fill="1F2A44" w:val="clear"/>
            <w:tcMar>
              <w:top w:type="dxa" w:w="80"/>
              <w:left w:type="dxa" w:w="100"/>
              <w:bottom w:type="dxa" w:w="80"/>
              <w:right w:type="dxa" w:w="100"/>
            </w:tcMar>
          </w:tcPr>
          <w:p>
            <w:r>
              <w:rPr>
                <w:b/>
                <w:bCs/>
              </w:rPr>
              <w:t xml:space="preserve">Scope</w:t>
            </w:r>
          </w:p>
        </w:tc>
      </w:tr>
      <w:tr>
        <w:tc>
          <w:tcPr>
            <w:tcW w:type="dxa" w:w="5000"/>
            <w:tcMar>
              <w:top w:type="dxa" w:w="80"/>
              <w:left w:type="dxa" w:w="100"/>
              <w:bottom w:type="dxa" w:w="80"/>
              <w:right w:type="dxa" w:w="100"/>
            </w:tcMar>
          </w:tcPr>
          <w:p>
            <w:r>
              <w:rPr>
                <w:b w:val="false"/>
                <w:bCs w:val="false"/>
              </w:rPr>
              <w:t xml:space="preserve">14-day parallel build (4-person platform team + 2-person data team)</w:t>
            </w:r>
          </w:p>
        </w:tc>
        <w:tc>
          <w:tcPr>
            <w:tcW w:type="dxa" w:w="1700"/>
            <w:tcMar>
              <w:top w:type="dxa" w:w="80"/>
              <w:left w:type="dxa" w:w="100"/>
              <w:bottom w:type="dxa" w:w="80"/>
              <w:right w:type="dxa" w:w="100"/>
            </w:tcMar>
          </w:tcPr>
          <w:p>
            <w:r>
              <w:rPr>
                <w:b w:val="false"/>
                <w:bCs w:val="false"/>
              </w:rPr>
              <w:t xml:space="preserve">14 days, phase-gated</w:t>
            </w:r>
          </w:p>
        </w:tc>
        <w:tc>
          <w:tcPr>
            <w:tcW w:type="dxa" w:w="3200"/>
            <w:tcMar>
              <w:top w:type="dxa" w:w="80"/>
              <w:left w:type="dxa" w:w="100"/>
              <w:bottom w:type="dxa" w:w="80"/>
              <w:right w:type="dxa" w:w="100"/>
            </w:tcMar>
          </w:tcPr>
          <w:p>
            <w:r>
              <w:rPr>
                <w:b w:val="false"/>
                <w:bCs w:val="false"/>
              </w:rPr>
              <w:t xml:space="preserve">Full MVP scope in section 6.1, including mitigation comparison and fairness drift.</w:t>
            </w:r>
          </w:p>
        </w:tc>
      </w:tr>
      <w:tr>
        <w:tc>
          <w:tcPr>
            <w:tcW w:type="dxa" w:w="5000"/>
            <w:shd w:fill="EAF0FB" w:val="clear"/>
            <w:tcMar>
              <w:top w:type="dxa" w:w="80"/>
              <w:left w:type="dxa" w:w="100"/>
              <w:bottom w:type="dxa" w:w="80"/>
              <w:right w:type="dxa" w:w="100"/>
            </w:tcMar>
          </w:tcPr>
          <w:p>
            <w:r>
              <w:rPr>
                <w:b w:val="false"/>
                <w:bCs w:val="false"/>
              </w:rPr>
              <w:t xml:space="preserve">48-hour SIH build (6-person team)</w:t>
            </w:r>
          </w:p>
        </w:tc>
        <w:tc>
          <w:tcPr>
            <w:tcW w:type="dxa" w:w="1700"/>
            <w:shd w:fill="EAF0FB" w:val="clear"/>
            <w:tcMar>
              <w:top w:type="dxa" w:w="80"/>
              <w:left w:type="dxa" w:w="100"/>
              <w:bottom w:type="dxa" w:w="80"/>
              <w:right w:type="dxa" w:w="100"/>
            </w:tcMar>
          </w:tcPr>
          <w:p>
            <w:r>
              <w:rPr>
                <w:b w:val="false"/>
                <w:bCs w:val="false"/>
              </w:rPr>
              <w:t xml:space="preserve">48 hours, hour-gated</w:t>
            </w:r>
          </w:p>
        </w:tc>
        <w:tc>
          <w:tcPr>
            <w:tcW w:type="dxa" w:w="3200"/>
            <w:shd w:fill="EAF0FB" w:val="clear"/>
            <w:tcMar>
              <w:top w:type="dxa" w:w="80"/>
              <w:left w:type="dxa" w:w="100"/>
              <w:bottom w:type="dxa" w:w="80"/>
              <w:right w:type="dxa" w:w="100"/>
            </w:tcMar>
          </w:tcPr>
          <w:p>
            <w:r>
              <w:rPr>
                <w:b w:val="false"/>
                <w:bCs w:val="false"/>
              </w:rPr>
              <w:t xml:space="preserve">Core: performance, fairness, SHAP explainability, policy engine, audit report. Stretch (only after core is stable): drift monitoring, before/after model comparison.</w:t>
            </w:r>
          </w:p>
        </w:tc>
      </w:tr>
    </w:tbl>
    <w:p>
      <w:pPr>
        <w:pStyle w:val="Heading1"/>
        <w:spacing w:after="200" w:before="400"/>
      </w:pPr>
      <w:r>
        <w:t xml:space="preserve">7. Functional Requirements</w:t>
      </w:r>
    </w:p>
    <w:p>
      <w:pPr>
        <w:pStyle w:val="Heading2"/>
        <w:spacing w:after="150" w:before="300"/>
      </w:pPr>
      <w:r>
        <w:t xml:space="preserve">7.1 Model Registry</w:t>
      </w:r>
    </w:p>
    <w:p>
      <w:pPr>
        <w:pStyle w:val="ListParagraph"/>
        <w:numPr>
          <w:ilvl w:val="0"/>
          <w:numId w:val="1"/>
        </w:numPr>
        <w:spacing w:after="80"/>
      </w:pPr>
      <w:r>
        <w:t xml:space="preserve">FR-1: The system shall allow registering a model with name, version, owner, use case/domain, model type, target column, positive label, sensitive attributes and feature list.</w:t>
      </w:r>
    </w:p>
    <w:p>
      <w:pPr>
        <w:pStyle w:val="ListParagraph"/>
        <w:numPr>
          <w:ilvl w:val="0"/>
          <w:numId w:val="1"/>
        </w:numPr>
        <w:spacing w:after="80"/>
      </w:pPr>
      <w:r>
        <w:t xml:space="preserve">FR-2: The system shall accept model and evaluation-data artifacts (.pkl / .joblib model plus CSV evaluation data) or references to them.</w:t>
      </w:r>
    </w:p>
    <w:p>
      <w:pPr>
        <w:pStyle w:val="ListParagraph"/>
        <w:numPr>
          <w:ilvl w:val="0"/>
          <w:numId w:val="1"/>
        </w:numPr>
        <w:spacing w:after="80"/>
      </w:pPr>
      <w:r>
        <w:t xml:space="preserve">FR-3: The system shall track model status (e.g. Under Review, Approved, Blocked) and version history.</w:t>
      </w:r>
    </w:p>
    <w:p>
      <w:pPr>
        <w:pStyle w:val="Heading2"/>
        <w:spacing w:after="150" w:before="300"/>
      </w:pPr>
      <w:r>
        <w:t xml:space="preserve">7.2 Performance Audit</w:t>
      </w:r>
    </w:p>
    <w:p>
      <w:pPr>
        <w:pStyle w:val="ListParagraph"/>
        <w:numPr>
          <w:ilvl w:val="0"/>
          <w:numId w:val="1"/>
        </w:numPr>
        <w:spacing w:after="80"/>
      </w:pPr>
      <w:r>
        <w:t xml:space="preserve">FR-4: The system shall compute accuracy, precision, recall, F1, ROC-AUC and a confusion matrix from the uploaded/selected model and evaluation data.</w:t>
      </w:r>
    </w:p>
    <w:p>
      <w:pPr>
        <w:pStyle w:val="Heading2"/>
        <w:spacing w:after="150" w:before="300"/>
      </w:pPr>
      <w:r>
        <w:t xml:space="preserve">7.3 Fairness Audit</w:t>
      </w:r>
    </w:p>
    <w:p>
      <w:pPr>
        <w:pStyle w:val="ListParagraph"/>
        <w:numPr>
          <w:ilvl w:val="0"/>
          <w:numId w:val="1"/>
        </w:numPr>
        <w:spacing w:after="80"/>
      </w:pPr>
      <w:r>
        <w:t xml:space="preserve">FR-5: The system shall compute per-group selection rates, demographic parity difference and disparate-impact ratio for a specified sensitive attribute.</w:t>
      </w:r>
    </w:p>
    <w:p>
      <w:pPr>
        <w:pStyle w:val="ListParagraph"/>
        <w:numPr>
          <w:ilvl w:val="0"/>
          <w:numId w:val="1"/>
        </w:numPr>
        <w:spacing w:after="80"/>
      </w:pPr>
      <w:r>
        <w:t xml:space="preserve">FR-6: The system shall compute the true-positive-rate (equal opportunity) gap and, where feasible, equalized-odds gaps between groups.</w:t>
      </w:r>
    </w:p>
    <w:p>
      <w:pPr>
        <w:pStyle w:val="ListParagraph"/>
        <w:numPr>
          <w:ilvl w:val="0"/>
          <w:numId w:val="1"/>
        </w:numPr>
        <w:spacing w:after="80"/>
      </w:pPr>
      <w:r>
        <w:t xml:space="preserve">FR-7: The system shall automatically search intersectional subgroups (e.g. gender × age) to surface hidden disparities not visible in single-attribute comparisons.</w:t>
      </w:r>
    </w:p>
    <w:p>
      <w:pPr>
        <w:pStyle w:val="ListParagraph"/>
        <w:numPr>
          <w:ilvl w:val="0"/>
          <w:numId w:val="1"/>
        </w:numPr>
        <w:spacing w:after="80"/>
      </w:pPr>
      <w:r>
        <w:t xml:space="preserve">FR-8: The system shall flag non-sensitive features with a high statistical association to a sensitive attribute as potential proxy features.</w:t>
      </w:r>
    </w:p>
    <w:p>
      <w:pPr>
        <w:pStyle w:val="Heading2"/>
        <w:spacing w:after="150" w:before="300"/>
      </w:pPr>
      <w:r>
        <w:t xml:space="preserve">7.4 Explainability</w:t>
      </w:r>
    </w:p>
    <w:p>
      <w:pPr>
        <w:pStyle w:val="ListParagraph"/>
        <w:numPr>
          <w:ilvl w:val="0"/>
          <w:numId w:val="1"/>
        </w:numPr>
        <w:spacing w:after="80"/>
      </w:pPr>
      <w:r>
        <w:t xml:space="preserve">FR-9: The system shall generate global SHAP feature importance for a registered model.</w:t>
      </w:r>
    </w:p>
    <w:p>
      <w:pPr>
        <w:pStyle w:val="ListParagraph"/>
        <w:numPr>
          <w:ilvl w:val="0"/>
          <w:numId w:val="1"/>
        </w:numPr>
        <w:spacing w:after="80"/>
      </w:pPr>
      <w:r>
        <w:t xml:space="preserve">FR-10: The system shall generate a local SHAP explanation for an individual selected prediction.</w:t>
      </w:r>
    </w:p>
    <w:p>
      <w:pPr>
        <w:pStyle w:val="ListParagraph"/>
        <w:numPr>
          <w:ilvl w:val="0"/>
          <w:numId w:val="1"/>
        </w:numPr>
        <w:spacing w:after="80"/>
      </w:pPr>
      <w:r>
        <w:t xml:space="preserve">FR-11 (stretch): The system shall generate a counterfactual explanation describing the minimum feature change required to flip a prediction.</w:t>
      </w:r>
    </w:p>
    <w:p>
      <w:pPr>
        <w:pStyle w:val="Heading2"/>
        <w:spacing w:after="150" w:before="300"/>
      </w:pPr>
      <w:r>
        <w:t xml:space="preserve">7.5 Robustness &amp; Monitoring</w:t>
      </w:r>
    </w:p>
    <w:p>
      <w:pPr>
        <w:pStyle w:val="ListParagraph"/>
        <w:numPr>
          <w:ilvl w:val="0"/>
          <w:numId w:val="1"/>
        </w:numPr>
        <w:spacing w:after="80"/>
      </w:pPr>
      <w:r>
        <w:t xml:space="preserve">FR-12: The system shall test model output stability under missing-value and numeric-perturbation conditions.</w:t>
      </w:r>
    </w:p>
    <w:p>
      <w:pPr>
        <w:pStyle w:val="ListParagraph"/>
        <w:numPr>
          <w:ilvl w:val="0"/>
          <w:numId w:val="1"/>
        </w:numPr>
        <w:spacing w:after="80"/>
      </w:pPr>
      <w:r>
        <w:t xml:space="preserve">FR-13: The system shall compare a reference dataset against a simulated production batch and report per-feature data drift (e.g. KS test, Wasserstein distance, or PSI).</w:t>
      </w:r>
    </w:p>
    <w:p>
      <w:pPr>
        <w:pStyle w:val="ListParagraph"/>
        <w:numPr>
          <w:ilvl w:val="0"/>
          <w:numId w:val="1"/>
        </w:numPr>
        <w:spacing w:after="80"/>
      </w:pPr>
      <w:r>
        <w:t xml:space="preserve">FR-14: The system shall track fairness metrics over simulated time periods to detect fairness drift.</w:t>
      </w:r>
    </w:p>
    <w:p>
      <w:pPr>
        <w:pStyle w:val="Heading2"/>
        <w:spacing w:after="150" w:before="300"/>
      </w:pPr>
      <w:r>
        <w:t xml:space="preserve">7.6 Policy Engine</w:t>
      </w:r>
    </w:p>
    <w:p>
      <w:pPr>
        <w:pStyle w:val="ListParagraph"/>
        <w:numPr>
          <w:ilvl w:val="0"/>
          <w:numId w:val="1"/>
        </w:numPr>
        <w:spacing w:after="80"/>
      </w:pPr>
      <w:r>
        <w:t xml:space="preserve">FR-15: The system shall evaluate audit results against configurable organisation-defined thresholds (metric, operator, threshold, severity, applicability).</w:t>
      </w:r>
    </w:p>
    <w:p>
      <w:pPr>
        <w:pStyle w:val="ListParagraph"/>
        <w:numPr>
          <w:ilvl w:val="0"/>
          <w:numId w:val="1"/>
        </w:numPr>
        <w:spacing w:after="80"/>
      </w:pPr>
      <w:r>
        <w:t xml:space="preserve">FR-16: The system shall output a deterministic PASS, REVIEW or BLOCK decision with a list of specific failed-rule reasons.</w:t>
      </w:r>
    </w:p>
    <w:p>
      <w:pPr>
        <w:pStyle w:val="ListParagraph"/>
        <w:numPr>
          <w:ilvl w:val="0"/>
          <w:numId w:val="1"/>
        </w:numPr>
        <w:spacing w:after="80"/>
      </w:pPr>
      <w:r>
        <w:t xml:space="preserve">FR-17: The system shall support a human reviewer recording an approve/reject/override decision with a reason and timestamp.</w:t>
      </w:r>
    </w:p>
    <w:p>
      <w:pPr>
        <w:pStyle w:val="Heading2"/>
        <w:spacing w:after="150" w:before="300"/>
      </w:pPr>
      <w:r>
        <w:t xml:space="preserve">7.7 Mitigation Comparison</w:t>
      </w:r>
    </w:p>
    <w:p>
      <w:pPr>
        <w:pStyle w:val="ListParagraph"/>
        <w:numPr>
          <w:ilvl w:val="0"/>
          <w:numId w:val="1"/>
        </w:numPr>
        <w:spacing w:after="80"/>
      </w:pPr>
      <w:r>
        <w:t xml:space="preserve">FR-18: The system shall display a side-by-side comparison of a biased model and a mitigated/improved model across accuracy and fairness metrics.</w:t>
      </w:r>
    </w:p>
    <w:p>
      <w:pPr>
        <w:pStyle w:val="Heading2"/>
        <w:spacing w:after="150" w:before="300"/>
      </w:pPr>
      <w:r>
        <w:t xml:space="preserve">7.8 Audit Trail &amp; Reporting</w:t>
      </w:r>
    </w:p>
    <w:p>
      <w:pPr>
        <w:pStyle w:val="ListParagraph"/>
        <w:numPr>
          <w:ilvl w:val="0"/>
          <w:numId w:val="1"/>
        </w:numPr>
        <w:spacing w:after="80"/>
      </w:pPr>
      <w:r>
        <w:t xml:space="preserve">FR-19: The system shall persist every audit run with model version, timestamp, rule set, findings and any human-review event.</w:t>
      </w:r>
    </w:p>
    <w:p>
      <w:pPr>
        <w:pStyle w:val="ListParagraph"/>
        <w:numPr>
          <w:ilvl w:val="0"/>
          <w:numId w:val="1"/>
        </w:numPr>
        <w:spacing w:after="80"/>
      </w:pPr>
      <w:r>
        <w:t xml:space="preserve">FR-20: The system shall generate a downloadable audit report / model card summarising model metadata, all audit findings, the policy decision and (where applicable) framework-evidence mapping.</w:t>
      </w:r>
    </w:p>
    <w:p>
      <w:pPr>
        <w:pStyle w:val="Heading1"/>
        <w:spacing w:after="200" w:before="400"/>
      </w:pPr>
      <w:r>
        <w:t xml:space="preserve">8. Non-Functional Requirements</w:t>
      </w:r>
    </w:p>
    <w:p>
      <w:pPr>
        <w:pStyle w:val="ListParagraph"/>
        <w:numPr>
          <w:ilvl w:val="0"/>
          <w:numId w:val="1"/>
        </w:numPr>
        <w:spacing w:after="80"/>
      </w:pPr>
      <w:r>
        <w:t xml:space="preserve">NFR-1 — Determinism: identical inputs must always produce identical fairness metrics and policy verdicts.</w:t>
      </w:r>
    </w:p>
    <w:p>
      <w:pPr>
        <w:pStyle w:val="ListParagraph"/>
        <w:numPr>
          <w:ilvl w:val="0"/>
          <w:numId w:val="1"/>
        </w:numPr>
        <w:spacing w:after="80"/>
      </w:pPr>
      <w:r>
        <w:t xml:space="preserve">NFR-2 — Offline capability: the full demo must run locally without a live internet dependency.</w:t>
      </w:r>
    </w:p>
    <w:p>
      <w:pPr>
        <w:pStyle w:val="ListParagraph"/>
        <w:numPr>
          <w:ilvl w:val="0"/>
          <w:numId w:val="1"/>
        </w:numPr>
        <w:spacing w:after="80"/>
      </w:pPr>
      <w:r>
        <w:t xml:space="preserve">NFR-3 — Modularity: fairness/explainability/monitoring engines must be callable as independent functions returning JSON-serializable output, decoupled from the frontend and database.</w:t>
      </w:r>
    </w:p>
    <w:p>
      <w:pPr>
        <w:pStyle w:val="ListParagraph"/>
        <w:numPr>
          <w:ilvl w:val="0"/>
          <w:numId w:val="1"/>
        </w:numPr>
        <w:spacing w:after="80"/>
      </w:pPr>
      <w:r>
        <w:t xml:space="preserve">NFR-4 — Resilience: the UI must degrade gracefully (loading/error/no-data states) and the team must maintain a cached-results fallback if a live computation fails during judging.</w:t>
      </w:r>
    </w:p>
    <w:p>
      <w:pPr>
        <w:pStyle w:val="ListParagraph"/>
        <w:numPr>
          <w:ilvl w:val="0"/>
          <w:numId w:val="1"/>
        </w:numPr>
        <w:spacing w:after="80"/>
      </w:pPr>
      <w:r>
        <w:t xml:space="preserve">NFR-5 — Transparency of claims: the product must never present an unqualified “ethics score” or an unqualified legal-compliance claim; all such outputs are framed as organisation-defined policy or evidence support.</w:t>
      </w:r>
    </w:p>
    <w:p>
      <w:pPr>
        <w:pStyle w:val="ListParagraph"/>
        <w:numPr>
          <w:ilvl w:val="0"/>
          <w:numId w:val="1"/>
        </w:numPr>
        <w:spacing w:after="80"/>
      </w:pPr>
      <w:r>
        <w:t xml:space="preserve">NFR-6 — Auditability: every governance decision must be reconstructable from persisted records (model version, metrics, policy rules evaluated, reviewer action).</w:t>
      </w:r>
    </w:p>
    <w:p>
      <w:pPr>
        <w:pStyle w:val="ListParagraph"/>
        <w:numPr>
          <w:ilvl w:val="0"/>
          <w:numId w:val="1"/>
        </w:numPr>
        <w:spacing w:after="80"/>
      </w:pPr>
      <w:r>
        <w:t xml:space="preserve">NFR-7 — Usability: the complete judge-facing flow must be operable by a presenter in under 5 minutes without direct database or terminal access.</w:t>
      </w:r>
    </w:p>
    <w:p>
      <w:pPr>
        <w:pStyle w:val="Heading1"/>
        <w:spacing w:after="200" w:before="400"/>
      </w:pPr>
      <w:r>
        <w:t xml:space="preserve">9. System Architecture</w:t>
      </w:r>
    </w:p>
    <w:p>
      <w:pPr>
        <w:pStyle w:val="Heading2"/>
        <w:spacing w:after="150" w:before="300"/>
      </w:pPr>
      <w:r>
        <w:t xml:space="preserve">9.1 High-level architecture</w:t>
      </w:r>
    </w:p>
    <w:p>
      <w:pPr>
        <w:spacing w:after="160"/>
      </w:pPr>
      <w:r>
        <w:t xml:space="preserve">TrustLayer is organised as four cooperating layers: a Model &amp; Data intake layer, a Governance Engine (performance, fairness, explainability, robustness/drift), a Policy &amp; Decision layer, and a Presentation/Reporting layer, all coordinated by a backend orchestration/API service.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shd w:fill="F4F6FB" w:val="clear"/>
            <w:tcMar>
              <w:top w:type="dxa" w:w="200"/>
              <w:left w:type="dxa" w:w="200"/>
              <w:bottom w:type="dxa" w:w="200"/>
              <w:right w:type="dxa" w:w="200"/>
            </w:tcMar>
          </w:tcPr>
          <w:p>
            <w:pPr>
              <w:spacing w:after="160"/>
            </w:pPr>
            <w:r>
              <w:rPr>
                <w:b/>
                <w:bCs/>
              </w:rPr>
              <w:t xml:space="preserve">ORGANISATION</w:t>
            </w:r>
          </w:p>
          <w:p>
            <w:pPr>
              <w:spacing w:after="160"/>
            </w:pPr>
            <w:r>
              <w:t xml:space="preserve">      ↓</w:t>
            </w:r>
          </w:p>
          <w:p>
            <w:pPr>
              <w:spacing w:after="160"/>
            </w:pPr>
            <w:r>
              <w:t xml:space="preserve">MODEL REGISTRY  (metadata, versions, status)</w:t>
            </w:r>
          </w:p>
          <w:p>
            <w:pPr>
              <w:spacing w:after="160"/>
            </w:pPr>
            <w:r>
              <w:t xml:space="preserve">      ↓</w:t>
            </w:r>
          </w:p>
          <w:p>
            <w:pPr>
              <w:spacing w:after="160"/>
            </w:pPr>
            <w:r>
              <w:t xml:space="preserve">RISK CLASSIFIER  (low / medium / high impact)</w:t>
            </w:r>
          </w:p>
          <w:p>
            <w:pPr>
              <w:spacing w:after="160"/>
            </w:pPr>
            <w:r>
              <w:t xml:space="preserve">      ↓</w:t>
            </w:r>
          </w:p>
          <w:p>
            <w:pPr>
              <w:spacing w:after="160"/>
            </w:pPr>
            <w:r>
              <w:t xml:space="preserve">┌─────────────────┴─────────────────┴─────────────────┐</w:t>
            </w:r>
          </w:p>
          <w:p>
            <w:pPr>
              <w:spacing w:after="160"/>
            </w:pPr>
            <w:r>
              <w:t xml:space="preserve">DATASET AUDIT       MODEL AUDIT           PRODUCTION MONITORING</w:t>
            </w:r>
          </w:p>
          <w:p>
            <w:pPr>
              <w:spacing w:after="160"/>
            </w:pPr>
            <w:r>
              <w:t xml:space="preserve">(quality, PII,       (performance,          (data drift, fairness</w:t>
            </w:r>
          </w:p>
          <w:p>
            <w:pPr>
              <w:spacing w:after="160"/>
            </w:pPr>
            <w:r>
              <w:t xml:space="preserve"> proxy features)      fairness, SHAP,        drift, incidents)</w:t>
            </w:r>
          </w:p>
          <w:p>
            <w:pPr>
              <w:spacing w:after="160"/>
            </w:pPr>
            <w:r>
              <w:t xml:space="preserve">                      robustness)</w:t>
            </w:r>
          </w:p>
          <w:p>
            <w:pPr>
              <w:spacing w:after="160"/>
            </w:pPr>
            <w:r>
              <w:t xml:space="preserve">└─────────────────┬─────────────────┬─────────────────┘</w:t>
            </w:r>
          </w:p>
          <w:p>
            <w:pPr>
              <w:spacing w:after="160"/>
            </w:pPr>
            <w:r>
              <w:t xml:space="preserve">      ↓</w:t>
            </w:r>
          </w:p>
          <w:p>
            <w:pPr>
              <w:spacing w:after="160"/>
            </w:pPr>
            <w:r>
              <w:t xml:space="preserve">POLICY ENGINE  (configurable thresholds → PASS / REVIEW / BLOCK)</w:t>
            </w:r>
          </w:p>
          <w:p>
            <w:pPr>
              <w:spacing w:after="160"/>
            </w:pPr>
            <w:r>
              <w:t xml:space="preserve">      ↓</w:t>
            </w:r>
          </w:p>
          <w:p>
            <w:pPr>
              <w:spacing w:after="160"/>
            </w:pPr>
            <w:r>
              <w:t xml:space="preserve">HUMAN REVIEW  (approve / reject / override, with reason)</w:t>
            </w:r>
          </w:p>
          <w:p>
            <w:pPr>
              <w:spacing w:after="160"/>
            </w:pPr>
            <w:r>
              <w:t xml:space="preserve">      ↓</w:t>
            </w:r>
          </w:p>
          <w:p>
            <w:pPr>
              <w:spacing w:after="160"/>
            </w:pPr>
            <w:r>
              <w:t xml:space="preserve">┌───────────────────┴───────────────────┐</w:t>
            </w:r>
          </w:p>
          <w:p>
            <w:pPr>
              <w:spacing w:after="160"/>
            </w:pPr>
            <w:r>
              <w:t xml:space="preserve">MODEL CARD                          AUDIT REPORT (PDF)</w:t>
            </w:r>
          </w:p>
          <w:p>
            <w:pPr>
              <w:spacing w:after="160"/>
            </w:pPr>
            <w:r>
              <w:t xml:space="preserve">└───────────────────┴───────────────────┘</w:t>
            </w:r>
          </w:p>
        </w:tc>
      </w:tr>
    </w:tbl>
    <w:p>
      <w:pPr>
        <w:spacing w:after="200"/>
      </w:pPr>
    </w:p>
    <w:p>
      <w:pPr>
        <w:pStyle w:val="Heading2"/>
        <w:spacing w:after="150" w:before="300"/>
      </w:pPr>
      <w:r>
        <w:t xml:space="preserve">9.2 Service breakdown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5300"/>
        <w:gridCol w:w="1700"/>
      </w:tblGrid>
      <w:tr>
        <w:trPr>
          <w:tblHeader/>
        </w:trPr>
        <w:tc>
          <w:tcPr>
            <w:tcW w:type="dxa" w:w="2900"/>
            <w:shd w:fill="1F2A44" w:val="clear"/>
            <w:tcMar>
              <w:top w:type="dxa" w:w="80"/>
              <w:left w:type="dxa" w:w="100"/>
              <w:bottom w:type="dxa" w:w="80"/>
              <w:right w:type="dxa" w:w="100"/>
            </w:tcMar>
          </w:tcPr>
          <w:p>
            <w:r>
              <w:rPr>
                <w:b/>
                <w:bCs/>
              </w:rPr>
              <w:t xml:space="preserve">Layer</w:t>
            </w:r>
          </w:p>
        </w:tc>
        <w:tc>
          <w:tcPr>
            <w:tcW w:type="dxa" w:w="5300"/>
            <w:shd w:fill="1F2A44" w:val="clear"/>
            <w:tcMar>
              <w:top w:type="dxa" w:w="80"/>
              <w:left w:type="dxa" w:w="100"/>
              <w:bottom w:type="dxa" w:w="80"/>
              <w:right w:type="dxa" w:w="100"/>
            </w:tcMar>
          </w:tcPr>
          <w:p>
            <w:r>
              <w:rPr>
                <w:b/>
                <w:bCs/>
              </w:rPr>
              <w:t xml:space="preserve">Responsibility</w:t>
            </w:r>
          </w:p>
        </w:tc>
        <w:tc>
          <w:tcPr>
            <w:tcW w:type="dxa" w:w="1700"/>
            <w:shd w:fill="1F2A44" w:val="clear"/>
            <w:tcMar>
              <w:top w:type="dxa" w:w="80"/>
              <w:left w:type="dxa" w:w="100"/>
              <w:bottom w:type="dxa" w:w="80"/>
              <w:right w:type="dxa" w:w="100"/>
            </w:tcMar>
          </w:tcPr>
          <w:p>
            <w:r>
              <w:rPr>
                <w:b/>
                <w:bCs/>
              </w:rPr>
              <w:t xml:space="preserve">Owner (4-person track)</w:t>
            </w:r>
          </w:p>
        </w:tc>
      </w:tr>
      <w:tr>
        <w:tc>
          <w:tcPr>
            <w:tcW w:type="dxa" w:w="2900"/>
            <w:tcMar>
              <w:top w:type="dxa" w:w="80"/>
              <w:left w:type="dxa" w:w="100"/>
              <w:bottom w:type="dxa" w:w="80"/>
              <w:right w:type="dxa" w:w="100"/>
            </w:tcMar>
          </w:tcPr>
          <w:p>
            <w:r>
              <w:rPr>
                <w:b w:val="false"/>
                <w:bCs w:val="false"/>
              </w:rPr>
              <w:t xml:space="preserve">Backend / API / Registry</w:t>
            </w:r>
          </w:p>
        </w:tc>
        <w:tc>
          <w:tcPr>
            <w:tcW w:type="dxa" w:w="5300"/>
            <w:tcMar>
              <w:top w:type="dxa" w:w="80"/>
              <w:left w:type="dxa" w:w="100"/>
              <w:bottom w:type="dxa" w:w="80"/>
              <w:right w:type="dxa" w:w="100"/>
            </w:tcMar>
          </w:tcPr>
          <w:p>
            <w:r>
              <w:rPr>
                <w:b w:val="false"/>
                <w:bCs w:val="false"/>
              </w:rPr>
              <w:t xml:space="preserve">FastAPI service, DB schema, model registration, artifact ingestion, orchestration of governance engines, audit persistence, report payloads</w:t>
            </w:r>
          </w:p>
        </w:tc>
        <w:tc>
          <w:tcPr>
            <w:tcW w:type="dxa" w:w="1700"/>
            <w:tcMar>
              <w:top w:type="dxa" w:w="80"/>
              <w:left w:type="dxa" w:w="100"/>
              <w:bottom w:type="dxa" w:w="80"/>
              <w:right w:type="dxa" w:w="100"/>
            </w:tcMar>
          </w:tcPr>
          <w:p>
            <w:r>
              <w:rPr>
                <w:b w:val="false"/>
                <w:bCs w:val="false"/>
              </w:rPr>
              <w:t xml:space="preserve">Person 1</w:t>
            </w:r>
          </w:p>
        </w:tc>
      </w:tr>
      <w:tr>
        <w:tc>
          <w:tcPr>
            <w:tcW w:type="dxa" w:w="2900"/>
            <w:shd w:fill="EAF0FB" w:val="clear"/>
            <w:tcMar>
              <w:top w:type="dxa" w:w="80"/>
              <w:left w:type="dxa" w:w="100"/>
              <w:bottom w:type="dxa" w:w="80"/>
              <w:right w:type="dxa" w:w="100"/>
            </w:tcMar>
          </w:tcPr>
          <w:p>
            <w:r>
              <w:rPr>
                <w:b w:val="false"/>
                <w:bCs w:val="false"/>
              </w:rPr>
              <w:t xml:space="preserve">Fairness, Explainability &amp; Mitigation engine</w:t>
            </w:r>
          </w:p>
        </w:tc>
        <w:tc>
          <w:tcPr>
            <w:tcW w:type="dxa" w:w="5300"/>
            <w:shd w:fill="EAF0FB" w:val="clear"/>
            <w:tcMar>
              <w:top w:type="dxa" w:w="80"/>
              <w:left w:type="dxa" w:w="100"/>
              <w:bottom w:type="dxa" w:w="80"/>
              <w:right w:type="dxa" w:w="100"/>
            </w:tcMar>
          </w:tcPr>
          <w:p>
            <w:r>
              <w:rPr>
                <w:b w:val="false"/>
                <w:bCs w:val="false"/>
              </w:rPr>
              <w:t xml:space="preserve">Performance + fairness metrics, subgroup &amp; proxy analysis, SHAP global/local explanations, mitigation before/after comparison</w:t>
            </w:r>
          </w:p>
        </w:tc>
        <w:tc>
          <w:tcPr>
            <w:tcW w:type="dxa" w:w="1700"/>
            <w:shd w:fill="EAF0FB" w:val="clear"/>
            <w:tcMar>
              <w:top w:type="dxa" w:w="80"/>
              <w:left w:type="dxa" w:w="100"/>
              <w:bottom w:type="dxa" w:w="80"/>
              <w:right w:type="dxa" w:w="100"/>
            </w:tcMar>
          </w:tcPr>
          <w:p>
            <w:r>
              <w:rPr>
                <w:b w:val="false"/>
                <w:bCs w:val="false"/>
              </w:rPr>
              <w:t xml:space="preserve">Person 2</w:t>
            </w:r>
          </w:p>
        </w:tc>
      </w:tr>
      <w:tr>
        <w:tc>
          <w:tcPr>
            <w:tcW w:type="dxa" w:w="2900"/>
            <w:tcMar>
              <w:top w:type="dxa" w:w="80"/>
              <w:left w:type="dxa" w:w="100"/>
              <w:bottom w:type="dxa" w:w="80"/>
              <w:right w:type="dxa" w:w="100"/>
            </w:tcMar>
          </w:tcPr>
          <w:p>
            <w:r>
              <w:rPr>
                <w:b w:val="false"/>
                <w:bCs w:val="false"/>
              </w:rPr>
              <w:t xml:space="preserve">Monitoring, Robustness &amp; Policy engine</w:t>
            </w:r>
          </w:p>
        </w:tc>
        <w:tc>
          <w:tcPr>
            <w:tcW w:type="dxa" w:w="5300"/>
            <w:tcMar>
              <w:top w:type="dxa" w:w="80"/>
              <w:left w:type="dxa" w:w="100"/>
              <w:bottom w:type="dxa" w:w="80"/>
              <w:right w:type="dxa" w:w="100"/>
            </w:tcMar>
          </w:tcPr>
          <w:p>
            <w:r>
              <w:rPr>
                <w:b w:val="false"/>
                <w:bCs w:val="false"/>
              </w:rPr>
              <w:t xml:space="preserve">Perturbation/missing-data robustness tests, data &amp; fairness drift, configurable policy rule evaluator</w:t>
            </w:r>
          </w:p>
        </w:tc>
        <w:tc>
          <w:tcPr>
            <w:tcW w:type="dxa" w:w="1700"/>
            <w:tcMar>
              <w:top w:type="dxa" w:w="80"/>
              <w:left w:type="dxa" w:w="100"/>
              <w:bottom w:type="dxa" w:w="80"/>
              <w:right w:type="dxa" w:w="100"/>
            </w:tcMar>
          </w:tcPr>
          <w:p>
            <w:r>
              <w:rPr>
                <w:b w:val="false"/>
                <w:bCs w:val="false"/>
              </w:rPr>
              <w:t xml:space="preserve">Person 3</w:t>
            </w:r>
          </w:p>
        </w:tc>
      </w:tr>
      <w:tr>
        <w:tc>
          <w:tcPr>
            <w:tcW w:type="dxa" w:w="2900"/>
            <w:shd w:fill="EAF0FB" w:val="clear"/>
            <w:tcMar>
              <w:top w:type="dxa" w:w="80"/>
              <w:left w:type="dxa" w:w="100"/>
              <w:bottom w:type="dxa" w:w="80"/>
              <w:right w:type="dxa" w:w="100"/>
            </w:tcMar>
          </w:tcPr>
          <w:p>
            <w:r>
              <w:rPr>
                <w:b w:val="false"/>
                <w:bCs w:val="false"/>
              </w:rPr>
              <w:t xml:space="preserve">Frontend, Reporting &amp; Demo experience</w:t>
            </w:r>
          </w:p>
        </w:tc>
        <w:tc>
          <w:tcPr>
            <w:tcW w:type="dxa" w:w="5300"/>
            <w:shd w:fill="EAF0FB" w:val="clear"/>
            <w:tcMar>
              <w:top w:type="dxa" w:w="80"/>
              <w:left w:type="dxa" w:w="100"/>
              <w:bottom w:type="dxa" w:w="80"/>
              <w:right w:type="dxa" w:w="100"/>
            </w:tcMar>
          </w:tcPr>
          <w:p>
            <w:r>
              <w:rPr>
                <w:b w:val="false"/>
                <w:bCs w:val="false"/>
              </w:rPr>
              <w:t xml:space="preserve">Dashboard, audit views, monitoring/policy visualisations, report layout, demo flow</w:t>
            </w:r>
          </w:p>
        </w:tc>
        <w:tc>
          <w:tcPr>
            <w:tcW w:type="dxa" w:w="1700"/>
            <w:shd w:fill="EAF0FB" w:val="clear"/>
            <w:tcMar>
              <w:top w:type="dxa" w:w="80"/>
              <w:left w:type="dxa" w:w="100"/>
              <w:bottom w:type="dxa" w:w="80"/>
              <w:right w:type="dxa" w:w="100"/>
            </w:tcMar>
          </w:tcPr>
          <w:p>
            <w:r>
              <w:rPr>
                <w:b w:val="false"/>
                <w:bCs w:val="false"/>
              </w:rPr>
              <w:t xml:space="preserve">Person 4</w:t>
            </w:r>
          </w:p>
        </w:tc>
      </w:tr>
    </w:tbl>
    <w:p>
      <w:pPr>
        <w:spacing w:after="150"/>
      </w:pPr>
    </w:p>
    <w:p>
      <w:pPr>
        <w:pStyle w:val="Heading2"/>
        <w:spacing w:after="150" w:before="300"/>
      </w:pPr>
      <w:r>
        <w:t xml:space="preserve">9.3 Governance decision loop</w:t>
      </w:r>
    </w:p>
    <w:p>
      <w:pPr>
        <w:spacing w:after="160"/>
      </w:pPr>
      <w:r>
        <w:t xml:space="preserve">MODEL CREATED → AUTOMATIC RED-TEAM (fairness / explainability / robustness / privacy checks) → POLICY ENGINE → PASS or BLOCK → if PASS: DEPLOY → MONITOR → on drift: RE-AUDIT; if BLOCK: REMEDIATE / MITIGATE → RE-AUDIT.</w:t>
      </w:r>
    </w:p>
    <w:p>
      <w:pPr>
        <w:spacing w:after="160"/>
      </w:pPr>
      <w:r>
        <w:t xml:space="preserve">This loop is the platform's core novelty: governance is treated as a CI/CD-style gate that every new model version must pass, rather than a periodic manual audit.</w:t>
      </w:r>
    </w:p>
    <w:p>
      <w:pPr>
        <w:pStyle w:val="Heading1"/>
        <w:spacing w:after="200" w:before="400"/>
      </w:pPr>
      <w:r>
        <w:t xml:space="preserve">10. Data &amp; Interface Contracts</w:t>
      </w:r>
    </w:p>
    <w:p>
      <w:pPr>
        <w:spacing w:after="160"/>
      </w:pPr>
      <w:r>
        <w:t xml:space="preserve">All modules are developed in parallel against this shared contract, agreed before coding begins, so no team member blocks another.</w:t>
      </w:r>
    </w:p>
    <w:p>
      <w:pPr>
        <w:pStyle w:val="Heading2"/>
        <w:spacing w:after="150" w:before="300"/>
      </w:pPr>
      <w:r>
        <w:t xml:space="preserve">10.1 Shared artifacts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000"/>
      </w:tblGrid>
      <w:tr>
        <w:trPr>
          <w:tblHeader/>
        </w:trPr>
        <w:tc>
          <w:tcPr>
            <w:tcW w:type="dxa" w:w="2600"/>
            <w:shd w:fill="1F2A44" w:val="clear"/>
            <w:tcMar>
              <w:top w:type="dxa" w:w="80"/>
              <w:left w:type="dxa" w:w="100"/>
              <w:bottom w:type="dxa" w:w="80"/>
              <w:right w:type="dxa" w:w="100"/>
            </w:tcMar>
          </w:tcPr>
          <w:p>
            <w:r>
              <w:rPr>
                <w:b/>
                <w:bCs/>
              </w:rPr>
              <w:t xml:space="preserve">Artifact</w:t>
            </w:r>
          </w:p>
        </w:tc>
        <w:tc>
          <w:tcPr>
            <w:tcW w:type="dxa" w:w="5300"/>
            <w:shd w:fill="1F2A44" w:val="clear"/>
            <w:tcMar>
              <w:top w:type="dxa" w:w="80"/>
              <w:left w:type="dxa" w:w="100"/>
              <w:bottom w:type="dxa" w:w="80"/>
              <w:right w:type="dxa" w:w="100"/>
            </w:tcMar>
          </w:tcPr>
          <w:p>
            <w:r>
              <w:rPr>
                <w:b/>
                <w:bCs/>
              </w:rPr>
              <w:t xml:space="preserve">Minimum fields</w:t>
            </w:r>
          </w:p>
        </w:tc>
        <w:tc>
          <w:tcPr>
            <w:tcW w:type="dxa" w:w="2000"/>
            <w:shd w:fill="1F2A44" w:val="clear"/>
            <w:tcMar>
              <w:top w:type="dxa" w:w="80"/>
              <w:left w:type="dxa" w:w="100"/>
              <w:bottom w:type="dxa" w:w="80"/>
              <w:right w:type="dxa" w:w="100"/>
            </w:tcMar>
          </w:tcPr>
          <w:p>
            <w:r>
              <w:rPr>
                <w:b/>
                <w:bCs/>
              </w:rPr>
              <w:t xml:space="preserve">Producer</w:t>
            </w:r>
          </w:p>
        </w:tc>
      </w:tr>
      <w:tr>
        <w:tc>
          <w:tcPr>
            <w:tcW w:type="dxa" w:w="2600"/>
            <w:tcMar>
              <w:top w:type="dxa" w:w="80"/>
              <w:left w:type="dxa" w:w="100"/>
              <w:bottom w:type="dxa" w:w="80"/>
              <w:right w:type="dxa" w:w="100"/>
            </w:tcMar>
          </w:tcPr>
          <w:p>
            <w:r>
              <w:rPr>
                <w:b w:val="false"/>
                <w:bCs w:val="false"/>
              </w:rPr>
              <w:t xml:space="preserve">model_metadata.json</w:t>
            </w:r>
          </w:p>
        </w:tc>
        <w:tc>
          <w:tcPr>
            <w:tcW w:type="dxa" w:w="5300"/>
            <w:tcMar>
              <w:top w:type="dxa" w:w="80"/>
              <w:left w:type="dxa" w:w="100"/>
              <w:bottom w:type="dxa" w:w="80"/>
              <w:right w:type="dxa" w:w="100"/>
            </w:tcMar>
          </w:tcPr>
          <w:p>
            <w:r>
              <w:rPr>
                <w:b w:val="false"/>
                <w:bCs w:val="false"/>
              </w:rPr>
              <w:t xml:space="preserve">model_id, name, version, owner, domain, model_type, target, positive_label, sensitive_attributes, feature_names</w:t>
            </w:r>
          </w:p>
        </w:tc>
        <w:tc>
          <w:tcPr>
            <w:tcW w:type="dxa" w:w="2000"/>
            <w:tcMar>
              <w:top w:type="dxa" w:w="80"/>
              <w:left w:type="dxa" w:w="100"/>
              <w:bottom w:type="dxa" w:w="80"/>
              <w:right w:type="dxa" w:w="100"/>
            </w:tcMar>
          </w:tcPr>
          <w:p>
            <w:r>
              <w:rPr>
                <w:b w:val="false"/>
                <w:bCs w:val="false"/>
              </w:rPr>
              <w:t xml:space="preserve">Data/Model team + Backend</w:t>
            </w:r>
          </w:p>
        </w:tc>
      </w:tr>
      <w:tr>
        <w:tc>
          <w:tcPr>
            <w:tcW w:type="dxa" w:w="2600"/>
            <w:shd w:fill="EAF0FB" w:val="clear"/>
            <w:tcMar>
              <w:top w:type="dxa" w:w="80"/>
              <w:left w:type="dxa" w:w="100"/>
              <w:bottom w:type="dxa" w:w="80"/>
              <w:right w:type="dxa" w:w="100"/>
            </w:tcMar>
          </w:tcPr>
          <w:p>
            <w:r>
              <w:rPr>
                <w:b w:val="false"/>
                <w:bCs w:val="false"/>
              </w:rPr>
              <w:t xml:space="preserve">evaluation.csv</w:t>
            </w:r>
          </w:p>
        </w:tc>
        <w:tc>
          <w:tcPr>
            <w:tcW w:type="dxa" w:w="5300"/>
            <w:shd w:fill="EAF0FB" w:val="clear"/>
            <w:tcMar>
              <w:top w:type="dxa" w:w="80"/>
              <w:left w:type="dxa" w:w="100"/>
              <w:bottom w:type="dxa" w:w="80"/>
              <w:right w:type="dxa" w:w="100"/>
            </w:tcMar>
          </w:tcPr>
          <w:p>
            <w:r>
              <w:rPr>
                <w:b w:val="false"/>
                <w:bCs w:val="false"/>
              </w:rPr>
              <w:t xml:space="preserve">Feature columns + sensitive attributes + ground-truth target, stable column names</w:t>
            </w:r>
          </w:p>
        </w:tc>
        <w:tc>
          <w:tcPr>
            <w:tcW w:type="dxa" w:w="2000"/>
            <w:shd w:fill="EAF0FB" w:val="clear"/>
            <w:tcMar>
              <w:top w:type="dxa" w:w="80"/>
              <w:left w:type="dxa" w:w="100"/>
              <w:bottom w:type="dxa" w:w="80"/>
              <w:right w:type="dxa" w:w="100"/>
            </w:tcMar>
          </w:tcPr>
          <w:p>
            <w:r>
              <w:rPr>
                <w:b w:val="false"/>
                <w:bCs w:val="false"/>
              </w:rPr>
              <w:t xml:space="preserve">Data/Model team</w:t>
            </w:r>
          </w:p>
        </w:tc>
      </w:tr>
      <w:tr>
        <w:tc>
          <w:tcPr>
            <w:tcW w:type="dxa" w:w="2600"/>
            <w:tcMar>
              <w:top w:type="dxa" w:w="80"/>
              <w:left w:type="dxa" w:w="100"/>
              <w:bottom w:type="dxa" w:w="80"/>
              <w:right w:type="dxa" w:w="100"/>
            </w:tcMar>
          </w:tcPr>
          <w:p>
            <w:r>
              <w:rPr>
                <w:b w:val="false"/>
                <w:bCs w:val="false"/>
              </w:rPr>
              <w:t xml:space="preserve">predictions.csv / endpoint output</w:t>
            </w:r>
          </w:p>
        </w:tc>
        <w:tc>
          <w:tcPr>
            <w:tcW w:type="dxa" w:w="5300"/>
            <w:tcMar>
              <w:top w:type="dxa" w:w="80"/>
              <w:left w:type="dxa" w:w="100"/>
              <w:bottom w:type="dxa" w:w="80"/>
              <w:right w:type="dxa" w:w="100"/>
            </w:tcMar>
          </w:tcPr>
          <w:p>
            <w:r>
              <w:rPr>
                <w:b w:val="false"/>
                <w:bCs w:val="false"/>
              </w:rPr>
              <w:t xml:space="preserve">row_id, y_true, y_pred, y_score</w:t>
            </w:r>
          </w:p>
        </w:tc>
        <w:tc>
          <w:tcPr>
            <w:tcW w:type="dxa" w:w="2000"/>
            <w:tcMar>
              <w:top w:type="dxa" w:w="80"/>
              <w:left w:type="dxa" w:w="100"/>
              <w:bottom w:type="dxa" w:w="80"/>
              <w:right w:type="dxa" w:w="100"/>
            </w:tcMar>
          </w:tcPr>
          <w:p>
            <w:r>
              <w:rPr>
                <w:b w:val="false"/>
                <w:bCs w:val="false"/>
              </w:rPr>
              <w:t xml:space="preserve">Data/Model team / Backend</w:t>
            </w:r>
          </w:p>
        </w:tc>
      </w:tr>
      <w:tr>
        <w:tc>
          <w:tcPr>
            <w:tcW w:type="dxa" w:w="2600"/>
            <w:shd w:fill="EAF0FB" w:val="clear"/>
            <w:tcMar>
              <w:top w:type="dxa" w:w="80"/>
              <w:left w:type="dxa" w:w="100"/>
              <w:bottom w:type="dxa" w:w="80"/>
              <w:right w:type="dxa" w:w="100"/>
            </w:tcMar>
          </w:tcPr>
          <w:p>
            <w:r>
              <w:rPr>
                <w:b w:val="false"/>
                <w:bCs w:val="false"/>
              </w:rPr>
              <w:t xml:space="preserve">audit_result.json</w:t>
            </w:r>
          </w:p>
        </w:tc>
        <w:tc>
          <w:tcPr>
            <w:tcW w:type="dxa" w:w="5300"/>
            <w:shd w:fill="EAF0FB" w:val="clear"/>
            <w:tcMar>
              <w:top w:type="dxa" w:w="80"/>
              <w:left w:type="dxa" w:w="100"/>
              <w:bottom w:type="dxa" w:w="80"/>
              <w:right w:type="dxa" w:w="100"/>
            </w:tcMar>
          </w:tcPr>
          <w:p>
            <w:r>
              <w:rPr>
                <w:b w:val="false"/>
                <w:bCs w:val="false"/>
              </w:rPr>
              <w:t xml:space="preserve">performance{}, fairness{}, explainability{}, robustness{}, drift{}, policy{}</w:t>
            </w:r>
          </w:p>
        </w:tc>
        <w:tc>
          <w:tcPr>
            <w:tcW w:type="dxa" w:w="2000"/>
            <w:shd w:fill="EAF0FB" w:val="clear"/>
            <w:tcMar>
              <w:top w:type="dxa" w:w="80"/>
              <w:left w:type="dxa" w:w="100"/>
              <w:bottom w:type="dxa" w:w="80"/>
              <w:right w:type="dxa" w:w="100"/>
            </w:tcMar>
          </w:tcPr>
          <w:p>
            <w:r>
              <w:rPr>
                <w:b w:val="false"/>
                <w:bCs w:val="false"/>
              </w:rPr>
              <w:t xml:space="preserve">Fairness + Monitoring engines</w:t>
            </w:r>
          </w:p>
        </w:tc>
      </w:tr>
      <w:tr>
        <w:tc>
          <w:tcPr>
            <w:tcW w:type="dxa" w:w="2600"/>
            <w:tcMar>
              <w:top w:type="dxa" w:w="80"/>
              <w:left w:type="dxa" w:w="100"/>
              <w:bottom w:type="dxa" w:w="80"/>
              <w:right w:type="dxa" w:w="100"/>
            </w:tcMar>
          </w:tcPr>
          <w:p>
            <w:r>
              <w:rPr>
                <w:b w:val="false"/>
                <w:bCs w:val="false"/>
              </w:rPr>
              <w:t xml:space="preserve">production_month_1.csv / month_2.csv</w:t>
            </w:r>
          </w:p>
        </w:tc>
        <w:tc>
          <w:tcPr>
            <w:tcW w:type="dxa" w:w="5300"/>
            <w:tcMar>
              <w:top w:type="dxa" w:w="80"/>
              <w:left w:type="dxa" w:w="100"/>
              <w:bottom w:type="dxa" w:w="80"/>
              <w:right w:type="dxa" w:w="100"/>
            </w:tcMar>
          </w:tcPr>
          <w:p>
            <w:r>
              <w:rPr>
                <w:b w:val="false"/>
                <w:bCs w:val="false"/>
              </w:rPr>
              <w:t xml:space="preserve">Same schema as evaluation data; month 2 carries a deliberate distribution shift</w:t>
            </w:r>
          </w:p>
        </w:tc>
        <w:tc>
          <w:tcPr>
            <w:tcW w:type="dxa" w:w="2000"/>
            <w:tcMar>
              <w:top w:type="dxa" w:w="80"/>
              <w:left w:type="dxa" w:w="100"/>
              <w:bottom w:type="dxa" w:w="80"/>
              <w:right w:type="dxa" w:w="100"/>
            </w:tcMar>
          </w:tcPr>
          <w:p>
            <w:r>
              <w:rPr>
                <w:b w:val="false"/>
                <w:bCs w:val="false"/>
              </w:rPr>
              <w:t xml:space="preserve">Data/Model team</w:t>
            </w:r>
          </w:p>
        </w:tc>
      </w:tr>
      <w:tr>
        <w:tc>
          <w:tcPr>
            <w:tcW w:type="dxa" w:w="2600"/>
            <w:shd w:fill="EAF0FB" w:val="clear"/>
            <w:tcMar>
              <w:top w:type="dxa" w:w="80"/>
              <w:left w:type="dxa" w:w="100"/>
              <w:bottom w:type="dxa" w:w="80"/>
              <w:right w:type="dxa" w:w="100"/>
            </w:tcMar>
          </w:tcPr>
          <w:p>
            <w:r>
              <w:rPr>
                <w:b w:val="false"/>
                <w:bCs w:val="false"/>
              </w:rPr>
              <w:t xml:space="preserve">policy.json</w:t>
            </w:r>
          </w:p>
        </w:tc>
        <w:tc>
          <w:tcPr>
            <w:tcW w:type="dxa" w:w="5300"/>
            <w:shd w:fill="EAF0FB" w:val="clear"/>
            <w:tcMar>
              <w:top w:type="dxa" w:w="80"/>
              <w:left w:type="dxa" w:w="100"/>
              <w:bottom w:type="dxa" w:w="80"/>
              <w:right w:type="dxa" w:w="100"/>
            </w:tcMar>
          </w:tcPr>
          <w:p>
            <w:r>
              <w:rPr>
                <w:b w:val="false"/>
                <w:bCs w:val="false"/>
              </w:rPr>
              <w:t xml:space="preserve">metric, operator, threshold, severity, applicability</w:t>
            </w:r>
          </w:p>
        </w:tc>
        <w:tc>
          <w:tcPr>
            <w:tcW w:type="dxa" w:w="2000"/>
            <w:shd w:fill="EAF0FB" w:val="clear"/>
            <w:tcMar>
              <w:top w:type="dxa" w:w="80"/>
              <w:left w:type="dxa" w:w="100"/>
              <w:bottom w:type="dxa" w:w="80"/>
              <w:right w:type="dxa" w:w="100"/>
            </w:tcMar>
          </w:tcPr>
          <w:p>
            <w:r>
              <w:rPr>
                <w:b w:val="false"/>
                <w:bCs w:val="false"/>
              </w:rPr>
              <w:t xml:space="preserve">Policy engine</w:t>
            </w:r>
          </w:p>
        </w:tc>
      </w:tr>
      <w:tr>
        <w:tc>
          <w:tcPr>
            <w:tcW w:type="dxa" w:w="2600"/>
            <w:tcMar>
              <w:top w:type="dxa" w:w="80"/>
              <w:left w:type="dxa" w:w="100"/>
              <w:bottom w:type="dxa" w:w="80"/>
              <w:right w:type="dxa" w:w="100"/>
            </w:tcMar>
          </w:tcPr>
          <w:p>
            <w:r>
              <w:rPr>
                <w:b w:val="false"/>
                <w:bCs w:val="false"/>
              </w:rPr>
              <w:t xml:space="preserve">report_payload.json</w:t>
            </w:r>
          </w:p>
        </w:tc>
        <w:tc>
          <w:tcPr>
            <w:tcW w:type="dxa" w:w="5300"/>
            <w:tcMar>
              <w:top w:type="dxa" w:w="80"/>
              <w:left w:type="dxa" w:w="100"/>
              <w:bottom w:type="dxa" w:w="80"/>
              <w:right w:type="dxa" w:w="100"/>
            </w:tcMar>
          </w:tcPr>
          <w:p>
            <w:r>
              <w:rPr>
                <w:b w:val="false"/>
                <w:bCs w:val="false"/>
              </w:rPr>
              <w:t xml:space="preserve">Model metadata + all audit results + approval/review event</w:t>
            </w:r>
          </w:p>
        </w:tc>
        <w:tc>
          <w:tcPr>
            <w:tcW w:type="dxa" w:w="2000"/>
            <w:tcMar>
              <w:top w:type="dxa" w:w="80"/>
              <w:left w:type="dxa" w:w="100"/>
              <w:bottom w:type="dxa" w:w="80"/>
              <w:right w:type="dxa" w:w="100"/>
            </w:tcMar>
          </w:tcPr>
          <w:p>
            <w:r>
              <w:rPr>
                <w:b w:val="false"/>
                <w:bCs w:val="false"/>
              </w:rPr>
              <w:t xml:space="preserve">Backend + Frontend</w:t>
            </w:r>
          </w:p>
        </w:tc>
      </w:tr>
    </w:tbl>
    <w:p>
      <w:pPr>
        <w:spacing w:after="150"/>
      </w:pPr>
    </w:p>
    <w:p>
      <w:pPr>
        <w:pStyle w:val="Heading2"/>
        <w:spacing w:after="150" w:before="300"/>
      </w:pPr>
      <w:r>
        <w:t xml:space="preserve">10.2 Example audit response contract</w:t>
      </w:r>
    </w:p>
    <w:p>
      <w:pPr>
        <w:spacing w:after="160"/>
      </w:pPr>
      <w:r>
        <w:t xml:space="preserve">model: { name, version } | performance: { accuracy, precision, recall, f1 } | fairness: { sensitive_attribute, selection_rates: { group_A, group_B }, demographic_parity_gap, disparate_impact_ratio, tpr_gap, status } | explainability: { status, global_features[], local_explanation[] } | drift: { status, features[] } | decision: { status, reasons[] }</w:t>
      </w:r>
    </w:p>
    <w:p>
      <w:pPr>
        <w:pStyle w:val="Heading2"/>
        <w:spacing w:after="150" w:before="300"/>
      </w:pPr>
      <w:r>
        <w:t xml:space="preserve">10.3 Demo dataset schema</w:t>
      </w:r>
    </w:p>
    <w:p>
      <w:pPr>
        <w:spacing w:after="160"/>
      </w:pPr>
      <w:r>
        <w:t xml:space="preserve">age, gender, income, credit_score, debt_ratio, employment_years, region, approved (binary target).</w:t>
      </w:r>
    </w:p>
    <w:p>
      <w:pPr>
        <w:pStyle w:val="Heading1"/>
        <w:spacing w:after="200" w:before="400"/>
      </w:pPr>
      <w:r>
        <w:t xml:space="preserve">11. Suggested API Boundaries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5400"/>
      </w:tblGrid>
      <w:tr>
        <w:trPr>
          <w:tblHeader/>
        </w:trPr>
        <w:tc>
          <w:tcPr>
            <w:tcW w:type="dxa" w:w="4500"/>
            <w:shd w:fill="1F2A44" w:val="clear"/>
            <w:tcMar>
              <w:top w:type="dxa" w:w="80"/>
              <w:left w:type="dxa" w:w="100"/>
              <w:bottom w:type="dxa" w:w="80"/>
              <w:right w:type="dxa" w:w="100"/>
            </w:tcMar>
          </w:tcPr>
          <w:p>
            <w:r>
              <w:rPr>
                <w:b/>
                <w:bCs/>
              </w:rPr>
              <w:t xml:space="preserve">Endpoint</w:t>
            </w:r>
          </w:p>
        </w:tc>
        <w:tc>
          <w:tcPr>
            <w:tcW w:type="dxa" w:w="5400"/>
            <w:shd w:fill="1F2A44" w:val="clear"/>
            <w:tcMar>
              <w:top w:type="dxa" w:w="80"/>
              <w:left w:type="dxa" w:w="100"/>
              <w:bottom w:type="dxa" w:w="80"/>
              <w:right w:type="dxa" w:w="100"/>
            </w:tcMar>
          </w:tcPr>
          <w:p>
            <w:r>
              <w:rPr>
                <w:b/>
                <w:bCs/>
              </w:rPr>
              <w:t xml:space="preserve">Purpose</w:t>
            </w:r>
          </w:p>
        </w:tc>
      </w:tr>
      <w:tr>
        <w:tc>
          <w:tcPr>
            <w:tcW w:type="dxa" w:w="4500"/>
            <w:tcMar>
              <w:top w:type="dxa" w:w="80"/>
              <w:left w:type="dxa" w:w="100"/>
              <w:bottom w:type="dxa" w:w="80"/>
              <w:right w:type="dxa" w:w="100"/>
            </w:tcMar>
          </w:tcPr>
          <w:p>
            <w:r>
              <w:rPr>
                <w:b w:val="false"/>
                <w:bCs w:val="false"/>
              </w:rPr>
              <w:t xml:space="preserve">POST /models</w:t>
            </w:r>
          </w:p>
        </w:tc>
        <w:tc>
          <w:tcPr>
            <w:tcW w:type="dxa" w:w="5400"/>
            <w:tcMar>
              <w:top w:type="dxa" w:w="80"/>
              <w:left w:type="dxa" w:w="100"/>
              <w:bottom w:type="dxa" w:w="80"/>
              <w:right w:type="dxa" w:w="100"/>
            </w:tcMar>
          </w:tcPr>
          <w:p>
            <w:r>
              <w:rPr>
                <w:b w:val="false"/>
                <w:bCs w:val="false"/>
              </w:rPr>
              <w:t xml:space="preserve">Register model metadata</w:t>
            </w:r>
          </w:p>
        </w:tc>
      </w:tr>
      <w:tr>
        <w:tc>
          <w:tcPr>
            <w:tcW w:type="dxa" w:w="4500"/>
            <w:shd w:fill="EAF0FB" w:val="clear"/>
            <w:tcMar>
              <w:top w:type="dxa" w:w="80"/>
              <w:left w:type="dxa" w:w="100"/>
              <w:bottom w:type="dxa" w:w="80"/>
              <w:right w:type="dxa" w:w="100"/>
            </w:tcMar>
          </w:tcPr>
          <w:p>
            <w:r>
              <w:rPr>
                <w:b w:val="false"/>
                <w:bCs w:val="false"/>
              </w:rPr>
              <w:t xml:space="preserve">POST /models/{id}/artifacts</w:t>
            </w:r>
          </w:p>
        </w:tc>
        <w:tc>
          <w:tcPr>
            <w:tcW w:type="dxa" w:w="5400"/>
            <w:shd w:fill="EAF0FB" w:val="clear"/>
            <w:tcMar>
              <w:top w:type="dxa" w:w="80"/>
              <w:left w:type="dxa" w:w="100"/>
              <w:bottom w:type="dxa" w:w="80"/>
              <w:right w:type="dxa" w:w="100"/>
            </w:tcMar>
          </w:tcPr>
          <w:p>
            <w:r>
              <w:rPr>
                <w:b w:val="false"/>
                <w:bCs w:val="false"/>
              </w:rPr>
              <w:t xml:space="preserve">Attach model/evaluation artifacts or references</w:t>
            </w:r>
          </w:p>
        </w:tc>
      </w:tr>
      <w:tr>
        <w:tc>
          <w:tcPr>
            <w:tcW w:type="dxa" w:w="4500"/>
            <w:tcMar>
              <w:top w:type="dxa" w:w="80"/>
              <w:left w:type="dxa" w:w="100"/>
              <w:bottom w:type="dxa" w:w="80"/>
              <w:right w:type="dxa" w:w="100"/>
            </w:tcMar>
          </w:tcPr>
          <w:p>
            <w:r>
              <w:rPr>
                <w:b w:val="false"/>
                <w:bCs w:val="false"/>
              </w:rPr>
              <w:t xml:space="preserve">POST /models/{id}/audit</w:t>
            </w:r>
          </w:p>
        </w:tc>
        <w:tc>
          <w:tcPr>
            <w:tcW w:type="dxa" w:w="5400"/>
            <w:tcMar>
              <w:top w:type="dxa" w:w="80"/>
              <w:left w:type="dxa" w:w="100"/>
              <w:bottom w:type="dxa" w:w="80"/>
              <w:right w:type="dxa" w:w="100"/>
            </w:tcMar>
          </w:tcPr>
          <w:p>
            <w:r>
              <w:rPr>
                <w:b w:val="false"/>
                <w:bCs w:val="false"/>
              </w:rPr>
              <w:t xml:space="preserve">Run the complete audit orchestration</w:t>
            </w:r>
          </w:p>
        </w:tc>
      </w:tr>
      <w:tr>
        <w:tc>
          <w:tcPr>
            <w:tcW w:type="dxa" w:w="4500"/>
            <w:shd w:fill="EAF0FB" w:val="clear"/>
            <w:tcMar>
              <w:top w:type="dxa" w:w="80"/>
              <w:left w:type="dxa" w:w="100"/>
              <w:bottom w:type="dxa" w:w="80"/>
              <w:right w:type="dxa" w:w="100"/>
            </w:tcMar>
          </w:tcPr>
          <w:p>
            <w:r>
              <w:rPr>
                <w:b w:val="false"/>
                <w:bCs w:val="false"/>
              </w:rPr>
              <w:t xml:space="preserve">GET /models/{id}/audits/{audit_id}</w:t>
            </w:r>
          </w:p>
        </w:tc>
        <w:tc>
          <w:tcPr>
            <w:tcW w:type="dxa" w:w="5400"/>
            <w:shd w:fill="EAF0FB" w:val="clear"/>
            <w:tcMar>
              <w:top w:type="dxa" w:w="80"/>
              <w:left w:type="dxa" w:w="100"/>
              <w:bottom w:type="dxa" w:w="80"/>
              <w:right w:type="dxa" w:w="100"/>
            </w:tcMar>
          </w:tcPr>
          <w:p>
            <w:r>
              <w:rPr>
                <w:b w:val="false"/>
                <w:bCs w:val="false"/>
              </w:rPr>
              <w:t xml:space="preserve">Return the complete AuditResult JSON</w:t>
            </w:r>
          </w:p>
        </w:tc>
      </w:tr>
      <w:tr>
        <w:tc>
          <w:tcPr>
            <w:tcW w:type="dxa" w:w="4500"/>
            <w:tcMar>
              <w:top w:type="dxa" w:w="80"/>
              <w:left w:type="dxa" w:w="100"/>
              <w:bottom w:type="dxa" w:w="80"/>
              <w:right w:type="dxa" w:w="100"/>
            </w:tcMar>
          </w:tcPr>
          <w:p>
            <w:r>
              <w:rPr>
                <w:b w:val="false"/>
                <w:bCs w:val="false"/>
              </w:rPr>
              <w:t xml:space="preserve">POST /audits/{audit_id}/review</w:t>
            </w:r>
          </w:p>
        </w:tc>
        <w:tc>
          <w:tcPr>
            <w:tcW w:type="dxa" w:w="5400"/>
            <w:tcMar>
              <w:top w:type="dxa" w:w="80"/>
              <w:left w:type="dxa" w:w="100"/>
              <w:bottom w:type="dxa" w:w="80"/>
              <w:right w:type="dxa" w:w="100"/>
            </w:tcMar>
          </w:tcPr>
          <w:p>
            <w:r>
              <w:rPr>
                <w:b w:val="false"/>
                <w:bCs w:val="false"/>
              </w:rPr>
              <w:t xml:space="preserve">Human approve / reject / review decision</w:t>
            </w:r>
          </w:p>
        </w:tc>
      </w:tr>
      <w:tr>
        <w:tc>
          <w:tcPr>
            <w:tcW w:type="dxa" w:w="4500"/>
            <w:shd w:fill="EAF0FB" w:val="clear"/>
            <w:tcMar>
              <w:top w:type="dxa" w:w="80"/>
              <w:left w:type="dxa" w:w="100"/>
              <w:bottom w:type="dxa" w:w="80"/>
              <w:right w:type="dxa" w:w="100"/>
            </w:tcMar>
          </w:tcPr>
          <w:p>
            <w:r>
              <w:rPr>
                <w:b w:val="false"/>
                <w:bCs w:val="false"/>
              </w:rPr>
              <w:t xml:space="preserve">POST /policies</w:t>
            </w:r>
          </w:p>
        </w:tc>
        <w:tc>
          <w:tcPr>
            <w:tcW w:type="dxa" w:w="5400"/>
            <w:shd w:fill="EAF0FB" w:val="clear"/>
            <w:tcMar>
              <w:top w:type="dxa" w:w="80"/>
              <w:left w:type="dxa" w:w="100"/>
              <w:bottom w:type="dxa" w:w="80"/>
              <w:right w:type="dxa" w:w="100"/>
            </w:tcMar>
          </w:tcPr>
          <w:p>
            <w:r>
              <w:rPr>
                <w:b w:val="false"/>
                <w:bCs w:val="false"/>
              </w:rPr>
              <w:t xml:space="preserve">Create or update organisation policy thresholds</w:t>
            </w:r>
          </w:p>
        </w:tc>
      </w:tr>
      <w:tr>
        <w:tc>
          <w:tcPr>
            <w:tcW w:type="dxa" w:w="4500"/>
            <w:tcMar>
              <w:top w:type="dxa" w:w="80"/>
              <w:left w:type="dxa" w:w="100"/>
              <w:bottom w:type="dxa" w:w="80"/>
              <w:right w:type="dxa" w:w="100"/>
            </w:tcMar>
          </w:tcPr>
          <w:p>
            <w:r>
              <w:rPr>
                <w:b w:val="false"/>
                <w:bCs w:val="false"/>
              </w:rPr>
              <w:t xml:space="preserve">GET /models/{id}/monitoring</w:t>
            </w:r>
          </w:p>
        </w:tc>
        <w:tc>
          <w:tcPr>
            <w:tcW w:type="dxa" w:w="5400"/>
            <w:tcMar>
              <w:top w:type="dxa" w:w="80"/>
              <w:left w:type="dxa" w:w="100"/>
              <w:bottom w:type="dxa" w:w="80"/>
              <w:right w:type="dxa" w:w="100"/>
            </w:tcMar>
          </w:tcPr>
          <w:p>
            <w:r>
              <w:rPr>
                <w:b w:val="false"/>
                <w:bCs w:val="false"/>
              </w:rPr>
              <w:t xml:space="preserve">Return the drift / fairness-drift timeline</w:t>
            </w:r>
          </w:p>
        </w:tc>
      </w:tr>
      <w:tr>
        <w:tc>
          <w:tcPr>
            <w:tcW w:type="dxa" w:w="4500"/>
            <w:shd w:fill="EAF0FB" w:val="clear"/>
            <w:tcMar>
              <w:top w:type="dxa" w:w="80"/>
              <w:left w:type="dxa" w:w="100"/>
              <w:bottom w:type="dxa" w:w="80"/>
              <w:right w:type="dxa" w:w="100"/>
            </w:tcMar>
          </w:tcPr>
          <w:p>
            <w:r>
              <w:rPr>
                <w:b w:val="false"/>
                <w:bCs w:val="false"/>
              </w:rPr>
              <w:t xml:space="preserve">GET /audits/{audit_id}/report</w:t>
            </w:r>
          </w:p>
        </w:tc>
        <w:tc>
          <w:tcPr>
            <w:tcW w:type="dxa" w:w="5400"/>
            <w:shd w:fill="EAF0FB" w:val="clear"/>
            <w:tcMar>
              <w:top w:type="dxa" w:w="80"/>
              <w:left w:type="dxa" w:w="100"/>
              <w:bottom w:type="dxa" w:w="80"/>
              <w:right w:type="dxa" w:w="100"/>
            </w:tcMar>
          </w:tcPr>
          <w:p>
            <w:r>
              <w:rPr>
                <w:b w:val="false"/>
                <w:bCs w:val="false"/>
              </w:rPr>
              <w:t xml:space="preserve">Generate / retrieve the audit report</w:t>
            </w:r>
          </w:p>
        </w:tc>
      </w:tr>
    </w:tbl>
    <w:p>
      <w:pPr>
        <w:pStyle w:val="Heading1"/>
        <w:spacing w:after="200" w:before="400"/>
      </w:pPr>
      <w:r>
        <w:t xml:space="preserve">12. Proposed Technology Stack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tblHeader/>
        </w:trPr>
        <w:tc>
          <w:tcPr>
            <w:tcW w:type="dxa" w:w="3000"/>
            <w:shd w:fill="1F2A44" w:val="clear"/>
            <w:tcMar>
              <w:top w:type="dxa" w:w="80"/>
              <w:left w:type="dxa" w:w="100"/>
              <w:bottom w:type="dxa" w:w="80"/>
              <w:right w:type="dxa" w:w="100"/>
            </w:tcMar>
          </w:tcPr>
          <w:p>
            <w:r>
              <w:rPr>
                <w:b/>
                <w:bCs/>
              </w:rPr>
              <w:t xml:space="preserve">Layer</w:t>
            </w:r>
          </w:p>
        </w:tc>
        <w:tc>
          <w:tcPr>
            <w:tcW w:type="dxa" w:w="6900"/>
            <w:shd w:fill="1F2A44" w:val="clear"/>
            <w:tcMar>
              <w:top w:type="dxa" w:w="80"/>
              <w:left w:type="dxa" w:w="100"/>
              <w:bottom w:type="dxa" w:w="80"/>
              <w:right w:type="dxa" w:w="100"/>
            </w:tcMar>
          </w:tcPr>
          <w:p>
            <w:r>
              <w:rPr>
                <w:b/>
                <w:bCs/>
              </w:rPr>
              <w:t xml:space="preserve">Technology</w:t>
            </w:r>
          </w:p>
        </w:tc>
      </w:tr>
      <w:tr>
        <w:tc>
          <w:tcPr>
            <w:tcW w:type="dxa" w:w="3000"/>
            <w:tcMar>
              <w:top w:type="dxa" w:w="80"/>
              <w:left w:type="dxa" w:w="100"/>
              <w:bottom w:type="dxa" w:w="80"/>
              <w:right w:type="dxa" w:w="100"/>
            </w:tcMar>
          </w:tcPr>
          <w:p>
            <w:r>
              <w:rPr>
                <w:b w:val="false"/>
                <w:bCs w:val="false"/>
              </w:rPr>
              <w:t xml:space="preserve">Frontend</w:t>
            </w:r>
          </w:p>
        </w:tc>
        <w:tc>
          <w:tcPr>
            <w:tcW w:type="dxa" w:w="6900"/>
            <w:tcMar>
              <w:top w:type="dxa" w:w="80"/>
              <w:left w:type="dxa" w:w="100"/>
              <w:bottom w:type="dxa" w:w="80"/>
              <w:right w:type="dxa" w:w="100"/>
            </w:tcMar>
          </w:tcPr>
          <w:p>
            <w:r>
              <w:rPr>
                <w:b w:val="false"/>
                <w:bCs w:val="false"/>
              </w:rPr>
              <w:t xml:space="preserve">React, Recharts / Plotly for charts</w:t>
            </w:r>
          </w:p>
        </w:tc>
      </w:tr>
      <w:tr>
        <w:tc>
          <w:tcPr>
            <w:tcW w:type="dxa" w:w="3000"/>
            <w:shd w:fill="EAF0FB" w:val="clear"/>
            <w:tcMar>
              <w:top w:type="dxa" w:w="80"/>
              <w:left w:type="dxa" w:w="100"/>
              <w:bottom w:type="dxa" w:w="80"/>
              <w:right w:type="dxa" w:w="100"/>
            </w:tcMar>
          </w:tcPr>
          <w:p>
            <w:r>
              <w:rPr>
                <w:b w:val="false"/>
                <w:bCs w:val="false"/>
              </w:rPr>
              <w:t xml:space="preserve">Backend / API</w:t>
            </w:r>
          </w:p>
        </w:tc>
        <w:tc>
          <w:tcPr>
            <w:tcW w:type="dxa" w:w="6900"/>
            <w:shd w:fill="EAF0FB" w:val="clear"/>
            <w:tcMar>
              <w:top w:type="dxa" w:w="80"/>
              <w:left w:type="dxa" w:w="100"/>
              <w:bottom w:type="dxa" w:w="80"/>
              <w:right w:type="dxa" w:w="100"/>
            </w:tcMar>
          </w:tcPr>
          <w:p>
            <w:r>
              <w:rPr>
                <w:b w:val="false"/>
                <w:bCs w:val="false"/>
              </w:rPr>
              <w:t xml:space="preserve">FastAPI (Python)</w:t>
            </w:r>
          </w:p>
        </w:tc>
      </w:tr>
      <w:tr>
        <w:tc>
          <w:tcPr>
            <w:tcW w:type="dxa" w:w="3000"/>
            <w:tcMar>
              <w:top w:type="dxa" w:w="80"/>
              <w:left w:type="dxa" w:w="100"/>
              <w:bottom w:type="dxa" w:w="80"/>
              <w:right w:type="dxa" w:w="100"/>
            </w:tcMar>
          </w:tcPr>
          <w:p>
            <w:r>
              <w:rPr>
                <w:b w:val="false"/>
                <w:bCs w:val="false"/>
              </w:rPr>
              <w:t xml:space="preserve">Database</w:t>
            </w:r>
          </w:p>
        </w:tc>
        <w:tc>
          <w:tcPr>
            <w:tcW w:type="dxa" w:w="6900"/>
            <w:tcMar>
              <w:top w:type="dxa" w:w="80"/>
              <w:left w:type="dxa" w:w="100"/>
              <w:bottom w:type="dxa" w:w="80"/>
              <w:right w:type="dxa" w:w="100"/>
            </w:tcMar>
          </w:tcPr>
          <w:p>
            <w:r>
              <w:rPr>
                <w:b w:val="false"/>
                <w:bCs w:val="false"/>
              </w:rPr>
              <w:t xml:space="preserve">PostgreSQL (SQLite acceptable for the 48-hour track)</w:t>
            </w:r>
          </w:p>
        </w:tc>
      </w:tr>
      <w:tr>
        <w:tc>
          <w:tcPr>
            <w:tcW w:type="dxa" w:w="3000"/>
            <w:shd w:fill="EAF0FB" w:val="clear"/>
            <w:tcMar>
              <w:top w:type="dxa" w:w="80"/>
              <w:left w:type="dxa" w:w="100"/>
              <w:bottom w:type="dxa" w:w="80"/>
              <w:right w:type="dxa" w:w="100"/>
            </w:tcMar>
          </w:tcPr>
          <w:p>
            <w:r>
              <w:rPr>
                <w:b w:val="false"/>
                <w:bCs w:val="false"/>
              </w:rPr>
              <w:t xml:space="preserve">ML / evaluation</w:t>
            </w:r>
          </w:p>
        </w:tc>
        <w:tc>
          <w:tcPr>
            <w:tcW w:type="dxa" w:w="6900"/>
            <w:shd w:fill="EAF0FB" w:val="clear"/>
            <w:tcMar>
              <w:top w:type="dxa" w:w="80"/>
              <w:left w:type="dxa" w:w="100"/>
              <w:bottom w:type="dxa" w:w="80"/>
              <w:right w:type="dxa" w:w="100"/>
            </w:tcMar>
          </w:tcPr>
          <w:p>
            <w:r>
              <w:rPr>
                <w:b w:val="false"/>
                <w:bCs w:val="false"/>
              </w:rPr>
              <w:t xml:space="preserve">scikit-learn, pandas, NumPy</w:t>
            </w:r>
          </w:p>
        </w:tc>
      </w:tr>
      <w:tr>
        <w:tc>
          <w:tcPr>
            <w:tcW w:type="dxa" w:w="3000"/>
            <w:tcMar>
              <w:top w:type="dxa" w:w="80"/>
              <w:left w:type="dxa" w:w="100"/>
              <w:bottom w:type="dxa" w:w="80"/>
              <w:right w:type="dxa" w:w="100"/>
            </w:tcMar>
          </w:tcPr>
          <w:p>
            <w:r>
              <w:rPr>
                <w:b w:val="false"/>
                <w:bCs w:val="false"/>
              </w:rPr>
              <w:t xml:space="preserve">Fairness metrics</w:t>
            </w:r>
          </w:p>
        </w:tc>
        <w:tc>
          <w:tcPr>
            <w:tcW w:type="dxa" w:w="6900"/>
            <w:tcMar>
              <w:top w:type="dxa" w:w="80"/>
              <w:left w:type="dxa" w:w="100"/>
              <w:bottom w:type="dxa" w:w="80"/>
              <w:right w:type="dxa" w:w="100"/>
            </w:tcMar>
          </w:tcPr>
          <w:p>
            <w:r>
              <w:rPr>
                <w:b w:val="false"/>
                <w:bCs w:val="false"/>
              </w:rPr>
              <w:t xml:space="preserve">Fairlearn or custom statistical implementations</w:t>
            </w:r>
          </w:p>
        </w:tc>
      </w:tr>
      <w:tr>
        <w:tc>
          <w:tcPr>
            <w:tcW w:type="dxa" w:w="3000"/>
            <w:shd w:fill="EAF0FB" w:val="clear"/>
            <w:tcMar>
              <w:top w:type="dxa" w:w="80"/>
              <w:left w:type="dxa" w:w="100"/>
              <w:bottom w:type="dxa" w:w="80"/>
              <w:right w:type="dxa" w:w="100"/>
            </w:tcMar>
          </w:tcPr>
          <w:p>
            <w:r>
              <w:rPr>
                <w:b w:val="false"/>
                <w:bCs w:val="false"/>
              </w:rPr>
              <w:t xml:space="preserve">Explainability</w:t>
            </w:r>
          </w:p>
        </w:tc>
        <w:tc>
          <w:tcPr>
            <w:tcW w:type="dxa" w:w="6900"/>
            <w:shd w:fill="EAF0FB" w:val="clear"/>
            <w:tcMar>
              <w:top w:type="dxa" w:w="80"/>
              <w:left w:type="dxa" w:w="100"/>
              <w:bottom w:type="dxa" w:w="80"/>
              <w:right w:type="dxa" w:w="100"/>
            </w:tcMar>
          </w:tcPr>
          <w:p>
            <w:r>
              <w:rPr>
                <w:b w:val="false"/>
                <w:bCs w:val="false"/>
              </w:rPr>
              <w:t xml:space="preserve">SHAP</w:t>
            </w:r>
          </w:p>
        </w:tc>
      </w:tr>
      <w:tr>
        <w:tc>
          <w:tcPr>
            <w:tcW w:type="dxa" w:w="3000"/>
            <w:tcMar>
              <w:top w:type="dxa" w:w="80"/>
              <w:left w:type="dxa" w:w="100"/>
              <w:bottom w:type="dxa" w:w="80"/>
              <w:right w:type="dxa" w:w="100"/>
            </w:tcMar>
          </w:tcPr>
          <w:p>
            <w:r>
              <w:rPr>
                <w:b w:val="false"/>
                <w:bCs w:val="false"/>
              </w:rPr>
              <w:t xml:space="preserve">Drift detection</w:t>
            </w:r>
          </w:p>
        </w:tc>
        <w:tc>
          <w:tcPr>
            <w:tcW w:type="dxa" w:w="6900"/>
            <w:tcMar>
              <w:top w:type="dxa" w:w="80"/>
              <w:left w:type="dxa" w:w="100"/>
              <w:bottom w:type="dxa" w:w="80"/>
              <w:right w:type="dxa" w:w="100"/>
            </w:tcMar>
          </w:tcPr>
          <w:p>
            <w:r>
              <w:rPr>
                <w:b w:val="false"/>
                <w:bCs w:val="false"/>
              </w:rPr>
              <w:t xml:space="preserve">Evidently or custom KS / Wasserstein / PSI implementations</w:t>
            </w:r>
          </w:p>
        </w:tc>
      </w:tr>
      <w:tr>
        <w:tc>
          <w:tcPr>
            <w:tcW w:type="dxa" w:w="3000"/>
            <w:shd w:fill="EAF0FB" w:val="clear"/>
            <w:tcMar>
              <w:top w:type="dxa" w:w="80"/>
              <w:left w:type="dxa" w:w="100"/>
              <w:bottom w:type="dxa" w:w="80"/>
              <w:right w:type="dxa" w:w="100"/>
            </w:tcMar>
          </w:tcPr>
          <w:p>
            <w:r>
              <w:rPr>
                <w:b w:val="false"/>
                <w:bCs w:val="false"/>
              </w:rPr>
              <w:t xml:space="preserve">Reporting</w:t>
            </w:r>
          </w:p>
        </w:tc>
        <w:tc>
          <w:tcPr>
            <w:tcW w:type="dxa" w:w="6900"/>
            <w:shd w:fill="EAF0FB" w:val="clear"/>
            <w:tcMar>
              <w:top w:type="dxa" w:w="80"/>
              <w:left w:type="dxa" w:w="100"/>
              <w:bottom w:type="dxa" w:w="80"/>
              <w:right w:type="dxa" w:w="100"/>
            </w:tcMar>
          </w:tcPr>
          <w:p>
            <w:r>
              <w:rPr>
                <w:b w:val="false"/>
                <w:bCs w:val="false"/>
              </w:rPr>
              <w:t xml:space="preserve">HTML → PDF generation</w:t>
            </w:r>
          </w:p>
        </w:tc>
      </w:tr>
      <w:tr>
        <w:tc>
          <w:tcPr>
            <w:tcW w:type="dxa" w:w="3000"/>
            <w:tcMar>
              <w:top w:type="dxa" w:w="80"/>
              <w:left w:type="dxa" w:w="100"/>
              <w:bottom w:type="dxa" w:w="80"/>
              <w:right w:type="dxa" w:w="100"/>
            </w:tcMar>
          </w:tcPr>
          <w:p>
            <w:r>
              <w:rPr>
                <w:b w:val="false"/>
                <w:bCs w:val="false"/>
              </w:rPr>
              <w:t xml:space="preserve">Containerisation</w:t>
            </w:r>
          </w:p>
        </w:tc>
        <w:tc>
          <w:tcPr>
            <w:tcW w:type="dxa" w:w="6900"/>
            <w:tcMar>
              <w:top w:type="dxa" w:w="80"/>
              <w:left w:type="dxa" w:w="100"/>
              <w:bottom w:type="dxa" w:w="80"/>
              <w:right w:type="dxa" w:w="100"/>
            </w:tcMar>
          </w:tcPr>
          <w:p>
            <w:r>
              <w:rPr>
                <w:b w:val="false"/>
                <w:bCs w:val="false"/>
              </w:rPr>
              <w:t xml:space="preserve">Docker</w:t>
            </w:r>
          </w:p>
        </w:tc>
      </w:tr>
    </w:tbl>
    <w:p>
      <w:pPr>
        <w:spacing w:after="160"/>
      </w:pPr>
      <w:r>
        <w:rPr>
          <w:i/>
          <w:iCs/>
        </w:rPr>
        <w:t xml:space="preserve">Model support in the MVP is intentionally limited to scikit-learn-style binary classifiers (Logistic Regression, Random Forest, XGBoost) accepted as .pkl / .joblib artifacts. PyTorch/TensorFlow models, REST-served models and LLMs are Phase 2 roadmap items.</w:t>
      </w:r>
    </w:p>
    <w:p>
      <w:pPr>
        <w:pStyle w:val="Heading1"/>
        <w:spacing w:after="200" w:before="400"/>
      </w:pPr>
      <w:r>
        <w:t xml:space="preserve">13. Team Structure &amp; Delivery Process</w:t>
      </w:r>
    </w:p>
    <w:p>
      <w:pPr>
        <w:pStyle w:val="Heading2"/>
        <w:spacing w:after="150" w:before="300"/>
      </w:pPr>
      <w:r>
        <w:t xml:space="preserve">13.1 Team composition (14-day track)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900"/>
      </w:tblGrid>
      <w:tr>
        <w:trPr>
          <w:tblHeader/>
        </w:trPr>
        <w:tc>
          <w:tcPr>
            <w:tcW w:type="dxa" w:w="1500"/>
            <w:shd w:fill="1F2A44" w:val="clear"/>
            <w:tcMar>
              <w:top w:type="dxa" w:w="80"/>
              <w:left w:type="dxa" w:w="100"/>
              <w:bottom w:type="dxa" w:w="80"/>
              <w:right w:type="dxa" w:w="100"/>
            </w:tcMar>
          </w:tcPr>
          <w:p>
            <w:r>
              <w:rPr>
                <w:b/>
                <w:bCs/>
              </w:rPr>
              <w:t xml:space="preserve">Person</w:t>
            </w:r>
          </w:p>
        </w:tc>
        <w:tc>
          <w:tcPr>
            <w:tcW w:type="dxa" w:w="5500"/>
            <w:shd w:fill="1F2A44" w:val="clear"/>
            <w:tcMar>
              <w:top w:type="dxa" w:w="80"/>
              <w:left w:type="dxa" w:w="100"/>
              <w:bottom w:type="dxa" w:w="80"/>
              <w:right w:type="dxa" w:w="100"/>
            </w:tcMar>
          </w:tcPr>
          <w:p>
            <w:r>
              <w:rPr>
                <w:b/>
                <w:bCs/>
              </w:rPr>
              <w:t xml:space="preserve">Primary ownership</w:t>
            </w:r>
          </w:p>
        </w:tc>
        <w:tc>
          <w:tcPr>
            <w:tcW w:type="dxa" w:w="2900"/>
            <w:shd w:fill="1F2A44" w:val="clear"/>
            <w:tcMar>
              <w:top w:type="dxa" w:w="80"/>
              <w:left w:type="dxa" w:w="100"/>
              <w:bottom w:type="dxa" w:w="80"/>
              <w:right w:type="dxa" w:w="100"/>
            </w:tcMar>
          </w:tcPr>
          <w:p>
            <w:r>
              <w:rPr>
                <w:b/>
                <w:bCs/>
              </w:rPr>
              <w:t xml:space="preserve">Must not wait for</w:t>
            </w:r>
          </w:p>
        </w:tc>
      </w:tr>
      <w:tr>
        <w:tc>
          <w:tcPr>
            <w:tcW w:type="dxa" w:w="1500"/>
            <w:tcMar>
              <w:top w:type="dxa" w:w="80"/>
              <w:left w:type="dxa" w:w="100"/>
              <w:bottom w:type="dxa" w:w="80"/>
              <w:right w:type="dxa" w:w="100"/>
            </w:tcMar>
          </w:tcPr>
          <w:p>
            <w:r>
              <w:rPr>
                <w:b w:val="false"/>
                <w:bCs w:val="false"/>
              </w:rPr>
              <w:t xml:space="preserve">Person 1</w:t>
            </w:r>
          </w:p>
        </w:tc>
        <w:tc>
          <w:tcPr>
            <w:tcW w:type="dxa" w:w="5500"/>
            <w:tcMar>
              <w:top w:type="dxa" w:w="80"/>
              <w:left w:type="dxa" w:w="100"/>
              <w:bottom w:type="dxa" w:w="80"/>
              <w:right w:type="dxa" w:w="100"/>
            </w:tcMar>
          </w:tcPr>
          <w:p>
            <w:r>
              <w:rPr>
                <w:b w:val="false"/>
                <w:bCs w:val="false"/>
              </w:rPr>
              <w:t xml:space="preserve">Backend, registry &amp; integration</w:t>
            </w:r>
          </w:p>
        </w:tc>
        <w:tc>
          <w:tcPr>
            <w:tcW w:type="dxa" w:w="2900"/>
            <w:tcMar>
              <w:top w:type="dxa" w:w="80"/>
              <w:left w:type="dxa" w:w="100"/>
              <w:bottom w:type="dxa" w:w="80"/>
              <w:right w:type="dxa" w:w="100"/>
            </w:tcMar>
          </w:tcPr>
          <w:p>
            <w:r>
              <w:rPr>
                <w:b w:val="false"/>
                <w:bCs w:val="false"/>
              </w:rPr>
              <w:t xml:space="preserve">Frontend completion or final ML models</w:t>
            </w:r>
          </w:p>
        </w:tc>
      </w:tr>
      <w:tr>
        <w:tc>
          <w:tcPr>
            <w:tcW w:type="dxa" w:w="1500"/>
            <w:shd w:fill="EAF0FB" w:val="clear"/>
            <w:tcMar>
              <w:top w:type="dxa" w:w="80"/>
              <w:left w:type="dxa" w:w="100"/>
              <w:bottom w:type="dxa" w:w="80"/>
              <w:right w:type="dxa" w:w="100"/>
            </w:tcMar>
          </w:tcPr>
          <w:p>
            <w:r>
              <w:rPr>
                <w:b w:val="false"/>
                <w:bCs w:val="false"/>
              </w:rPr>
              <w:t xml:space="preserve">Person 2</w:t>
            </w:r>
          </w:p>
        </w:tc>
        <w:tc>
          <w:tcPr>
            <w:tcW w:type="dxa" w:w="5500"/>
            <w:shd w:fill="EAF0FB" w:val="clear"/>
            <w:tcMar>
              <w:top w:type="dxa" w:w="80"/>
              <w:left w:type="dxa" w:w="100"/>
              <w:bottom w:type="dxa" w:w="80"/>
              <w:right w:type="dxa" w:w="100"/>
            </w:tcMar>
          </w:tcPr>
          <w:p>
            <w:r>
              <w:rPr>
                <w:b w:val="false"/>
                <w:bCs w:val="false"/>
              </w:rPr>
              <w:t xml:space="preserve">Fairness, explainability &amp; mitigation</w:t>
            </w:r>
          </w:p>
        </w:tc>
        <w:tc>
          <w:tcPr>
            <w:tcW w:type="dxa" w:w="2900"/>
            <w:shd w:fill="EAF0FB" w:val="clear"/>
            <w:tcMar>
              <w:top w:type="dxa" w:w="80"/>
              <w:left w:type="dxa" w:w="100"/>
              <w:bottom w:type="dxa" w:w="80"/>
              <w:right w:type="dxa" w:w="100"/>
            </w:tcMar>
          </w:tcPr>
          <w:p>
            <w:r>
              <w:rPr>
                <w:b w:val="false"/>
                <w:bCs w:val="false"/>
              </w:rPr>
              <w:t xml:space="preserve">Final dashboard</w:t>
            </w:r>
          </w:p>
        </w:tc>
      </w:tr>
      <w:tr>
        <w:tc>
          <w:tcPr>
            <w:tcW w:type="dxa" w:w="1500"/>
            <w:tcMar>
              <w:top w:type="dxa" w:w="80"/>
              <w:left w:type="dxa" w:w="100"/>
              <w:bottom w:type="dxa" w:w="80"/>
              <w:right w:type="dxa" w:w="100"/>
            </w:tcMar>
          </w:tcPr>
          <w:p>
            <w:r>
              <w:rPr>
                <w:b w:val="false"/>
                <w:bCs w:val="false"/>
              </w:rPr>
              <w:t xml:space="preserve">Person 3</w:t>
            </w:r>
          </w:p>
        </w:tc>
        <w:tc>
          <w:tcPr>
            <w:tcW w:type="dxa" w:w="5500"/>
            <w:tcMar>
              <w:top w:type="dxa" w:w="80"/>
              <w:left w:type="dxa" w:w="100"/>
              <w:bottom w:type="dxa" w:w="80"/>
              <w:right w:type="dxa" w:w="100"/>
            </w:tcMar>
          </w:tcPr>
          <w:p>
            <w:r>
              <w:rPr>
                <w:b w:val="false"/>
                <w:bCs w:val="false"/>
              </w:rPr>
              <w:t xml:space="preserve">Monitoring, robustness &amp; policy</w:t>
            </w:r>
          </w:p>
        </w:tc>
        <w:tc>
          <w:tcPr>
            <w:tcW w:type="dxa" w:w="2900"/>
            <w:tcMar>
              <w:top w:type="dxa" w:w="80"/>
              <w:left w:type="dxa" w:w="100"/>
              <w:bottom w:type="dxa" w:w="80"/>
              <w:right w:type="dxa" w:w="100"/>
            </w:tcMar>
          </w:tcPr>
          <w:p>
            <w:r>
              <w:rPr>
                <w:b w:val="false"/>
                <w:bCs w:val="false"/>
              </w:rPr>
              <w:t xml:space="preserve">Person 2's UI work</w:t>
            </w:r>
          </w:p>
        </w:tc>
      </w:tr>
      <w:tr>
        <w:tc>
          <w:tcPr>
            <w:tcW w:type="dxa" w:w="1500"/>
            <w:shd w:fill="EAF0FB" w:val="clear"/>
            <w:tcMar>
              <w:top w:type="dxa" w:w="80"/>
              <w:left w:type="dxa" w:w="100"/>
              <w:bottom w:type="dxa" w:w="80"/>
              <w:right w:type="dxa" w:w="100"/>
            </w:tcMar>
          </w:tcPr>
          <w:p>
            <w:r>
              <w:rPr>
                <w:b w:val="false"/>
                <w:bCs w:val="false"/>
              </w:rPr>
              <w:t xml:space="preserve">Person 4</w:t>
            </w:r>
          </w:p>
        </w:tc>
        <w:tc>
          <w:tcPr>
            <w:tcW w:type="dxa" w:w="5500"/>
            <w:shd w:fill="EAF0FB" w:val="clear"/>
            <w:tcMar>
              <w:top w:type="dxa" w:w="80"/>
              <w:left w:type="dxa" w:w="100"/>
              <w:bottom w:type="dxa" w:w="80"/>
              <w:right w:type="dxa" w:w="100"/>
            </w:tcMar>
          </w:tcPr>
          <w:p>
            <w:r>
              <w:rPr>
                <w:b w:val="false"/>
                <w:bCs w:val="false"/>
              </w:rPr>
              <w:t xml:space="preserve">Frontend, reporting &amp; demo experience</w:t>
            </w:r>
          </w:p>
        </w:tc>
        <w:tc>
          <w:tcPr>
            <w:tcW w:type="dxa" w:w="2900"/>
            <w:shd w:fill="EAF0FB" w:val="clear"/>
            <w:tcMar>
              <w:top w:type="dxa" w:w="80"/>
              <w:left w:type="dxa" w:w="100"/>
              <w:bottom w:type="dxa" w:w="80"/>
              <w:right w:type="dxa" w:w="100"/>
            </w:tcMar>
          </w:tcPr>
          <w:p>
            <w:r>
              <w:rPr>
                <w:b w:val="false"/>
                <w:bCs w:val="false"/>
              </w:rPr>
              <w:t xml:space="preserve">Finished backend endpoints</w:t>
            </w:r>
          </w:p>
        </w:tc>
      </w:tr>
      <w:tr>
        <w:tc>
          <w:tcPr>
            <w:tcW w:type="dxa" w:w="1500"/>
            <w:tcMar>
              <w:top w:type="dxa" w:w="80"/>
              <w:left w:type="dxa" w:w="100"/>
              <w:bottom w:type="dxa" w:w="80"/>
              <w:right w:type="dxa" w:w="100"/>
            </w:tcMar>
          </w:tcPr>
          <w:p>
            <w:r>
              <w:rPr>
                <w:b w:val="false"/>
                <w:bCs w:val="false"/>
              </w:rPr>
              <w:t xml:space="preserve">Persons 5–6</w:t>
            </w:r>
          </w:p>
        </w:tc>
        <w:tc>
          <w:tcPr>
            <w:tcW w:type="dxa" w:w="5500"/>
            <w:tcMar>
              <w:top w:type="dxa" w:w="80"/>
              <w:left w:type="dxa" w:w="100"/>
              <w:bottom w:type="dxa" w:w="80"/>
              <w:right w:type="dxa" w:w="100"/>
            </w:tcMar>
          </w:tcPr>
          <w:p>
            <w:r>
              <w:rPr>
                <w:b w:val="false"/>
                <w:bCs w:val="false"/>
              </w:rPr>
              <w:t xml:space="preserve">Demo dataset &amp; models (biased v1, mitigated v2, production batches)</w:t>
            </w:r>
          </w:p>
        </w:tc>
        <w:tc>
          <w:tcPr>
            <w:tcW w:type="dxa" w:w="2900"/>
            <w:tcMar>
              <w:top w:type="dxa" w:w="80"/>
              <w:left w:type="dxa" w:w="100"/>
              <w:bottom w:type="dxa" w:w="80"/>
              <w:right w:type="dxa" w:w="100"/>
            </w:tcMar>
          </w:tcPr>
          <w:p>
            <w:r>
              <w:rPr>
                <w:b w:val="false"/>
                <w:bCs w:val="false"/>
              </w:rPr>
              <w:t xml:space="preserve">Platform-team UI or final architecture decisions</w:t>
            </w:r>
          </w:p>
        </w:tc>
      </w:tr>
    </w:tbl>
    <w:p>
      <w:pPr>
        <w:spacing w:after="150"/>
      </w:pPr>
    </w:p>
    <w:p>
      <w:pPr>
        <w:pStyle w:val="Heading2"/>
        <w:spacing w:after="150" w:before="300"/>
      </w:pPr>
      <w:r>
        <w:t xml:space="preserve">13.2 Delivery phases (14-day track)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100"/>
      </w:tblGrid>
      <w:tr>
        <w:trPr>
          <w:tblHeader/>
        </w:trPr>
        <w:tc>
          <w:tcPr>
            <w:tcW w:type="dxa" w:w="3200"/>
            <w:shd w:fill="1F2A44" w:val="clear"/>
            <w:tcMar>
              <w:top w:type="dxa" w:w="80"/>
              <w:left w:type="dxa" w:w="100"/>
              <w:bottom w:type="dxa" w:w="80"/>
              <w:right w:type="dxa" w:w="100"/>
            </w:tcMar>
          </w:tcPr>
          <w:p>
            <w:r>
              <w:rPr>
                <w:b/>
                <w:bCs/>
              </w:rPr>
              <w:t xml:space="preserve">Phase</w:t>
            </w:r>
          </w:p>
        </w:tc>
        <w:tc>
          <w:tcPr>
            <w:tcW w:type="dxa" w:w="1600"/>
            <w:shd w:fill="1F2A44" w:val="clear"/>
            <w:tcMar>
              <w:top w:type="dxa" w:w="80"/>
              <w:left w:type="dxa" w:w="100"/>
              <w:bottom w:type="dxa" w:w="80"/>
              <w:right w:type="dxa" w:w="100"/>
            </w:tcMar>
          </w:tcPr>
          <w:p>
            <w:r>
              <w:rPr>
                <w:b/>
                <w:bCs/>
              </w:rPr>
              <w:t xml:space="preserve">When</w:t>
            </w:r>
          </w:p>
        </w:tc>
        <w:tc>
          <w:tcPr>
            <w:tcW w:type="dxa" w:w="5100"/>
            <w:shd w:fill="1F2A44" w:val="clear"/>
            <w:tcMar>
              <w:top w:type="dxa" w:w="80"/>
              <w:left w:type="dxa" w:w="100"/>
              <w:bottom w:type="dxa" w:w="80"/>
              <w:right w:type="dxa" w:w="100"/>
            </w:tcMar>
          </w:tcPr>
          <w:p>
            <w:r>
              <w:rPr>
                <w:b/>
                <w:bCs/>
              </w:rPr>
              <w:t xml:space="preserve">Exit condition</w:t>
            </w:r>
          </w:p>
        </w:tc>
      </w:tr>
      <w:tr>
        <w:tc>
          <w:tcPr>
            <w:tcW w:type="dxa" w:w="3200"/>
            <w:tcMar>
              <w:top w:type="dxa" w:w="80"/>
              <w:left w:type="dxa" w:w="100"/>
              <w:bottom w:type="dxa" w:w="80"/>
              <w:right w:type="dxa" w:w="100"/>
            </w:tcMar>
          </w:tcPr>
          <w:p>
            <w:r>
              <w:rPr>
                <w:b w:val="false"/>
                <w:bCs w:val="false"/>
              </w:rPr>
              <w:t xml:space="preserve">0 — Contract &amp; Skeleton</w:t>
            </w:r>
          </w:p>
        </w:tc>
        <w:tc>
          <w:tcPr>
            <w:tcW w:type="dxa" w:w="1600"/>
            <w:tcMar>
              <w:top w:type="dxa" w:w="80"/>
              <w:left w:type="dxa" w:w="100"/>
              <w:bottom w:type="dxa" w:w="80"/>
              <w:right w:type="dxa" w:w="100"/>
            </w:tcMar>
          </w:tcPr>
          <w:p>
            <w:r>
              <w:rPr>
                <w:b w:val="false"/>
                <w:bCs w:val="false"/>
              </w:rPr>
              <w:t xml:space="preserve">Day 1</w:t>
            </w:r>
          </w:p>
        </w:tc>
        <w:tc>
          <w:tcPr>
            <w:tcW w:type="dxa" w:w="5100"/>
            <w:tcMar>
              <w:top w:type="dxa" w:w="80"/>
              <w:left w:type="dxa" w:w="100"/>
              <w:bottom w:type="dxa" w:w="80"/>
              <w:right w:type="dxa" w:w="100"/>
            </w:tcMar>
          </w:tcPr>
          <w:p>
            <w:r>
              <w:rPr>
                <w:b w:val="false"/>
                <w:bCs w:val="false"/>
              </w:rPr>
              <w:t xml:space="preserve">Repo, shared schemas, mock JSON/CSV and endpoint names exist; everyone can start independently.</w:t>
            </w:r>
          </w:p>
        </w:tc>
      </w:tr>
      <w:tr>
        <w:tc>
          <w:tcPr>
            <w:tcW w:type="dxa" w:w="3200"/>
            <w:shd w:fill="EAF0FB" w:val="clear"/>
            <w:tcMar>
              <w:top w:type="dxa" w:w="80"/>
              <w:left w:type="dxa" w:w="100"/>
              <w:bottom w:type="dxa" w:w="80"/>
              <w:right w:type="dxa" w:w="100"/>
            </w:tcMar>
          </w:tcPr>
          <w:p>
            <w:r>
              <w:rPr>
                <w:b w:val="false"/>
                <w:bCs w:val="false"/>
              </w:rPr>
              <w:t xml:space="preserve">1 — Independent core modules</w:t>
            </w:r>
          </w:p>
        </w:tc>
        <w:tc>
          <w:tcPr>
            <w:tcW w:type="dxa" w:w="1600"/>
            <w:shd w:fill="EAF0FB" w:val="clear"/>
            <w:tcMar>
              <w:top w:type="dxa" w:w="80"/>
              <w:left w:type="dxa" w:w="100"/>
              <w:bottom w:type="dxa" w:w="80"/>
              <w:right w:type="dxa" w:w="100"/>
            </w:tcMar>
          </w:tcPr>
          <w:p>
            <w:r>
              <w:rPr>
                <w:b w:val="false"/>
                <w:bCs w:val="false"/>
              </w:rPr>
              <w:t xml:space="preserve">Days 2–4</w:t>
            </w:r>
          </w:p>
        </w:tc>
        <w:tc>
          <w:tcPr>
            <w:tcW w:type="dxa" w:w="5100"/>
            <w:shd w:fill="EAF0FB" w:val="clear"/>
            <w:tcMar>
              <w:top w:type="dxa" w:w="80"/>
              <w:left w:type="dxa" w:w="100"/>
              <w:bottom w:type="dxa" w:w="80"/>
              <w:right w:type="dxa" w:w="100"/>
            </w:tcMar>
          </w:tcPr>
          <w:p>
            <w:r>
              <w:rPr>
                <w:b w:val="false"/>
                <w:bCs w:val="false"/>
              </w:rPr>
              <w:t xml:space="preserve">Each person has a working isolated module against mock inputs.</w:t>
            </w:r>
          </w:p>
        </w:tc>
      </w:tr>
      <w:tr>
        <w:tc>
          <w:tcPr>
            <w:tcW w:type="dxa" w:w="3200"/>
            <w:tcMar>
              <w:top w:type="dxa" w:w="80"/>
              <w:left w:type="dxa" w:w="100"/>
              <w:bottom w:type="dxa" w:w="80"/>
              <w:right w:type="dxa" w:w="100"/>
            </w:tcMar>
          </w:tcPr>
          <w:p>
            <w:r>
              <w:rPr>
                <w:b w:val="false"/>
                <w:bCs w:val="false"/>
              </w:rPr>
              <w:t xml:space="preserve">2 — First end-to-end audit</w:t>
            </w:r>
          </w:p>
        </w:tc>
        <w:tc>
          <w:tcPr>
            <w:tcW w:type="dxa" w:w="1600"/>
            <w:tcMar>
              <w:top w:type="dxa" w:w="80"/>
              <w:left w:type="dxa" w:w="100"/>
              <w:bottom w:type="dxa" w:w="80"/>
              <w:right w:type="dxa" w:w="100"/>
            </w:tcMar>
          </w:tcPr>
          <w:p>
            <w:r>
              <w:rPr>
                <w:b w:val="false"/>
                <w:bCs w:val="false"/>
              </w:rPr>
              <w:t xml:space="preserve">Days 5–7</w:t>
            </w:r>
          </w:p>
        </w:tc>
        <w:tc>
          <w:tcPr>
            <w:tcW w:type="dxa" w:w="5100"/>
            <w:tcMar>
              <w:top w:type="dxa" w:w="80"/>
              <w:left w:type="dxa" w:w="100"/>
              <w:bottom w:type="dxa" w:w="80"/>
              <w:right w:type="dxa" w:w="100"/>
            </w:tcMar>
          </w:tcPr>
          <w:p>
            <w:r>
              <w:rPr>
                <w:b w:val="false"/>
                <w:bCs w:val="false"/>
              </w:rPr>
              <w:t xml:space="preserve">A model can be registered and audited from the UI with real data.</w:t>
            </w:r>
          </w:p>
        </w:tc>
      </w:tr>
      <w:tr>
        <w:tc>
          <w:tcPr>
            <w:tcW w:type="dxa" w:w="3200"/>
            <w:shd w:fill="EAF0FB" w:val="clear"/>
            <w:tcMar>
              <w:top w:type="dxa" w:w="80"/>
              <w:left w:type="dxa" w:w="100"/>
              <w:bottom w:type="dxa" w:w="80"/>
              <w:right w:type="dxa" w:w="100"/>
            </w:tcMar>
          </w:tcPr>
          <w:p>
            <w:r>
              <w:rPr>
                <w:b w:val="false"/>
                <w:bCs w:val="false"/>
              </w:rPr>
              <w:t xml:space="preserve">3 — Governance decision loop</w:t>
            </w:r>
          </w:p>
        </w:tc>
        <w:tc>
          <w:tcPr>
            <w:tcW w:type="dxa" w:w="1600"/>
            <w:shd w:fill="EAF0FB" w:val="clear"/>
            <w:tcMar>
              <w:top w:type="dxa" w:w="80"/>
              <w:left w:type="dxa" w:w="100"/>
              <w:bottom w:type="dxa" w:w="80"/>
              <w:right w:type="dxa" w:w="100"/>
            </w:tcMar>
          </w:tcPr>
          <w:p>
            <w:r>
              <w:rPr>
                <w:b w:val="false"/>
                <w:bCs w:val="false"/>
              </w:rPr>
              <w:t xml:space="preserve">Days 8–10</w:t>
            </w:r>
          </w:p>
        </w:tc>
        <w:tc>
          <w:tcPr>
            <w:tcW w:type="dxa" w:w="5100"/>
            <w:shd w:fill="EAF0FB" w:val="clear"/>
            <w:tcMar>
              <w:top w:type="dxa" w:w="80"/>
              <w:left w:type="dxa" w:w="100"/>
              <w:bottom w:type="dxa" w:w="80"/>
              <w:right w:type="dxa" w:w="100"/>
            </w:tcMar>
          </w:tcPr>
          <w:p>
            <w:r>
              <w:rPr>
                <w:b w:val="false"/>
                <w:bCs w:val="false"/>
              </w:rPr>
              <w:t xml:space="preserve">Drift, policy enforcement, mitigation comparison, human approval and persisted results all work.</w:t>
            </w:r>
          </w:p>
        </w:tc>
      </w:tr>
      <w:tr>
        <w:tc>
          <w:tcPr>
            <w:tcW w:type="dxa" w:w="3200"/>
            <w:tcMar>
              <w:top w:type="dxa" w:w="80"/>
              <w:left w:type="dxa" w:w="100"/>
              <w:bottom w:type="dxa" w:w="80"/>
              <w:right w:type="dxa" w:w="100"/>
            </w:tcMar>
          </w:tcPr>
          <w:p>
            <w:r>
              <w:rPr>
                <w:b w:val="false"/>
                <w:bCs w:val="false"/>
              </w:rPr>
              <w:t xml:space="preserve">4 — Report + demo story</w:t>
            </w:r>
          </w:p>
        </w:tc>
        <w:tc>
          <w:tcPr>
            <w:tcW w:type="dxa" w:w="1600"/>
            <w:tcMar>
              <w:top w:type="dxa" w:w="80"/>
              <w:left w:type="dxa" w:w="100"/>
              <w:bottom w:type="dxa" w:w="80"/>
              <w:right w:type="dxa" w:w="100"/>
            </w:tcMar>
          </w:tcPr>
          <w:p>
            <w:r>
              <w:rPr>
                <w:b w:val="false"/>
                <w:bCs w:val="false"/>
              </w:rPr>
              <w:t xml:space="preserve">Days 11–12</w:t>
            </w:r>
          </w:p>
        </w:tc>
        <w:tc>
          <w:tcPr>
            <w:tcW w:type="dxa" w:w="5100"/>
            <w:tcMar>
              <w:top w:type="dxa" w:w="80"/>
              <w:left w:type="dxa" w:w="100"/>
              <w:bottom w:type="dxa" w:w="80"/>
              <w:right w:type="dxa" w:w="100"/>
            </w:tcMar>
          </w:tcPr>
          <w:p>
            <w:r>
              <w:rPr>
                <w:b w:val="false"/>
                <w:bCs w:val="false"/>
              </w:rPr>
              <w:t xml:space="preserve">Complete judge-facing flow and report generation; feature freeze after Day 12.</w:t>
            </w:r>
          </w:p>
        </w:tc>
      </w:tr>
      <w:tr>
        <w:tc>
          <w:tcPr>
            <w:tcW w:type="dxa" w:w="3200"/>
            <w:shd w:fill="EAF0FB" w:val="clear"/>
            <w:tcMar>
              <w:top w:type="dxa" w:w="80"/>
              <w:left w:type="dxa" w:w="100"/>
              <w:bottom w:type="dxa" w:w="80"/>
              <w:right w:type="dxa" w:w="100"/>
            </w:tcMar>
          </w:tcPr>
          <w:p>
            <w:r>
              <w:rPr>
                <w:b w:val="false"/>
                <w:bCs w:val="false"/>
              </w:rPr>
              <w:t xml:space="preserve">5 — QA &amp; rehearsal</w:t>
            </w:r>
          </w:p>
        </w:tc>
        <w:tc>
          <w:tcPr>
            <w:tcW w:type="dxa" w:w="1600"/>
            <w:shd w:fill="EAF0FB" w:val="clear"/>
            <w:tcMar>
              <w:top w:type="dxa" w:w="80"/>
              <w:left w:type="dxa" w:w="100"/>
              <w:bottom w:type="dxa" w:w="80"/>
              <w:right w:type="dxa" w:w="100"/>
            </w:tcMar>
          </w:tcPr>
          <w:p>
            <w:r>
              <w:rPr>
                <w:b w:val="false"/>
                <w:bCs w:val="false"/>
              </w:rPr>
              <w:t xml:space="preserve">Days 13–14</w:t>
            </w:r>
          </w:p>
        </w:tc>
        <w:tc>
          <w:tcPr>
            <w:tcW w:type="dxa" w:w="5100"/>
            <w:shd w:fill="EAF0FB" w:val="clear"/>
            <w:tcMar>
              <w:top w:type="dxa" w:w="80"/>
              <w:left w:type="dxa" w:w="100"/>
              <w:bottom w:type="dxa" w:w="80"/>
              <w:right w:type="dxa" w:w="100"/>
            </w:tcMar>
          </w:tcPr>
          <w:p>
            <w:r>
              <w:rPr>
                <w:b w:val="false"/>
                <w:bCs w:val="false"/>
              </w:rPr>
              <w:t xml:space="preserve">Bug fixing, fallback assets, timing and rehearsal.</w:t>
            </w:r>
          </w:p>
        </w:tc>
      </w:tr>
    </w:tbl>
    <w:p>
      <w:pPr>
        <w:spacing w:after="150"/>
      </w:pPr>
    </w:p>
    <w:p>
      <w:pPr>
        <w:pStyle w:val="Heading2"/>
        <w:spacing w:after="150" w:before="300"/>
      </w:pPr>
      <w:r>
        <w:t xml:space="preserve">13.3 Compressed track (48-hour build)</w:t>
      </w:r>
    </w:p>
    <w:p>
      <w:pPr>
        <w:spacing w:after="160"/>
      </w:pPr>
      <w:r>
        <w:t xml:space="preserve">Where only 48 hours are available, the same architecture is compressed into 8 hour-gated phases: Contract &amp; repo freeze (0–2h) → independent core modules (2–8h) → first end-to-end integration (8–12h) → real demo artifacts (12–18h) → complete core MVP (18–26h) → one “wow” feature — mitigation comparison preferred, drift as fallback (26–32h) → feature freeze &amp; hardening (32–42h) → presentation &amp; backup (42–48h).</w:t>
      </w:r>
    </w:p>
    <w:p>
      <w:pPr>
        <w:pStyle w:val="Heading2"/>
        <w:spacing w:after="150" w:before="300"/>
      </w:pPr>
      <w:r>
        <w:t xml:space="preserve">13.4 Git &amp; collaboration rules</w:t>
      </w:r>
    </w:p>
    <w:p>
      <w:pPr>
        <w:pStyle w:val="ListParagraph"/>
        <w:numPr>
          <w:ilvl w:val="0"/>
          <w:numId w:val="1"/>
        </w:numPr>
        <w:spacing w:after="80"/>
      </w:pPr>
      <w:r>
        <w:t xml:space="preserve">main stays runnable at all times; no direct development on main.</w:t>
      </w:r>
    </w:p>
    <w:p>
      <w:pPr>
        <w:pStyle w:val="ListParagraph"/>
        <w:numPr>
          <w:ilvl w:val="0"/>
          <w:numId w:val="1"/>
        </w:numPr>
        <w:spacing w:after="80"/>
      </w:pPr>
      <w:r>
        <w:t xml:space="preserve">One long-lived branch per owner (backend, governance-fairness, governance-monitoring, frontend); short feature branches optional.</w:t>
      </w:r>
    </w:p>
    <w:p>
      <w:pPr>
        <w:pStyle w:val="ListParagraph"/>
        <w:numPr>
          <w:ilvl w:val="0"/>
          <w:numId w:val="1"/>
        </w:numPr>
        <w:spacing w:after="80"/>
      </w:pPr>
      <w:r>
        <w:t xml:space="preserve">Any change to shared schemas or API paths is posted to the team before merging.</w:t>
      </w:r>
    </w:p>
    <w:p>
      <w:pPr>
        <w:pStyle w:val="ListParagraph"/>
        <w:numPr>
          <w:ilvl w:val="0"/>
          <w:numId w:val="1"/>
        </w:numPr>
        <w:spacing w:after="80"/>
      </w:pPr>
      <w:r>
        <w:t xml:space="preserve">Merge at least once per day; every pull request states what changed, how to run it, sample input/output and known limitations.</w:t>
      </w:r>
    </w:p>
    <w:p>
      <w:pPr>
        <w:pStyle w:val="ListParagraph"/>
        <w:numPr>
          <w:ilvl w:val="0"/>
          <w:numId w:val="1"/>
        </w:numPr>
        <w:spacing w:after="80"/>
      </w:pPr>
      <w:r>
        <w:t xml:space="preserve">A single /demo_assets folder holds deterministic files used by every teammate.</w:t>
      </w:r>
    </w:p>
    <w:p>
      <w:pPr>
        <w:pStyle w:val="Heading1"/>
        <w:spacing w:after="200" w:before="400"/>
      </w:pPr>
      <w:r>
        <w:t xml:space="preserve">14. Final Demo Sequence</w:t>
      </w:r>
    </w:p>
    <w:p>
      <w:pPr>
        <w:pStyle w:val="ListParagraph"/>
        <w:numPr>
          <w:ilvl w:val="0"/>
          <w:numId w:val="1"/>
        </w:numPr>
        <w:spacing w:after="80"/>
      </w:pPr>
      <w:r>
        <w:t xml:space="preserve">1. Open the TrustLayer dashboard and show LoanApproval-v1 as “Under Review.”</w:t>
      </w:r>
    </w:p>
    <w:p>
      <w:pPr>
        <w:pStyle w:val="ListParagraph"/>
        <w:numPr>
          <w:ilvl w:val="0"/>
          <w:numId w:val="1"/>
        </w:numPr>
        <w:spacing w:after="80"/>
      </w:pPr>
      <w:r>
        <w:t xml:space="preserve">2. Open model metadata: use case, owner, version, target and sensitive attributes.</w:t>
      </w:r>
    </w:p>
    <w:p>
      <w:pPr>
        <w:pStyle w:val="ListParagraph"/>
        <w:numPr>
          <w:ilvl w:val="0"/>
          <w:numId w:val="1"/>
        </w:numPr>
        <w:spacing w:after="80"/>
      </w:pPr>
      <w:r>
        <w:t xml:space="preserve">3. Run the automated audit; show strong overall accuracy so the model initially looks good.</w:t>
      </w:r>
    </w:p>
    <w:p>
      <w:pPr>
        <w:pStyle w:val="ListParagraph"/>
        <w:numPr>
          <w:ilvl w:val="0"/>
          <w:numId w:val="1"/>
        </w:numPr>
        <w:spacing w:after="80"/>
      </w:pPr>
      <w:r>
        <w:t xml:space="preserve">4. Open Fairness: reveal the selection-rate / TPR disparity and the worst intersectional subgroup.</w:t>
      </w:r>
    </w:p>
    <w:p>
      <w:pPr>
        <w:pStyle w:val="ListParagraph"/>
        <w:numPr>
          <w:ilvl w:val="0"/>
          <w:numId w:val="1"/>
        </w:numPr>
        <w:spacing w:after="80"/>
      </w:pPr>
      <w:r>
        <w:t xml:space="preserve">5. Open Explainability: show global drivers and one individual SHAP explanation; flag a possible proxy feature.</w:t>
      </w:r>
    </w:p>
    <w:p>
      <w:pPr>
        <w:pStyle w:val="ListParagraph"/>
        <w:numPr>
          <w:ilvl w:val="0"/>
          <w:numId w:val="1"/>
        </w:numPr>
        <w:spacing w:after="80"/>
      </w:pPr>
      <w:r>
        <w:t xml:space="preserve">6. Show robustness results and the monitoring timeline; switch to Month 2 to trigger data/fairness drift.</w:t>
      </w:r>
    </w:p>
    <w:p>
      <w:pPr>
        <w:pStyle w:val="ListParagraph"/>
        <w:numPr>
          <w:ilvl w:val="0"/>
          <w:numId w:val="1"/>
        </w:numPr>
        <w:spacing w:after="80"/>
      </w:pPr>
      <w:r>
        <w:t xml:space="preserve">7. Open the Policy Decision screen: governance rules BLOCK deployment; show exactly which rules failed.</w:t>
      </w:r>
    </w:p>
    <w:p>
      <w:pPr>
        <w:pStyle w:val="ListParagraph"/>
        <w:numPr>
          <w:ilvl w:val="0"/>
          <w:numId w:val="1"/>
        </w:numPr>
        <w:spacing w:after="80"/>
      </w:pPr>
      <w:r>
        <w:t xml:space="preserve">8. Compare the mitigated model: fairness improves with a small, transparent performance trade-off.</w:t>
      </w:r>
    </w:p>
    <w:p>
      <w:pPr>
        <w:pStyle w:val="ListParagraph"/>
        <w:numPr>
          <w:ilvl w:val="0"/>
          <w:numId w:val="1"/>
        </w:numPr>
        <w:spacing w:after="80"/>
      </w:pPr>
      <w:r>
        <w:t xml:space="preserve">9. Re-audit, show the PASS/REVIEW status, record human approval, and generate the model card / audit report.</w:t>
      </w:r>
    </w:p>
    <w:p>
      <w:pPr>
        <w:pStyle w:val="Heading1"/>
        <w:spacing w:after="200" w:before="400"/>
      </w:pPr>
      <w:r>
        <w:t xml:space="preserve">15. Risks &amp; Mitigations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tblHeader/>
        </w:trPr>
        <w:tc>
          <w:tcPr>
            <w:tcW w:type="dxa" w:w="3900"/>
            <w:shd w:fill="1F2A44" w:val="clear"/>
            <w:tcMar>
              <w:top w:type="dxa" w:w="80"/>
              <w:left w:type="dxa" w:w="100"/>
              <w:bottom w:type="dxa" w:w="80"/>
              <w:right w:type="dxa" w:w="100"/>
            </w:tcMar>
          </w:tcPr>
          <w:p>
            <w:r>
              <w:rPr>
                <w:b/>
                <w:bCs/>
              </w:rPr>
              <w:t xml:space="preserve">Risk</w:t>
            </w:r>
          </w:p>
        </w:tc>
        <w:tc>
          <w:tcPr>
            <w:tcW w:type="dxa" w:w="6000"/>
            <w:shd w:fill="1F2A44" w:val="clear"/>
            <w:tcMar>
              <w:top w:type="dxa" w:w="80"/>
              <w:left w:type="dxa" w:w="100"/>
              <w:bottom w:type="dxa" w:w="80"/>
              <w:right w:type="dxa" w:w="100"/>
            </w:tcMar>
          </w:tcPr>
          <w:p>
            <w:r>
              <w:rPr>
                <w:b/>
                <w:bCs/>
              </w:rPr>
              <w:t xml:space="preserve">Mitigation</w:t>
            </w:r>
          </w:p>
        </w:tc>
      </w:tr>
      <w:tr>
        <w:tc>
          <w:tcPr>
            <w:tcW w:type="dxa" w:w="3900"/>
            <w:tcMar>
              <w:top w:type="dxa" w:w="80"/>
              <w:left w:type="dxa" w:w="100"/>
              <w:bottom w:type="dxa" w:w="80"/>
              <w:right w:type="dxa" w:w="100"/>
            </w:tcMar>
          </w:tcPr>
          <w:p>
            <w:r>
              <w:rPr>
                <w:b w:val="false"/>
                <w:bCs w:val="false"/>
              </w:rPr>
              <w:t xml:space="preserve">Scope creep beyond the binary-classification MVP</w:t>
            </w:r>
          </w:p>
        </w:tc>
        <w:tc>
          <w:tcPr>
            <w:tcW w:type="dxa" w:w="6000"/>
            <w:tcMar>
              <w:top w:type="dxa" w:w="80"/>
              <w:left w:type="dxa" w:w="100"/>
              <w:bottom w:type="dxa" w:w="80"/>
              <w:right w:type="dxa" w:w="100"/>
            </w:tcMar>
          </w:tcPr>
          <w:p>
            <w:r>
              <w:rPr>
                <w:b w:val="false"/>
                <w:bCs w:val="false"/>
              </w:rPr>
              <w:t xml:space="preserve">Explicit out-of-scope list (Section 4); feature freeze checkpoints in every schedule</w:t>
            </w:r>
          </w:p>
        </w:tc>
      </w:tr>
      <w:tr>
        <w:tc>
          <w:tcPr>
            <w:tcW w:type="dxa" w:w="3900"/>
            <w:shd w:fill="EAF0FB" w:val="clear"/>
            <w:tcMar>
              <w:top w:type="dxa" w:w="80"/>
              <w:left w:type="dxa" w:w="100"/>
              <w:bottom w:type="dxa" w:w="80"/>
              <w:right w:type="dxa" w:w="100"/>
            </w:tcMar>
          </w:tcPr>
          <w:p>
            <w:r>
              <w:rPr>
                <w:b w:val="false"/>
                <w:bCs w:val="false"/>
              </w:rPr>
              <w:t xml:space="preserve">Live SHAP/model computation fails during judging</w:t>
            </w:r>
          </w:p>
        </w:tc>
        <w:tc>
          <w:tcPr>
            <w:tcW w:type="dxa" w:w="6000"/>
            <w:shd w:fill="EAF0FB" w:val="clear"/>
            <w:tcMar>
              <w:top w:type="dxa" w:w="80"/>
              <w:left w:type="dxa" w:w="100"/>
              <w:bottom w:type="dxa" w:w="80"/>
              <w:right w:type="dxa" w:w="100"/>
            </w:tcMar>
          </w:tcPr>
          <w:p>
            <w:r>
              <w:rPr>
                <w:b w:val="false"/>
                <w:bCs w:val="false"/>
              </w:rPr>
              <w:t xml:space="preserve">Cached/fallback results and a recorded backup demo video</w:t>
            </w:r>
          </w:p>
        </w:tc>
      </w:tr>
      <w:tr>
        <w:tc>
          <w:tcPr>
            <w:tcW w:type="dxa" w:w="3900"/>
            <w:tcMar>
              <w:top w:type="dxa" w:w="80"/>
              <w:left w:type="dxa" w:w="100"/>
              <w:bottom w:type="dxa" w:w="80"/>
              <w:right w:type="dxa" w:w="100"/>
            </w:tcMar>
          </w:tcPr>
          <w:p>
            <w:r>
              <w:rPr>
                <w:b w:val="false"/>
                <w:bCs w:val="false"/>
              </w:rPr>
              <w:t xml:space="preserve">Team blocked waiting on final trained models</w:t>
            </w:r>
          </w:p>
        </w:tc>
        <w:tc>
          <w:tcPr>
            <w:tcW w:type="dxa" w:w="6000"/>
            <w:tcMar>
              <w:top w:type="dxa" w:w="80"/>
              <w:left w:type="dxa" w:w="100"/>
              <w:bottom w:type="dxa" w:w="80"/>
              <w:right w:type="dxa" w:w="100"/>
            </w:tcMar>
          </w:tcPr>
          <w:p>
            <w:r>
              <w:rPr>
                <w:b w:val="false"/>
                <w:bCs w:val="false"/>
              </w:rPr>
              <w:t xml:space="preserve">Shared mock JSON/CSV contract frozen on Day 1 / Hour 2; platform team never blocks on final artifacts</w:t>
            </w:r>
          </w:p>
        </w:tc>
      </w:tr>
      <w:tr>
        <w:tc>
          <w:tcPr>
            <w:tcW w:type="dxa" w:w="3900"/>
            <w:shd w:fill="EAF0FB" w:val="clear"/>
            <w:tcMar>
              <w:top w:type="dxa" w:w="80"/>
              <w:left w:type="dxa" w:w="100"/>
              <w:bottom w:type="dxa" w:w="80"/>
              <w:right w:type="dxa" w:w="100"/>
            </w:tcMar>
          </w:tcPr>
          <w:p>
            <w:r>
              <w:rPr>
                <w:b w:val="false"/>
                <w:bCs w:val="false"/>
              </w:rPr>
              <w:t xml:space="preserve">Fairness numbers appear incorrect or unconvincing to judges</w:t>
            </w:r>
          </w:p>
        </w:tc>
        <w:tc>
          <w:tcPr>
            <w:tcW w:type="dxa" w:w="6000"/>
            <w:shd w:fill="EAF0FB" w:val="clear"/>
            <w:tcMar>
              <w:top w:type="dxa" w:w="80"/>
              <w:left w:type="dxa" w:w="100"/>
              <w:bottom w:type="dxa" w:w="80"/>
              <w:right w:type="dxa" w:w="100"/>
            </w:tcMar>
          </w:tcPr>
          <w:p>
            <w:r>
              <w:rPr>
                <w:b w:val="false"/>
                <w:bCs w:val="false"/>
              </w:rPr>
              <w:t xml:space="preserve">Metrics unit-tested against hand-calculated fixtures before demo</w:t>
            </w:r>
          </w:p>
        </w:tc>
      </w:tr>
      <w:tr>
        <w:tc>
          <w:tcPr>
            <w:tcW w:type="dxa" w:w="3900"/>
            <w:tcMar>
              <w:top w:type="dxa" w:w="80"/>
              <w:left w:type="dxa" w:w="100"/>
              <w:bottom w:type="dxa" w:w="80"/>
              <w:right w:type="dxa" w:w="100"/>
            </w:tcMar>
          </w:tcPr>
          <w:p>
            <w:r>
              <w:rPr>
                <w:b w:val="false"/>
                <w:bCs w:val="false"/>
              </w:rPr>
              <w:t xml:space="preserve">Overclaiming legal/ethical compliance</w:t>
            </w:r>
          </w:p>
        </w:tc>
        <w:tc>
          <w:tcPr>
            <w:tcW w:type="dxa" w:w="6000"/>
            <w:tcMar>
              <w:top w:type="dxa" w:w="80"/>
              <w:left w:type="dxa" w:w="100"/>
              <w:bottom w:type="dxa" w:w="80"/>
              <w:right w:type="dxa" w:w="100"/>
            </w:tcMar>
          </w:tcPr>
          <w:p>
            <w:r>
              <w:rPr>
                <w:b w:val="false"/>
                <w:bCs w:val="false"/>
              </w:rPr>
              <w:t xml:space="preserve">All policy and framework-mapping language framed as organisational evidence support, never certification</w:t>
            </w:r>
          </w:p>
        </w:tc>
      </w:tr>
      <w:tr>
        <w:tc>
          <w:tcPr>
            <w:tcW w:type="dxa" w:w="3900"/>
            <w:shd w:fill="EAF0FB" w:val="clear"/>
            <w:tcMar>
              <w:top w:type="dxa" w:w="80"/>
              <w:left w:type="dxa" w:w="100"/>
              <w:bottom w:type="dxa" w:w="80"/>
              <w:right w:type="dxa" w:w="100"/>
            </w:tcMar>
          </w:tcPr>
          <w:p>
            <w:r>
              <w:rPr>
                <w:b w:val="false"/>
                <w:bCs w:val="false"/>
              </w:rPr>
              <w:t xml:space="preserve">Market perception that this is “yet another dashboard”</w:t>
            </w:r>
          </w:p>
        </w:tc>
        <w:tc>
          <w:tcPr>
            <w:tcW w:type="dxa" w:w="6000"/>
            <w:shd w:fill="EAF0FB" w:val="clear"/>
            <w:tcMar>
              <w:top w:type="dxa" w:w="80"/>
              <w:left w:type="dxa" w:w="100"/>
              <w:bottom w:type="dxa" w:w="80"/>
              <w:right w:type="dxa" w:w="100"/>
            </w:tcMar>
          </w:tcPr>
          <w:p>
            <w:r>
              <w:rPr>
                <w:b w:val="false"/>
                <w:bCs w:val="false"/>
              </w:rPr>
              <w:t xml:space="preserve">Lead with the CI/CD-style governance gate and continuous re-audit loop as the differentiator, not static reporting</w:t>
            </w:r>
          </w:p>
        </w:tc>
      </w:tr>
    </w:tbl>
    <w:p>
      <w:pPr>
        <w:pStyle w:val="Heading1"/>
        <w:spacing w:after="200" w:before="400"/>
      </w:pPr>
      <w:r>
        <w:t xml:space="preserve">16. Regulatory &amp; Standards Framing</w:t>
      </w:r>
    </w:p>
    <w:p>
      <w:pPr>
        <w:spacing w:after="160"/>
      </w:pPr>
      <w:r>
        <w:t xml:space="preserve">TrustLayer does not generate legal opinions or certify compliance. It maps technical evidence and governance controls it already produces to recognised frameworks, so compliance teams can identify gaps:</w:t>
      </w:r>
    </w:p>
    <w:p>
      <w:pPr>
        <w:pStyle w:val="ListParagraph"/>
        <w:numPr>
          <w:ilvl w:val="0"/>
          <w:numId w:val="1"/>
        </w:numPr>
        <w:spacing w:after="80"/>
      </w:pPr>
      <w:r>
        <w:t xml:space="preserve">NIST AI RMF — evidence organised under Govern / Map / Measure / Manage.</w:t>
      </w:r>
    </w:p>
    <w:p>
      <w:pPr>
        <w:pStyle w:val="ListParagraph"/>
        <w:numPr>
          <w:ilvl w:val="0"/>
          <w:numId w:val="1"/>
        </w:numPr>
        <w:spacing w:after="80"/>
      </w:pPr>
      <w:r>
        <w:t xml:space="preserve">ISO/IEC 42001 — evidence for AI inventory, risk assessment, monitoring, roles &amp; responsibilities, and incident logs.</w:t>
      </w:r>
    </w:p>
    <w:p>
      <w:pPr>
        <w:pStyle w:val="ListParagraph"/>
        <w:numPr>
          <w:ilvl w:val="0"/>
          <w:numId w:val="1"/>
        </w:numPr>
        <w:spacing w:after="80"/>
      </w:pPr>
      <w:r>
        <w:t xml:space="preserve">India — positioned as a Responsible-AI assurance platform aligned with IndiaAI/NITI Aayog guidance, while also mapping evidence to NIST AI RMF and ISO/IEC 42001 for organisations with global obligations.</w:t>
      </w:r>
    </w:p>
    <w:p>
      <w:pPr>
        <w:spacing w:after="160"/>
      </w:pPr>
      <w:r>
        <w:rPr>
          <w:i/>
          <w:iCs/>
        </w:rPr>
        <w:t xml:space="preserve">Any disparity or drift finding is presented as a review signal, not automatic proof of unlawful discrimination or non-compliance — context and applicable law always require human judgement.</w:t>
      </w:r>
    </w:p>
    <w:p>
      <w:pPr>
        <w:pStyle w:val="Heading1"/>
        <w:spacing w:after="200" w:before="400"/>
      </w:pPr>
      <w:r>
        <w:t xml:space="preserve">17. Roadmap Beyond the Hackathon MVP</w:t>
      </w:r>
    </w:p>
    <w:p>
      <w:pPr>
        <w:pStyle w:val="ListParagraph"/>
        <w:numPr>
          <w:ilvl w:val="0"/>
          <w:numId w:val="1"/>
        </w:numPr>
        <w:spacing w:after="80"/>
      </w:pPr>
      <w:r>
        <w:t xml:space="preserve">Phase 2: Automated bias mitigation (reweighting, threshold adjustment) built into the platform rather than supplied by the data team.</w:t>
      </w:r>
    </w:p>
    <w:p>
      <w:pPr>
        <w:pStyle w:val="ListParagraph"/>
        <w:numPr>
          <w:ilvl w:val="0"/>
          <w:numId w:val="1"/>
        </w:numPr>
        <w:spacing w:after="80"/>
      </w:pPr>
      <w:r>
        <w:t xml:space="preserve">Phase 2: Support for additional model formats (PyTorch, TensorFlow, REST-served models).</w:t>
      </w:r>
    </w:p>
    <w:p>
      <w:pPr>
        <w:pStyle w:val="ListParagraph"/>
        <w:numPr>
          <w:ilvl w:val="0"/>
          <w:numId w:val="1"/>
        </w:numPr>
        <w:spacing w:after="80"/>
      </w:pPr>
      <w:r>
        <w:t xml:space="preserve">Phase 3: Generative-AI / LLM governance module — hallucination, toxicity, prompt-injection, PII-leakage and groundedness testing, aligned with NIST's Generative AI profile.</w:t>
      </w:r>
    </w:p>
    <w:p>
      <w:pPr>
        <w:pStyle w:val="ListParagraph"/>
        <w:numPr>
          <w:ilvl w:val="0"/>
          <w:numId w:val="1"/>
        </w:numPr>
        <w:spacing w:after="80"/>
      </w:pPr>
      <w:r>
        <w:t xml:space="preserve">Phase 3: Role-based access control, authentication and multi-tenant organisation support.</w:t>
      </w:r>
    </w:p>
    <w:p>
      <w:pPr>
        <w:pStyle w:val="ListParagraph"/>
        <w:numPr>
          <w:ilvl w:val="0"/>
          <w:numId w:val="1"/>
        </w:numPr>
        <w:spacing w:after="80"/>
      </w:pPr>
      <w:r>
        <w:t xml:space="preserve">Phase 3: Real CI/CD integration so the policy engine gates production deployment pipelines directly.</w:t>
      </w:r>
    </w:p>
    <w:p>
      <w:pPr>
        <w:pStyle w:val="Heading1"/>
        <w:spacing w:after="200" w:before="400"/>
      </w:pPr>
      <w:r>
        <w:t xml:space="preserve">18. Definition of Done</w:t>
      </w:r>
    </w:p>
    <w:p>
      <w:pPr>
        <w:pStyle w:val="ListParagraph"/>
        <w:numPr>
          <w:ilvl w:val="0"/>
          <w:numId w:val="1"/>
        </w:numPr>
        <w:spacing w:after="80"/>
      </w:pPr>
      <w:r>
        <w:t xml:space="preserve">A teammate can clone the repo, follow the README and launch the demo locally without undocumented setup.</w:t>
      </w:r>
    </w:p>
    <w:p>
      <w:pPr>
        <w:pStyle w:val="ListParagraph"/>
        <w:numPr>
          <w:ilvl w:val="0"/>
          <w:numId w:val="1"/>
        </w:numPr>
        <w:spacing w:after="80"/>
      </w:pPr>
      <w:r>
        <w:t xml:space="preserve">A model can be registered and audited end-to-end from the UI.</w:t>
      </w:r>
    </w:p>
    <w:p>
      <w:pPr>
        <w:pStyle w:val="ListParagraph"/>
        <w:numPr>
          <w:ilvl w:val="0"/>
          <w:numId w:val="1"/>
        </w:numPr>
        <w:spacing w:after="80"/>
      </w:pPr>
      <w:r>
        <w:t xml:space="preserve">Fairness metrics are numerically validated against hand-calculated examples.</w:t>
      </w:r>
    </w:p>
    <w:p>
      <w:pPr>
        <w:pStyle w:val="ListParagraph"/>
        <w:numPr>
          <w:ilvl w:val="0"/>
          <w:numId w:val="1"/>
        </w:numPr>
        <w:spacing w:after="80"/>
      </w:pPr>
      <w:r>
        <w:t xml:space="preserve">At least one local SHAP explanation and one global explanation render correctly.</w:t>
      </w:r>
    </w:p>
    <w:p>
      <w:pPr>
        <w:pStyle w:val="ListParagraph"/>
        <w:numPr>
          <w:ilvl w:val="0"/>
          <w:numId w:val="1"/>
        </w:numPr>
        <w:spacing w:after="80"/>
      </w:pPr>
      <w:r>
        <w:t xml:space="preserve">A known Month-2 dataset reliably triggers a drift alert.</w:t>
      </w:r>
    </w:p>
    <w:p>
      <w:pPr>
        <w:pStyle w:val="ListParagraph"/>
        <w:numPr>
          <w:ilvl w:val="0"/>
          <w:numId w:val="1"/>
        </w:numPr>
        <w:spacing w:after="80"/>
      </w:pPr>
      <w:r>
        <w:t xml:space="preserve">Policy rules produce deterministic PASS / REVIEW / BLOCK outcomes with reasons.</w:t>
      </w:r>
    </w:p>
    <w:p>
      <w:pPr>
        <w:pStyle w:val="ListParagraph"/>
        <w:numPr>
          <w:ilvl w:val="0"/>
          <w:numId w:val="1"/>
        </w:numPr>
        <w:spacing w:after="80"/>
      </w:pPr>
      <w:r>
        <w:t xml:space="preserve">The biased and improved models can be compared side by side.</w:t>
      </w:r>
    </w:p>
    <w:p>
      <w:pPr>
        <w:pStyle w:val="ListParagraph"/>
        <w:numPr>
          <w:ilvl w:val="0"/>
          <w:numId w:val="1"/>
        </w:numPr>
        <w:spacing w:after="80"/>
      </w:pPr>
      <w:r>
        <w:t xml:space="preserve">The human reviewer's decision is recorded.</w:t>
      </w:r>
    </w:p>
    <w:p>
      <w:pPr>
        <w:pStyle w:val="ListParagraph"/>
        <w:numPr>
          <w:ilvl w:val="0"/>
          <w:numId w:val="1"/>
        </w:numPr>
        <w:spacing w:after="80"/>
      </w:pPr>
      <w:r>
        <w:t xml:space="preserve">An audit report / model card is generated and downloadable.</w:t>
      </w:r>
    </w:p>
    <w:p>
      <w:pPr>
        <w:pStyle w:val="ListParagraph"/>
        <w:numPr>
          <w:ilvl w:val="0"/>
          <w:numId w:val="1"/>
        </w:numPr>
        <w:spacing w:after="80"/>
      </w:pPr>
      <w:r>
        <w:t xml:space="preserve">The complete demo runs in under five minutes and has a fallback path if a live computation fails.</w:t>
      </w:r>
    </w:p>
    <w:p>
      <w:pPr>
        <w:pStyle w:val="Heading1"/>
        <w:spacing w:after="200" w:before="400"/>
      </w:pPr>
      <w:r>
        <w:t xml:space="preserve">19. Glossary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2A44" w:val="clear"/>
            <w:tcMar>
              <w:top w:type="dxa" w:w="80"/>
              <w:left w:type="dxa" w:w="100"/>
              <w:bottom w:type="dxa" w:w="80"/>
              <w:right w:type="dxa" w:w="100"/>
            </w:tcMar>
          </w:tcPr>
          <w:p>
            <w:r>
              <w:rPr>
                <w:b/>
                <w:bCs/>
              </w:rPr>
              <w:t xml:space="preserve">Term</w:t>
            </w:r>
          </w:p>
        </w:tc>
        <w:tc>
          <w:tcPr>
            <w:tcW w:type="dxa" w:w="7300"/>
            <w:shd w:fill="1F2A44" w:val="clear"/>
            <w:tcMar>
              <w:top w:type="dxa" w:w="80"/>
              <w:left w:type="dxa" w:w="100"/>
              <w:bottom w:type="dxa" w:w="80"/>
              <w:right w:type="dxa" w:w="100"/>
            </w:tcMar>
          </w:tcPr>
          <w:p>
            <w:r>
              <w:rPr>
                <w:b/>
                <w:bCs/>
              </w:rPr>
              <w:t xml:space="preserve">Definition</w:t>
            </w:r>
          </w:p>
        </w:tc>
      </w:tr>
      <w:tr>
        <w:tc>
          <w:tcPr>
            <w:tcW w:type="dxa" w:w="2600"/>
            <w:tcMar>
              <w:top w:type="dxa" w:w="80"/>
              <w:left w:type="dxa" w:w="100"/>
              <w:bottom w:type="dxa" w:w="80"/>
              <w:right w:type="dxa" w:w="100"/>
            </w:tcMar>
          </w:tcPr>
          <w:p>
            <w:r>
              <w:rPr>
                <w:b w:val="false"/>
                <w:bCs w:val="false"/>
              </w:rPr>
              <w:t xml:space="preserve">Demographic parity</w:t>
            </w:r>
          </w:p>
        </w:tc>
        <w:tc>
          <w:tcPr>
            <w:tcW w:type="dxa" w:w="7300"/>
            <w:tcMar>
              <w:top w:type="dxa" w:w="80"/>
              <w:left w:type="dxa" w:w="100"/>
              <w:bottom w:type="dxa" w:w="80"/>
              <w:right w:type="dxa" w:w="100"/>
            </w:tcMar>
          </w:tcPr>
          <w:p>
            <w:r>
              <w:rPr>
                <w:b w:val="false"/>
                <w:bCs w:val="false"/>
              </w:rPr>
              <w:t xml:space="preserve">Whether different groups receive the positive outcome at similar rates.</w:t>
            </w:r>
          </w:p>
        </w:tc>
      </w:tr>
      <w:tr>
        <w:tc>
          <w:tcPr>
            <w:tcW w:type="dxa" w:w="2600"/>
            <w:shd w:fill="EAF0FB" w:val="clear"/>
            <w:tcMar>
              <w:top w:type="dxa" w:w="80"/>
              <w:left w:type="dxa" w:w="100"/>
              <w:bottom w:type="dxa" w:w="80"/>
              <w:right w:type="dxa" w:w="100"/>
            </w:tcMar>
          </w:tcPr>
          <w:p>
            <w:r>
              <w:rPr>
                <w:b w:val="false"/>
                <w:bCs w:val="false"/>
              </w:rPr>
              <w:t xml:space="preserve">Disparate impact ratio</w:t>
            </w:r>
          </w:p>
        </w:tc>
        <w:tc>
          <w:tcPr>
            <w:tcW w:type="dxa" w:w="7300"/>
            <w:shd w:fill="EAF0FB" w:val="clear"/>
            <w:tcMar>
              <w:top w:type="dxa" w:w="80"/>
              <w:left w:type="dxa" w:w="100"/>
              <w:bottom w:type="dxa" w:w="80"/>
              <w:right w:type="dxa" w:w="100"/>
            </w:tcMar>
          </w:tcPr>
          <w:p>
            <w:r>
              <w:rPr>
                <w:b w:val="false"/>
                <w:bCs w:val="false"/>
              </w:rPr>
              <w:t xml:space="preserve">Ratio of the positive-outcome rate of one group to a reference group.</w:t>
            </w:r>
          </w:p>
        </w:tc>
      </w:tr>
      <w:tr>
        <w:tc>
          <w:tcPr>
            <w:tcW w:type="dxa" w:w="2600"/>
            <w:tcMar>
              <w:top w:type="dxa" w:w="80"/>
              <w:left w:type="dxa" w:w="100"/>
              <w:bottom w:type="dxa" w:w="80"/>
              <w:right w:type="dxa" w:w="100"/>
            </w:tcMar>
          </w:tcPr>
          <w:p>
            <w:r>
              <w:rPr>
                <w:b w:val="false"/>
                <w:bCs w:val="false"/>
              </w:rPr>
              <w:t xml:space="preserve">Equal opportunity / TPR gap</w:t>
            </w:r>
          </w:p>
        </w:tc>
        <w:tc>
          <w:tcPr>
            <w:tcW w:type="dxa" w:w="7300"/>
            <w:tcMar>
              <w:top w:type="dxa" w:w="80"/>
              <w:left w:type="dxa" w:w="100"/>
              <w:bottom w:type="dxa" w:w="80"/>
              <w:right w:type="dxa" w:w="100"/>
            </w:tcMar>
          </w:tcPr>
          <w:p>
            <w:r>
              <w:rPr>
                <w:b w:val="false"/>
                <w:bCs w:val="false"/>
              </w:rPr>
              <w:t xml:space="preserve">Difference in true-positive rate (correctly approved among those who should be) between groups.</w:t>
            </w:r>
          </w:p>
        </w:tc>
      </w:tr>
      <w:tr>
        <w:tc>
          <w:tcPr>
            <w:tcW w:type="dxa" w:w="2600"/>
            <w:shd w:fill="EAF0FB" w:val="clear"/>
            <w:tcMar>
              <w:top w:type="dxa" w:w="80"/>
              <w:left w:type="dxa" w:w="100"/>
              <w:bottom w:type="dxa" w:w="80"/>
              <w:right w:type="dxa" w:w="100"/>
            </w:tcMar>
          </w:tcPr>
          <w:p>
            <w:r>
              <w:rPr>
                <w:b w:val="false"/>
                <w:bCs w:val="false"/>
              </w:rPr>
              <w:t xml:space="preserve">SHAP</w:t>
            </w:r>
          </w:p>
        </w:tc>
        <w:tc>
          <w:tcPr>
            <w:tcW w:type="dxa" w:w="7300"/>
            <w:shd w:fill="EAF0FB" w:val="clear"/>
            <w:tcMar>
              <w:top w:type="dxa" w:w="80"/>
              <w:left w:type="dxa" w:w="100"/>
              <w:bottom w:type="dxa" w:w="80"/>
              <w:right w:type="dxa" w:w="100"/>
            </w:tcMar>
          </w:tcPr>
          <w:p>
            <w:r>
              <w:rPr>
                <w:b w:val="false"/>
                <w:bCs w:val="false"/>
              </w:rPr>
              <w:t xml:space="preserve">SHapley Additive exPlanations — a method for attributing a model prediction to its input features.</w:t>
            </w:r>
          </w:p>
        </w:tc>
      </w:tr>
      <w:tr>
        <w:tc>
          <w:tcPr>
            <w:tcW w:type="dxa" w:w="2600"/>
            <w:tcMar>
              <w:top w:type="dxa" w:w="80"/>
              <w:left w:type="dxa" w:w="100"/>
              <w:bottom w:type="dxa" w:w="80"/>
              <w:right w:type="dxa" w:w="100"/>
            </w:tcMar>
          </w:tcPr>
          <w:p>
            <w:r>
              <w:rPr>
                <w:b w:val="false"/>
                <w:bCs w:val="false"/>
              </w:rPr>
              <w:t xml:space="preserve">Data drift</w:t>
            </w:r>
          </w:p>
        </w:tc>
        <w:tc>
          <w:tcPr>
            <w:tcW w:type="dxa" w:w="7300"/>
            <w:tcMar>
              <w:top w:type="dxa" w:w="80"/>
              <w:left w:type="dxa" w:w="100"/>
              <w:bottom w:type="dxa" w:w="80"/>
              <w:right w:type="dxa" w:w="100"/>
            </w:tcMar>
          </w:tcPr>
          <w:p>
            <w:r>
              <w:rPr>
                <w:b w:val="false"/>
                <w:bCs w:val="false"/>
              </w:rPr>
              <w:t xml:space="preserve">A change in the distribution of input features between training/reference data and current production data.</w:t>
            </w:r>
          </w:p>
        </w:tc>
      </w:tr>
      <w:tr>
        <w:tc>
          <w:tcPr>
            <w:tcW w:type="dxa" w:w="2600"/>
            <w:shd w:fill="EAF0FB" w:val="clear"/>
            <w:tcMar>
              <w:top w:type="dxa" w:w="80"/>
              <w:left w:type="dxa" w:w="100"/>
              <w:bottom w:type="dxa" w:w="80"/>
              <w:right w:type="dxa" w:w="100"/>
            </w:tcMar>
          </w:tcPr>
          <w:p>
            <w:r>
              <w:rPr>
                <w:b w:val="false"/>
                <w:bCs w:val="false"/>
              </w:rPr>
              <w:t xml:space="preserve">Fairness drift</w:t>
            </w:r>
          </w:p>
        </w:tc>
        <w:tc>
          <w:tcPr>
            <w:tcW w:type="dxa" w:w="7300"/>
            <w:shd w:fill="EAF0FB" w:val="clear"/>
            <w:tcMar>
              <w:top w:type="dxa" w:w="80"/>
              <w:left w:type="dxa" w:w="100"/>
              <w:bottom w:type="dxa" w:w="80"/>
              <w:right w:type="dxa" w:w="100"/>
            </w:tcMar>
          </w:tcPr>
          <w:p>
            <w:r>
              <w:rPr>
                <w:b w:val="false"/>
                <w:bCs w:val="false"/>
              </w:rPr>
              <w:t xml:space="preserve">A change in fairness metrics over time after deployment.</w:t>
            </w:r>
          </w:p>
        </w:tc>
      </w:tr>
      <w:tr>
        <w:tc>
          <w:tcPr>
            <w:tcW w:type="dxa" w:w="2600"/>
            <w:tcMar>
              <w:top w:type="dxa" w:w="80"/>
              <w:left w:type="dxa" w:w="100"/>
              <w:bottom w:type="dxa" w:w="80"/>
              <w:right w:type="dxa" w:w="100"/>
            </w:tcMar>
          </w:tcPr>
          <w:p>
            <w:r>
              <w:rPr>
                <w:b w:val="false"/>
                <w:bCs w:val="false"/>
              </w:rPr>
              <w:t xml:space="preserve">Proxy feature</w:t>
            </w:r>
          </w:p>
        </w:tc>
        <w:tc>
          <w:tcPr>
            <w:tcW w:type="dxa" w:w="7300"/>
            <w:tcMar>
              <w:top w:type="dxa" w:w="80"/>
              <w:left w:type="dxa" w:w="100"/>
              <w:bottom w:type="dxa" w:w="80"/>
              <w:right w:type="dxa" w:w="100"/>
            </w:tcMar>
          </w:tcPr>
          <w:p>
            <w:r>
              <w:rPr>
                <w:b w:val="false"/>
                <w:bCs w:val="false"/>
              </w:rPr>
              <w:t xml:space="preserve">A non-sensitive feature that correlates strongly with a sensitive attribute and can indirectly encode it.</w:t>
            </w:r>
          </w:p>
        </w:tc>
      </w:tr>
      <w:tr>
        <w:tc>
          <w:tcPr>
            <w:tcW w:type="dxa" w:w="2600"/>
            <w:shd w:fill="EAF0FB" w:val="clear"/>
            <w:tcMar>
              <w:top w:type="dxa" w:w="80"/>
              <w:left w:type="dxa" w:w="100"/>
              <w:bottom w:type="dxa" w:w="80"/>
              <w:right w:type="dxa" w:w="100"/>
            </w:tcMar>
          </w:tcPr>
          <w:p>
            <w:r>
              <w:rPr>
                <w:b w:val="false"/>
                <w:bCs w:val="false"/>
              </w:rPr>
              <w:t xml:space="preserve">Model card</w:t>
            </w:r>
          </w:p>
        </w:tc>
        <w:tc>
          <w:tcPr>
            <w:tcW w:type="dxa" w:w="7300"/>
            <w:shd w:fill="EAF0FB" w:val="clear"/>
            <w:tcMar>
              <w:top w:type="dxa" w:w="80"/>
              <w:left w:type="dxa" w:w="100"/>
              <w:bottom w:type="dxa" w:w="80"/>
              <w:right w:type="dxa" w:w="100"/>
            </w:tcMar>
          </w:tcPr>
          <w:p>
            <w:r>
              <w:rPr>
                <w:b w:val="false"/>
                <w:bCs w:val="false"/>
              </w:rPr>
              <w:t xml:space="preserve">A short, structured document summarising a model's purpose, data, performance, limitations and fairness status.</w:t>
            </w:r>
          </w:p>
        </w:tc>
      </w:tr>
      <w:tr>
        <w:tc>
          <w:tcPr>
            <w:tcW w:type="dxa" w:w="2600"/>
            <w:tcMar>
              <w:top w:type="dxa" w:w="80"/>
              <w:left w:type="dxa" w:w="100"/>
              <w:bottom w:type="dxa" w:w="80"/>
              <w:right w:type="dxa" w:w="100"/>
            </w:tcMar>
          </w:tcPr>
          <w:p>
            <w:r>
              <w:rPr>
                <w:b w:val="false"/>
                <w:bCs w:val="false"/>
              </w:rPr>
              <w:t xml:space="preserve">Policy engine</w:t>
            </w:r>
          </w:p>
        </w:tc>
        <w:tc>
          <w:tcPr>
            <w:tcW w:type="dxa" w:w="7300"/>
            <w:tcMar>
              <w:top w:type="dxa" w:w="80"/>
              <w:left w:type="dxa" w:w="100"/>
              <w:bottom w:type="dxa" w:w="80"/>
              <w:right w:type="dxa" w:w="100"/>
            </w:tcMar>
          </w:tcPr>
          <w:p>
            <w:r>
              <w:rPr>
                <w:b w:val="false"/>
                <w:bCs w:val="false"/>
              </w:rPr>
              <w:t xml:space="preserve">The component that evaluates audit results against configurable thresholds to produce PASS/REVIEW/BLOCK.</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Page </w:t>
    </w:r>
    <w:r>
      <w:rPr>
        <w:color w:val="5B6270"/>
        <w:sz w:val="16"/>
        <w:szCs w:val="16"/>
      </w:rPr>
      <w:fldChar w:fldCharType="begin"/>
      <w:instrText xml:space="preserve">PAGE</w:instrText>
      <w:fldChar w:fldCharType="separate"/>
      <w:fldChar w:fldCharType="end"/>
    </w:r>
    <w:r>
      <w:rPr>
        <w:color w:val="5B6270"/>
        <w:sz w:val="16"/>
        <w:szCs w:val="16"/>
      </w:rPr>
      <w:t xml:space="preserve"> of </w:t>
    </w:r>
    <w:r>
      <w:rPr>
        <w:color w:val="5B62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270"/>
        <w:sz w:val="16"/>
        <w:szCs w:val="16"/>
      </w:rPr>
      <w:t xml:space="preserve">TrustLayer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space="4"/>
      </w:pBdr>
      <w:spacing w:after="200" w:before="400"/>
    </w:pPr>
    <w:rPr>
      <w:rFonts w:ascii="Calibri" w:cs="Calibri" w:eastAsia="Calibri" w:hAnsi="Calibri"/>
      <w:b/>
      <w:bCs/>
      <w:color w:val="1F2A44"/>
      <w:sz w:val="32"/>
      <w:szCs w:val="32"/>
    </w:rPr>
  </w:style>
  <w:style w:type="paragraph" w:styleId="Heading2">
    <w:name w:val="Heading 2"/>
    <w:basedOn w:val="Normal"/>
    <w:next w:val="Normal"/>
    <w:qFormat/>
    <w:pPr>
      <w:spacing w:after="150" w:before="300"/>
    </w:pPr>
    <w:rPr>
      <w:rFonts w:ascii="Calibri" w:cs="Calibri" w:eastAsia="Calibri" w:hAnsi="Calibri"/>
      <w:b/>
      <w:bCs/>
      <w:color w:val="2E5AAC"/>
      <w:sz w:val="26"/>
      <w:szCs w:val="26"/>
    </w:rPr>
  </w:style>
  <w:style w:type="paragraph" w:styleId="Heading3">
    <w:name w:val="Heading 3"/>
    <w:basedOn w:val="Normal"/>
    <w:next w:val="Normal"/>
    <w:qFormat/>
    <w:pPr>
      <w:spacing w:after="100" w:before="200"/>
    </w:pPr>
    <w:rPr>
      <w:rFonts w:ascii="Calibri" w:cs="Calibri" w:eastAsia="Calibri" w:hAnsi="Calibri"/>
      <w:b/>
      <w:bCs/>
      <w:color w:val="5B627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2026-08-18T05:46:19.812Z</dcterms:created>
  <dcterms:modified xsi:type="dcterms:W3CDTF">2026-08-18T05:46:19.812Z</dcterms:modified>
</cp:coreProperties>
</file>

<file path=docProps/custom.xml><?xml version="1.0" encoding="utf-8"?>
<Properties xmlns="http://schemas.openxmlformats.org/officeDocument/2006/custom-properties" xmlns:vt="http://schemas.openxmlformats.org/officeDocument/2006/docPropsVTypes"/>
</file>