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2"/>
          <w:szCs w:val="22"/>
        </w:rPr>
        <w:t xml:space="preserve">Table X. Comparative Analysis of Methodological Approaches in Fairness-Aware Clinical Prediction</w:t>
      </w:r>
    </w:p>
    <w:p>
      <w:pPr>
        <w:spacing w:after="200"/>
        <w:jc w:val="center"/>
      </w:pPr>
      <w:r>
        <w:rPr>
          <w:rFonts w:ascii="Arial" w:cs="Arial" w:eastAsia="Arial" w:hAnsi="Arial"/>
          <w:i/>
          <w:iCs/>
          <w:color w:val="555555"/>
          <w:sz w:val="18"/>
          <w:szCs w:val="18"/>
        </w:rPr>
        <w:t xml:space="preserve">Focus: Evaluation process, fairness framework, reliability methodology, and unaddressed limitations</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800"/>
        <w:gridCol w:w="2000"/>
        <w:gridCol w:w="2300"/>
      </w:tblGrid>
      <w:tr>
        <w:trPr>
          <w:tblHeader/>
        </w:trPr>
        <w:tc>
          <w:tcPr>
            <w:tcW w:type="dxa" w:w="18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Study</w:t>
            </w:r>
          </w:p>
        </w:tc>
        <w:tc>
          <w:tcPr>
            <w:tcW w:type="dxa" w:w="16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Prediction Task &amp; Models</w:t>
            </w:r>
          </w:p>
        </w:tc>
        <w:tc>
          <w:tcPr>
            <w:tcW w:type="dxa" w:w="22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Fairness Evaluation Approach</w:t>
            </w:r>
          </w:p>
        </w:tc>
        <w:tc>
          <w:tcPr>
            <w:tcW w:type="dxa" w:w="22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Reliability / Stability Assessment</w:t>
            </w:r>
          </w:p>
        </w:tc>
        <w:tc>
          <w:tcPr>
            <w:tcW w:type="dxa" w:w="18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Cross-Site Generalisability</w:t>
            </w:r>
          </w:p>
        </w:tc>
        <w:tc>
          <w:tcPr>
            <w:tcW w:type="dxa" w:w="20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Mitigation Strategy</w:t>
            </w:r>
          </w:p>
        </w:tc>
        <w:tc>
          <w:tcPr>
            <w:tcW w:type="dxa" w:w="23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jc w:val="center"/>
            </w:pPr>
            <w:r>
              <w:rPr>
                <w:rFonts w:ascii="Arial" w:cs="Arial" w:eastAsia="Arial" w:hAnsi="Arial"/>
                <w:b/>
                <w:bCs/>
                <w:color w:val="FFFFFF"/>
                <w:sz w:val="16"/>
                <w:szCs w:val="16"/>
              </w:rPr>
              <w:t xml:space="preserve">Unaddressed Methodological Gaps</w:t>
            </w:r>
          </w:p>
        </w:tc>
      </w:tr>
      <w:tr>
        <w:tc>
          <w:tcPr>
            <w:gridSpan w:val="7"/>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pPr>
              <w:spacing w:after="0"/>
            </w:pPr>
            <w:r>
              <w:rPr>
                <w:rFonts w:ascii="Arial" w:cs="Arial" w:eastAsia="Arial" w:hAnsi="Arial"/>
                <w:b/>
                <w:bCs/>
                <w:i/>
                <w:iCs/>
                <w:color w:val="333333"/>
                <w:sz w:val="16"/>
                <w:szCs w:val="16"/>
              </w:rPr>
              <w:t xml:space="preserve">A. Length-of-Stay Prediction Without Fairness Evaluation</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Rajkomar et al. (2018)</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DL on raw FHIR-format EHR; PLOS binary; attention-based NN at 2 centres</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None.</w:t>
            </w:r>
            <w:r>
              <w:rPr>
                <w:rFonts w:ascii="Arial" w:cs="Arial" w:eastAsia="Arial" w:hAnsi="Arial"/>
                <w:color w:val="333333"/>
                <w:sz w:val="15"/>
                <w:szCs w:val="15"/>
              </w:rPr>
              <w:t xml:space="preserve"> Performance reported globally (AUROC 0.85–0.86); no subgroup disaggregation</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Single train/test split per site; no variance quantification</w:t>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2-site validation (UCSF, UCM), but no fairness comparison across sites</w:t>
            </w:r>
          </w:p>
        </w:tc>
        <w:tc>
          <w:tcPr>
            <w:tcW w:type="dxa" w:w="2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3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 fairness audit despite multi-site deployment affecting 216K patients; attention maps show feature importance but not whether importance differs across demographic groups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Harutyunyan et al. (2019)</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4-task benchmark (mortality, LOS regression, decompensation, phenotyping); LSTM with deep supervision on MIMIC-III</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None.</w:t>
            </w:r>
            <w:r>
              <w:rPr>
                <w:rFonts w:ascii="Arial" w:cs="Arial" w:eastAsia="Arial" w:hAnsi="Arial"/>
                <w:color w:val="333333"/>
                <w:sz w:val="15"/>
                <w:szCs w:val="15"/>
              </w:rPr>
              <w:t xml:space="preserve"> Benchmark defines tasks/metrics for performance only; fairness not part of benchmark specification</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Bootstrap CIs (K=10,000) for performance metrics; no fairness variance analysis</w:t>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Single-centre benchmark (Beth Israel); no external validation protocol defined</w:t>
            </w:r>
          </w:p>
        </w:tc>
        <w:tc>
          <w:tcPr>
            <w:tcW w:type="dxa" w:w="2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3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Established the canonical clinical ML benchmark but entirely omitted fairness from the evaluation framework; all subsequent benchmark users inherit this omission</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Jain et al. (2024)</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LOS regression on 2.3M records; CatBoost, XGBoost, LightGBM, RF, LR with SHAP interpretability</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Indirect only.</w:t>
            </w:r>
            <w:r>
              <w:rPr>
                <w:rFonts w:ascii="Arial" w:cs="Arial" w:eastAsia="Arial" w:hAnsi="Arial"/>
                <w:color w:val="333333"/>
                <w:sz w:val="15"/>
                <w:szCs w:val="15"/>
              </w:rPr>
              <w:t xml:space="preserve"> SHAP analysis noted race/gender were not top predictors; no formal fairness metrics computed</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Single train/test split; no resampling or stability analysis</w:t>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Single state (NY SPARCS); no cross-site disaggregation</w:t>
            </w:r>
          </w:p>
        </w:tc>
        <w:tc>
          <w:tcPr>
            <w:tcW w:type="dxa" w:w="2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3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Conflates low feature importance with absence of bias; a variable can have low SHAP importance globally while the model still produces disparate error rates across demographic groups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Lee et al. (2024)</w:t>
            </w:r>
          </w:p>
        </w:tc>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LOS classification (3 bins) using OMOP-CDM standardised features; LR, XGBoost, LASSO</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None.</w:t>
            </w:r>
            <w:r>
              <w:rPr>
                <w:rFonts w:ascii="Arial" w:cs="Arial" w:eastAsia="Arial" w:hAnsi="Arial"/>
                <w:color w:val="333333"/>
                <w:sz w:val="15"/>
                <w:szCs w:val="15"/>
              </w:rPr>
              <w:t xml:space="preserve"> External validation showed 8% AUC drop but no subgroup-level analysis of where performance degraded</w:t>
            </w:r>
          </w:p>
        </w:tc>
        <w:tc>
          <w:tcPr>
            <w:tcW w:type="dxa" w:w="22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Single temporal split for external validation</w:t>
            </w:r>
          </w:p>
        </w:tc>
        <w:tc>
          <w:tcPr>
            <w:tcW w:type="dxa" w:w="18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Internal + external validation (different hospital), but no fairness comparison between sites</w:t>
            </w:r>
          </w:p>
        </w:tc>
        <w:tc>
          <w:tcPr>
            <w:tcW w:type="dxa" w:w="20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3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OMOP-CDM enables reproducibility but the 8% external AUC drop likely reflects demographic distribution shift; without subgroup analysis, source of degradation is unknown</w:t>
            </w:r>
          </w:p>
        </w:tc>
      </w:tr>
      <w:tr>
        <w:tc>
          <w:tcPr>
            <w:gridSpan w:val="7"/>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tcPr>
          <w:p>
            <w:pPr>
              <w:spacing w:after="0"/>
            </w:pPr>
            <w:r>
              <w:rPr>
                <w:rFonts w:ascii="Arial" w:cs="Arial" w:eastAsia="Arial" w:hAnsi="Arial"/>
                <w:b/>
                <w:bCs/>
                <w:i/>
                <w:iCs/>
                <w:color w:val="333333"/>
                <w:sz w:val="16"/>
                <w:szCs w:val="16"/>
              </w:rPr>
              <w:t xml:space="preserve">B. Length-of-Stay Prediction With Fairness Evaluation</w:t>
            </w:r>
          </w:p>
        </w:tc>
      </w:tr>
      <w:tr>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Pfohl et al. (2019)</w:t>
            </w:r>
          </w:p>
        </w:tc>
        <w:tc>
          <w:tcPr>
            <w:tcW w:type="dxa" w:w="16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LOS &gt;7d, mortality; VAE + counterfactual fairness framework on single site</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Counterfactual fairness: DP, equalised odds (2 metrics); evaluated on race, gender</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Point estimates without variance quantification</w:t>
            </w:r>
          </w:p>
        </w:tc>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Single centre (Stanford STARR)</w:t>
            </w:r>
          </w:p>
        </w:tc>
        <w:tc>
          <w:tcPr>
            <w:tcW w:type="dxa" w:w="20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Counterfactual data augmentation to enforce individual fairness</w:t>
            </w:r>
          </w:p>
        </w:tc>
        <w:tc>
          <w:tcPr>
            <w:tcW w:type="dxa" w:w="23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Only 2 fairness metrics; counterfactual approach assumes known causal graph which may not hold in clinical settings; no assessment of whether fairness gains are stable across random seeds</w:t>
            </w:r>
          </w:p>
        </w:tc>
      </w:tr>
      <w:tr>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Pfohl et al. (2021)</w:t>
            </w:r>
          </w:p>
        </w:tc>
        <w:tc>
          <w:tcPr>
            <w:tcW w:type="dxa" w:w="16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LOS &gt;7d, readmission, mortality; L2-LR with fairness penalty terms across 3 databases</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Most comprehensive to date: 7+ metrics (DP, EOPP, EOD, calibration, PPV, FPR parity, threshold); race, sex, age</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Partial.</w:t>
            </w:r>
            <w:r>
              <w:rPr>
                <w:rFonts w:ascii="Arial" w:cs="Arial" w:eastAsia="Arial" w:hAnsi="Arial"/>
                <w:color w:val="333333"/>
                <w:sz w:val="15"/>
                <w:szCs w:val="15"/>
              </w:rPr>
              <w:t xml:space="preserve"> Bootstrap CIs on point estimates; does not test how metrics vary across random data subsets or sample sizes</w:t>
            </w:r>
          </w:p>
        </w:tc>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3-database validation (STARR, Optum, MIMIC); reports per-database fairness but not systematic cross-site variance</w:t>
            </w:r>
          </w:p>
        </w:tc>
        <w:tc>
          <w:tcPr>
            <w:tcW w:type="dxa" w:w="20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Fairness penalty terms in loss function; group-specific thresholds</w:t>
            </w:r>
          </w:p>
        </w:tc>
        <w:tc>
          <w:tcPr>
            <w:tcW w:type="dxa" w:w="23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Reports confidence intervals but not coefficient of variation or systematic stability; does not answer: “If I resample, do fairness conclusions change?” No minimum sample size guidance</w:t>
            </w:r>
          </w:p>
        </w:tc>
      </w:tr>
      <w:tr>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Feng et al. (2022)</w:t>
            </w:r>
          </w:p>
        </w:tc>
        <w:tc>
          <w:tcPr>
            <w:tcW w:type="dxa" w:w="16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HF-specific LOS &gt;7d + mortality composite; LR/RF/GBDT/SVM/AdaBoost on GWTG-HF registry</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3 metrics (calibration, EOPP, DP); race, sex, insurance, income via SDOH integration</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Single evaluation; no resampling or stability analysis</w:t>
            </w:r>
          </w:p>
        </w:tc>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Multi-centre registry (GWTG-HF, 210K patients) but fairness reported as aggregate, not per-site</w:t>
            </w:r>
          </w:p>
        </w:tc>
        <w:tc>
          <w:tcPr>
            <w:tcW w:type="dxa" w:w="20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SDOH feature integration to reduce racial calibration gaps</w:t>
            </w:r>
          </w:p>
        </w:tc>
        <w:tc>
          <w:tcPr>
            <w:tcW w:type="dxa" w:w="23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Limited to heart failure; only 3 metrics may miss violations detectable by other criteria; SDOH integration helps but does not address whether fairness assessments are reproducible</w:t>
            </w:r>
          </w:p>
        </w:tc>
      </w:tr>
      <w:tr>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Lett et al. (2025)</w:t>
            </w:r>
          </w:p>
        </w:tc>
        <w:tc>
          <w:tcPr>
            <w:tcW w:type="dxa" w:w="16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ED admission prediction; LR, XGBoost with intersectional vs marginal debiasing on 2 sites</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Intersectional subgroup analysis: FNR, calibration error across race × ethnicity × gender combinations</w:t>
            </w:r>
          </w:p>
        </w:tc>
        <w:tc>
          <w:tcPr>
            <w:tcW w:type="dxa" w:w="22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Point estimates; no variance or stability analysis</w:t>
            </w:r>
          </w:p>
        </w:tc>
        <w:tc>
          <w:tcPr>
            <w:tcW w:type="dxa" w:w="18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2-site (MIMIC-IV-ED, Boston Children’s); separate models per site</w:t>
            </w:r>
          </w:p>
        </w:tc>
        <w:tc>
          <w:tcPr>
            <w:tcW w:type="dxa" w:w="20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Intersectional debiasing via constrained optimisation outperforms marginal debiasing (FNR reduced 11.9% vs 6.8%)</w:t>
            </w:r>
          </w:p>
        </w:tc>
        <w:tc>
          <w:tcPr>
            <w:tcW w:type="dxa" w:w="2300"/>
            <w:tcBorders>
              <w:top w:val="single" w:color="999999" w:sz="1"/>
              <w:left w:val="single" w:color="999999" w:sz="1"/>
              <w:bottom w:val="single" w:color="999999" w:sz="1"/>
              <w:right w:val="single" w:color="999999" w:sz="1"/>
            </w:tcBorders>
            <w:shd w:fill="E8F0FE"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Demonstrates intersectional advantage but does not assess whether intersectional fairness metrics are themselves stable; small intersectional subgroups may produce unreliable estimates</w:t>
            </w:r>
          </w:p>
        </w:tc>
      </w:tr>
      <w:tr>
        <w:tc>
          <w:tcPr>
            <w:gridSpan w:val="7"/>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tcPr>
          <w:p>
            <w:pPr>
              <w:spacing w:after="0"/>
            </w:pPr>
            <w:r>
              <w:rPr>
                <w:rFonts w:ascii="Arial" w:cs="Arial" w:eastAsia="Arial" w:hAnsi="Arial"/>
                <w:b/>
                <w:bCs/>
                <w:i/>
                <w:iCs/>
                <w:color w:val="333333"/>
                <w:sz w:val="16"/>
                <w:szCs w:val="16"/>
              </w:rPr>
              <w:t xml:space="preserve">C. Fairness Metric Reliability and Stability (Non-Healthcare Domains)</w:t>
            </w:r>
          </w:p>
        </w:tc>
      </w:tr>
      <w:tr>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Qian et al. (2021)</w:t>
            </w:r>
          </w:p>
        </w:tc>
        <w:tc>
          <w:tcPr>
            <w:tcW w:type="dxa" w:w="16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Image classification; ResNet-18/50 on CelebA, COCO, imSitu, CIFAR-10S</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7 metrics (DP, EOPP, EOD, predictive parity, accuracy parity, treatment equality, balanced accuracy)</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Core contribution.</w:t>
            </w:r>
            <w:r>
              <w:rPr>
                <w:rFonts w:ascii="Arial" w:cs="Arial" w:eastAsia="Arial" w:hAnsi="Arial"/>
                <w:color w:val="333333"/>
                <w:sz w:val="15"/>
                <w:szCs w:val="15"/>
              </w:rPr>
              <w:t xml:space="preserve"> 16 identical runs with fixed seeds; measures variance attributable to DL nondeterminism; up to 12.6% fairness variance</w:t>
            </w:r>
          </w:p>
        </w:tc>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 (single-dataset experiments)</w:t>
            </w:r>
          </w:p>
        </w:tc>
        <w:tc>
          <w:tcPr>
            <w:tcW w:type="dxa" w:w="20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 (diagnostic study)</w:t>
            </w:r>
          </w:p>
        </w:tc>
        <w:tc>
          <w:tcPr>
            <w:tcW w:type="dxa" w:w="23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Limited to computer vision (image classification); does not test whether findings transfer to tabular clinical data; no sample size sensitivity analysis</w:t>
            </w:r>
          </w:p>
        </w:tc>
      </w:tr>
      <w:tr>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Ganesh et al. (2023)</w:t>
            </w:r>
          </w:p>
        </w:tc>
        <w:tc>
          <w:tcPr>
            <w:tcW w:type="dxa" w:w="16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Binary classification; NNs with controlled randomness on Adult, Toxic text, tabular benchmarks</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3 metrics (DP, EOPP, EOD); isolates variance by source</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Core contribution.</w:t>
            </w:r>
            <w:r>
              <w:rPr>
                <w:rFonts w:ascii="Arial" w:cs="Arial" w:eastAsia="Arial" w:hAnsi="Arial"/>
                <w:color w:val="333333"/>
                <w:sz w:val="15"/>
                <w:szCs w:val="15"/>
              </w:rPr>
              <w:t xml:space="preserve"> Decomposes fairness variance into sources: data reshuffling &gt; weight init &gt; batch ordering; 50 runs per setting</w:t>
            </w:r>
          </w:p>
        </w:tc>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0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 (diagnostic study)</w:t>
            </w:r>
          </w:p>
        </w:tc>
        <w:tc>
          <w:tcPr>
            <w:tcW w:type="dxa" w:w="23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Non-clinical data only; does not address whether data-reshuffling dominance holds for healthcare EHR data with structured missingness and class imbalance</w:t>
            </w:r>
          </w:p>
        </w:tc>
      </w:tr>
      <w:tr>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Cooper et al. (2024)</w:t>
            </w:r>
          </w:p>
        </w:tc>
        <w:tc>
          <w:tcPr>
            <w:tcW w:type="dxa" w:w="16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Mortgage, income, recidivism prediction; multiple classifiers with varied seeds on HMDA, Adult, COMPAS</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3 metrics; introduces self-consistency metric for measuring prediction arbitrariness</w:t>
            </w:r>
          </w:p>
        </w:tc>
        <w:tc>
          <w:tcPr>
            <w:tcW w:type="dxa" w:w="22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Core contribution.</w:t>
            </w:r>
            <w:r>
              <w:rPr>
                <w:rFonts w:ascii="Arial" w:cs="Arial" w:eastAsia="Arial" w:hAnsi="Arial"/>
                <w:color w:val="333333"/>
                <w:sz w:val="15"/>
                <w:szCs w:val="15"/>
              </w:rPr>
              <w:t xml:space="preserve"> Largest variance study; shows most systems are “close-to-fair” when accounting for arbitrariness</w:t>
            </w:r>
          </w:p>
        </w:tc>
        <w:tc>
          <w:tcPr>
            <w:tcW w:type="dxa" w:w="18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w:t>
            </w:r>
          </w:p>
        </w:tc>
        <w:tc>
          <w:tcPr>
            <w:tcW w:type="dxa" w:w="20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 (diagnostic study)</w:t>
            </w:r>
          </w:p>
        </w:tc>
        <w:tc>
          <w:tcPr>
            <w:tcW w:type="dxa" w:w="2300"/>
            <w:tcBorders>
              <w:top w:val="single" w:color="999999" w:sz="1"/>
              <w:left w:val="single" w:color="999999" w:sz="1"/>
              <w:bottom w:val="single" w:color="999999" w:sz="1"/>
              <w:right w:val="single" w:color="999999" w:sz="1"/>
            </w:tcBorders>
            <w:shd w:fill="FFF3E0"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Non-clinical; does not examine how class imbalance and protected attribute correlation (common in EHR) affect variance; no cross-site analysis</w:t>
            </w:r>
          </w:p>
        </w:tc>
      </w:tr>
      <w:tr>
        <w:tc>
          <w:tcPr>
            <w:gridSpan w:val="7"/>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tcPr>
          <w:p>
            <w:pPr>
              <w:spacing w:after="0"/>
            </w:pPr>
            <w:r>
              <w:rPr>
                <w:rFonts w:ascii="Arial" w:cs="Arial" w:eastAsia="Arial" w:hAnsi="Arial"/>
                <w:b/>
                <w:bCs/>
                <w:i/>
                <w:iCs/>
                <w:color w:val="333333"/>
                <w:sz w:val="16"/>
                <w:szCs w:val="16"/>
              </w:rPr>
              <w:t xml:space="preserve">D. Healthcare AI Fairness (Non-LOS Tasks)</w:t>
            </w:r>
          </w:p>
        </w:tc>
      </w:tr>
      <w:tr>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Obermeyer et al. (2019)</w:t>
            </w:r>
          </w:p>
        </w:tc>
        <w:tc>
          <w:tcPr>
            <w:tcW w:type="dxa" w:w="16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Health risk scoring (resource allocation); proprietary commercial algorithm</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Demonstrated cost-as-proxy bias: Black patients assigned systematically lower risk at equal illness severity</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None. Observational audit of deployed system</w:t>
            </w:r>
          </w:p>
        </w:tc>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National deployment (~200M affected); audit on single institutional cohort</w:t>
            </w:r>
          </w:p>
        </w:tc>
        <w:tc>
          <w:tcPr>
            <w:tcW w:type="dxa" w:w="20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Proposed replacing cost proxy with direct health measures</w:t>
            </w:r>
          </w:p>
        </w:tc>
        <w:tc>
          <w:tcPr>
            <w:tcW w:type="dxa" w:w="23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Landmark identification of label bias; does not provide a systematic evaluation framework or reproducibility protocol for auditing other algorithms</w:t>
            </w:r>
          </w:p>
        </w:tc>
      </w:tr>
      <w:tr>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Meng et al. (2022)</w:t>
            </w:r>
          </w:p>
        </w:tc>
        <w:tc>
          <w:tcPr>
            <w:tcW w:type="dxa" w:w="16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ICU mortality; 5 DL models (AutoInt, LSTM, TCN, Transformer, TabNet) on MIMIC-IV</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5 protected attributes (broadest coverage); 4 metrics including feature importance disparity and group-conditional accuracy</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Partial.</w:t>
            </w:r>
            <w:r>
              <w:rPr>
                <w:rFonts w:ascii="Arial" w:cs="Arial" w:eastAsia="Arial" w:hAnsi="Arial"/>
                <w:color w:val="333333"/>
                <w:sz w:val="15"/>
                <w:szCs w:val="15"/>
              </w:rPr>
              <w:t xml:space="preserve"> Multiple model comparison but no resampling; variance across architectures conflated with fairness variance</w:t>
            </w:r>
          </w:p>
        </w:tc>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Single centre (Beth Israel)</w:t>
            </w:r>
          </w:p>
        </w:tc>
        <w:tc>
          <w:tcPr>
            <w:tcW w:type="dxa" w:w="20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Not applicable (diagnostic study)</w:t>
            </w:r>
          </w:p>
        </w:tc>
        <w:tc>
          <w:tcPr>
            <w:tcW w:type="dxa" w:w="23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Non-standard fairness metrics make cross-study comparison difficult; model-architecture variance is not separated from data-driven fairness variance</w:t>
            </w:r>
          </w:p>
        </w:tc>
      </w:tr>
      <w:tr>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Poulain et al. (2023)</w:t>
            </w:r>
          </w:p>
        </w:tc>
        <w:tc>
          <w:tcPr>
            <w:tcW w:type="dxa" w:w="16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ICU mortality; LR/MLP with adversarial debiasing in federated learning on MIMIC-III + eICU (208 hospitals)</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3 metrics (DP, EOPP, EOD); race only</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Partial.</w:t>
            </w:r>
            <w:r>
              <w:rPr>
                <w:rFonts w:ascii="Arial" w:cs="Arial" w:eastAsia="Arial" w:hAnsi="Arial"/>
                <w:color w:val="333333"/>
                <w:sz w:val="15"/>
                <w:szCs w:val="15"/>
              </w:rPr>
              <w:t xml:space="preserve"> FL inherently trains across sites but reports aggregated fairness; does not analyse per-site metric variance</w:t>
            </w:r>
          </w:p>
        </w:tc>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Multi-site via FL (208 hospitals) but fairness reported as federation-level aggregate</w:t>
            </w:r>
          </w:p>
        </w:tc>
        <w:tc>
          <w:tcPr>
            <w:tcW w:type="dxa" w:w="20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Adversarial debiasing within federated learning framework</w:t>
            </w:r>
          </w:p>
        </w:tc>
        <w:tc>
          <w:tcPr>
            <w:tcW w:type="dxa" w:w="23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FL aggregation masks between-site fairness heterogeneity; a hospital joining the federation cannot assess its local fairness; single protected attribute limits scope</w:t>
            </w:r>
          </w:p>
        </w:tc>
      </w:tr>
      <w:tr>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Röösli et al. (2022)</w:t>
            </w:r>
          </w:p>
        </w:tc>
        <w:tc>
          <w:tcPr>
            <w:tcW w:type="dxa" w:w="16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ICU mortality (Harutyunyan benchmark audit); LSTM on MIMIC-III + Stanford STARR</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5 per-subgroup performance metrics; gender, race, insurance; found recall as low as 25% for minorities</w:t>
            </w:r>
          </w:p>
        </w:tc>
        <w:tc>
          <w:tcPr>
            <w:tcW w:type="dxa" w:w="22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Partial.</w:t>
            </w:r>
            <w:r>
              <w:rPr>
                <w:rFonts w:ascii="Arial" w:cs="Arial" w:eastAsia="Arial" w:hAnsi="Arial"/>
                <w:color w:val="333333"/>
                <w:sz w:val="15"/>
                <w:szCs w:val="15"/>
              </w:rPr>
              <w:t xml:space="preserve"> 3-stage evaluation (replicate → external validate → retrain) but single run per stage</w:t>
            </w:r>
          </w:p>
        </w:tc>
        <w:tc>
          <w:tcPr>
            <w:tcW w:type="dxa" w:w="18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2-site (MIMIC + STARR); showed fairness degrades on external site</w:t>
            </w:r>
          </w:p>
        </w:tc>
        <w:tc>
          <w:tcPr>
            <w:tcW w:type="dxa" w:w="20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Retraining on external data improves minority performance</w:t>
            </w:r>
          </w:p>
        </w:tc>
        <w:tc>
          <w:tcPr>
            <w:tcW w:type="dxa" w:w="2300"/>
            <w:tcBorders>
              <w:top w:val="single" w:color="999999" w:sz="1"/>
              <w:left w:val="single" w:color="999999" w:sz="1"/>
              <w:bottom w:val="single" w:color="999999" w:sz="1"/>
              <w:right w:val="single" w:color="999999" w:sz="1"/>
            </w:tcBorders>
            <w:shd w:fill="F3E5F5"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Single model (LSTM), single run per evaluation stage; does not quantify whether the 25% recall finding is stable or an artefact of a particular train/test split</w:t>
            </w:r>
          </w:p>
        </w:tc>
      </w:tr>
      <w:tr>
        <w:tc>
          <w:tcPr>
            <w:gridSpan w:val="7"/>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tcPr>
          <w:p>
            <w:pPr>
              <w:spacing w:after="0"/>
            </w:pPr>
            <w:r>
              <w:rPr>
                <w:rFonts w:ascii="Arial" w:cs="Arial" w:eastAsia="Arial" w:hAnsi="Arial"/>
                <w:b/>
                <w:bCs/>
                <w:i/>
                <w:iCs/>
                <w:color w:val="333333"/>
                <w:sz w:val="16"/>
                <w:szCs w:val="16"/>
              </w:rPr>
              <w:t xml:space="preserve">E. This Study: Systematic Fairness Reliability Analysis for Clinical LOS Prediction</w:t>
            </w:r>
          </w:p>
        </w:tc>
      </w:tr>
      <w:tr>
        <w:tc>
          <w:tcPr>
            <w:tcW w:type="dxa" w:w="18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This Study</w:t>
            </w:r>
          </w:p>
        </w:tc>
        <w:tc>
          <w:tcPr>
            <w:tcW w:type="dxa" w:w="16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LOS &gt;3d binary; 6 models (LR, DT, RF, XGBoost, LightGBM, CatBoost) on 925K records, 441 hospitals</w:t>
            </w:r>
          </w:p>
        </w:tc>
        <w:tc>
          <w:tcPr>
            <w:tcW w:type="dxa" w:w="22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7 complementary metrics</w:t>
            </w:r>
            <w:r>
              <w:rPr>
                <w:rFonts w:ascii="Arial" w:cs="Arial" w:eastAsia="Arial" w:hAnsi="Arial"/>
                <w:color w:val="333333"/>
                <w:sz w:val="15"/>
                <w:szCs w:val="15"/>
              </w:rPr>
              <w:t xml:space="preserve"> (DI, SPD, EOD, EOPP, TI, PP, calibration) across 4 protected attributes (race, sex, age, payer) × 14 subgroups; most comprehensive coverage</w:t>
            </w:r>
          </w:p>
        </w:tc>
        <w:tc>
          <w:tcPr>
            <w:tcW w:type="dxa" w:w="22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Core contribution.</w:t>
            </w:r>
            <w:r>
              <w:rPr>
                <w:rFonts w:ascii="Arial" w:cs="Arial" w:eastAsia="Arial" w:hAnsi="Arial"/>
                <w:color w:val="333333"/>
                <w:sz w:val="15"/>
                <w:szCs w:val="15"/>
              </w:rPr>
              <w:t xml:space="preserve"> Systematic reliability: (i) K=30 random subset resampling, (ii) sample size sensitivity (1K–925K), (iii) CV analysis; finds metrics fluctuate up to 29% CV; N&gt;50K needed for CV&lt;5%</w:t>
            </w:r>
          </w:p>
        </w:tc>
        <w:tc>
          <w:tcPr>
            <w:tcW w:type="dxa" w:w="18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b/>
                <w:bCs/>
                <w:i w:val="false"/>
                <w:iCs w:val="false"/>
                <w:color w:val="333333"/>
                <w:sz w:val="15"/>
                <w:szCs w:val="15"/>
              </w:rPr>
              <w:t xml:space="preserve">Core contribution.</w:t>
            </w:r>
            <w:r>
              <w:rPr>
                <w:rFonts w:ascii="Arial" w:cs="Arial" w:eastAsia="Arial" w:hAnsi="Arial"/>
                <w:color w:val="333333"/>
                <w:sz w:val="15"/>
                <w:szCs w:val="15"/>
              </w:rPr>
              <w:t xml:space="preserve"> K=20 hospital-cluster cross-validation across 441 hospitals; reveals ±24% DI swing for Race across sites; first site-level fairness heterogeneity analysis at this scale</w:t>
            </w:r>
          </w:p>
        </w:tc>
        <w:tc>
          <w:tcPr>
            <w:tcW w:type="dxa" w:w="20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Diagnostic study quantifying reliability; provides empirical minimum sample size guidance and cross-site variance bounds</w:t>
            </w:r>
          </w:p>
        </w:tc>
        <w:tc>
          <w:tcPr>
            <w:tcW w:type="dxa" w:w="2300"/>
            <w:tcBorders>
              <w:top w:val="single" w:color="999999" w:sz="1"/>
              <w:left w:val="single" w:color="999999" w:sz="1"/>
              <w:bottom w:val="single" w:color="999999" w:sz="1"/>
              <w:right w:val="single" w:color="999999" w:sz="1"/>
            </w:tcBorders>
            <w:shd w:fill="C8E6C9" w:val="clear"/>
            <w:tcMar>
              <w:top w:type="dxa" w:w="60"/>
              <w:left w:type="dxa" w:w="80"/>
              <w:bottom w:type="dxa" w:w="60"/>
              <w:right w:type="dxa" w:w="80"/>
            </w:tcMar>
            <w:vAlign w:val="top"/>
          </w:tcPr>
          <w:p>
            <w:pPr>
              <w:spacing w:after="0" w:line="240"/>
            </w:pPr>
            <w:r>
              <w:rPr>
                <w:rFonts w:ascii="Arial" w:cs="Arial" w:eastAsia="Arial" w:hAnsi="Arial"/>
                <w:color w:val="333333"/>
                <w:sz w:val="15"/>
                <w:szCs w:val="15"/>
              </w:rPr>
              <w:t xml:space="preserve">Addresses all gaps identified in Categories A–D: combines LOS prediction with comprehensive fairness metrics, systematic reliability testing, cross-site validation, and actionable sample size thresholds</w:t>
            </w:r>
          </w:p>
        </w:tc>
      </w:tr>
    </w:tbl>
    <w:p>
      <w:pPr>
        <w:spacing w:before="100" w:after="0"/>
      </w:pPr>
      <w:r>
        <w:rPr>
          <w:rFonts w:ascii="Arial" w:cs="Arial" w:eastAsia="Arial" w:hAnsi="Arial"/>
          <w:b/>
          <w:bCs/>
          <w:i/>
          <w:iCs/>
          <w:color w:val="555555"/>
          <w:sz w:val="16"/>
          <w:szCs w:val="16"/>
        </w:rPr>
        <w:t xml:space="preserve">Note: </w:t>
      </w:r>
      <w:r>
        <w:rPr>
          <w:rFonts w:ascii="Arial" w:cs="Arial" w:eastAsia="Arial" w:hAnsi="Arial"/>
          <w:i/>
          <w:iCs/>
          <w:color w:val="555555"/>
          <w:sz w:val="16"/>
          <w:szCs w:val="16"/>
        </w:rPr>
        <w:t xml:space="preserve">Categories organised by methodological scope: (A) LOS prediction without fairness evaluation, (B) LOS prediction with fairness evaluation, (C) fairness metric stability studies from non-clinical domains, (D) healthcare fairness studies on non-LOS tasks, (E) this study. Columns emphasise evaluation process and identified methodological limitations rather than dataset characteristics or publication venue.</w:t>
      </w:r>
    </w:p>
    <w:p>
      <w:r>
        <w:br w:type="page"/>
      </w:r>
    </w:p>
    <w:p>
      <w:pPr>
        <w:pStyle w:val="Heading1"/>
        <w:spacing w:before="240" w:after="120"/>
      </w:pPr>
      <w:r>
        <w:rPr>
          <w:rFonts w:ascii="Arial" w:cs="Arial" w:eastAsia="Arial" w:hAnsi="Arial"/>
          <w:b/>
          <w:bCs/>
          <w:sz w:val="28"/>
          <w:szCs w:val="28"/>
        </w:rPr>
        <w:t xml:space="preserve">Methodological Gap Analysis</w:t>
      </w:r>
    </w:p>
    <w:p>
      <w:pPr>
        <w:spacing w:after="120" w:line="276"/>
      </w:pPr>
      <w:r>
        <w:rPr>
          <w:rFonts w:ascii="Arial" w:cs="Arial" w:eastAsia="Arial" w:hAnsi="Arial"/>
          <w:sz w:val="20"/>
          <w:szCs w:val="20"/>
        </w:rPr>
        <w:t xml:space="preserve">The comparison above reveals five systematic methodological gaps in the existing literature on fairness-aware clinical prediction:</w:t>
      </w:r>
    </w:p>
    <w:p>
      <w:pPr>
        <w:pStyle w:val="Heading2"/>
        <w:spacing w:before="240" w:after="120"/>
      </w:pPr>
      <w:r>
        <w:rPr>
          <w:rFonts w:ascii="Arial" w:cs="Arial" w:eastAsia="Arial" w:hAnsi="Arial"/>
          <w:b/>
          <w:bCs/>
          <w:sz w:val="24"/>
          <w:szCs w:val="24"/>
        </w:rPr>
        <w:t xml:space="preserve">Gap 1: LOS prediction pipelines omit fairness evaluation entirely</w:t>
      </w:r>
    </w:p>
    <w:p>
      <w:pPr>
        <w:spacing w:after="120" w:line="276"/>
      </w:pPr>
      <w:r>
        <w:rPr>
          <w:rFonts w:ascii="Arial" w:cs="Arial" w:eastAsia="Arial" w:hAnsi="Arial"/>
          <w:sz w:val="20"/>
          <w:szCs w:val="20"/>
        </w:rPr>
        <w:t xml:space="preserve">Among LOS prediction studies (Category A), none integrates fairness metrics into the evaluation pipeline. Even when interpretability tools such as SHAP are employed (Jain et al., 2024), researchers assess feature importance at the population level without disaggregating prediction errors across protected groups. </w:t>
      </w:r>
      <w:r>
        <w:rPr>
          <w:rFonts w:ascii="Arial" w:cs="Arial" w:eastAsia="Arial" w:hAnsi="Arial"/>
          <w:b/>
          <w:bCs/>
          <w:i w:val="false"/>
          <w:iCs w:val="false"/>
          <w:sz w:val="20"/>
          <w:szCs w:val="20"/>
        </w:rPr>
        <w:t xml:space="preserve">Methodological implication: </w:t>
      </w:r>
      <w:r>
        <w:rPr>
          <w:rFonts w:ascii="Arial" w:cs="Arial" w:eastAsia="Arial" w:hAnsi="Arial"/>
          <w:sz w:val="20"/>
          <w:szCs w:val="20"/>
        </w:rPr>
        <w:t xml:space="preserve">Low global feature importance of a demographic variable does not preclude disparate error rates conditioned on that variable. A model can exhibit group-level prediction bias even when demographic features carry negligible aggregate SHAP values.</w:t>
      </w:r>
    </w:p>
    <w:p>
      <w:pPr>
        <w:pStyle w:val="Heading2"/>
        <w:spacing w:before="240" w:after="120"/>
      </w:pPr>
      <w:r>
        <w:rPr>
          <w:rFonts w:ascii="Arial" w:cs="Arial" w:eastAsia="Arial" w:hAnsi="Arial"/>
          <w:b/>
          <w:bCs/>
          <w:sz w:val="24"/>
          <w:szCs w:val="24"/>
        </w:rPr>
        <w:t xml:space="preserve">Gap 2: Fairness evaluation relies on point estimates without reliability quantification</w:t>
      </w:r>
    </w:p>
    <w:p>
      <w:pPr>
        <w:spacing w:after="120" w:line="276"/>
      </w:pPr>
      <w:r>
        <w:rPr>
          <w:rFonts w:ascii="Arial" w:cs="Arial" w:eastAsia="Arial" w:hAnsi="Arial"/>
          <w:sz w:val="20"/>
          <w:szCs w:val="20"/>
        </w:rPr>
        <w:t xml:space="preserve">Among studies that do compute fairness metrics (Category B), all report single-point estimates—sometimes with bootstrap confidence intervals (Pfohl et al., 2021) but never with systematic stability assessment across resampled data subsets or varying sample sizes. </w:t>
      </w:r>
      <w:r>
        <w:rPr>
          <w:rFonts w:ascii="Arial" w:cs="Arial" w:eastAsia="Arial" w:hAnsi="Arial"/>
          <w:b/>
          <w:bCs/>
          <w:i w:val="false"/>
          <w:iCs w:val="false"/>
          <w:sz w:val="20"/>
          <w:szCs w:val="20"/>
        </w:rPr>
        <w:t xml:space="preserve">Methodological implication: </w:t>
      </w:r>
      <w:r>
        <w:rPr>
          <w:rFonts w:ascii="Arial" w:cs="Arial" w:eastAsia="Arial" w:hAnsi="Arial"/>
          <w:sz w:val="20"/>
          <w:szCs w:val="20"/>
        </w:rPr>
        <w:t xml:space="preserve">A fairness metric value computed on a single train/test split may not generalise. Without quantifying how much the metric fluctuates under resampling, practitioners cannot distinguish genuine disparities from statistical noise—particularly for underrepresented subgroups with limited sample sizes.</w:t>
      </w:r>
    </w:p>
    <w:p>
      <w:pPr>
        <w:pStyle w:val="Heading2"/>
        <w:spacing w:before="240" w:after="120"/>
      </w:pPr>
      <w:r>
        <w:rPr>
          <w:rFonts w:ascii="Arial" w:cs="Arial" w:eastAsia="Arial" w:hAnsi="Arial"/>
          <w:b/>
          <w:bCs/>
          <w:sz w:val="24"/>
          <w:szCs w:val="24"/>
        </w:rPr>
        <w:t xml:space="preserve">Gap 3: Fairness reliability research has not been validated in clinical settings</w:t>
      </w:r>
    </w:p>
    <w:p>
      <w:pPr>
        <w:spacing w:after="120" w:line="276"/>
      </w:pPr>
      <w:r>
        <w:rPr>
          <w:rFonts w:ascii="Arial" w:cs="Arial" w:eastAsia="Arial" w:hAnsi="Arial"/>
          <w:sz w:val="20"/>
          <w:szCs w:val="20"/>
        </w:rPr>
        <w:t xml:space="preserve">The fairness stability literature (Category C) provides strong evidence that DL nondeterminism (Qian et al., 2021), data reshuffling (Ganesh et al., 2023), and prediction arbitrariness (Cooper et al., 2024) produce substantial fairness metric variance. However, all three studies operate exclusively on non-clinical datasets (CelebA, Adult, COMPAS, HMDA). </w:t>
      </w:r>
      <w:r>
        <w:rPr>
          <w:rFonts w:ascii="Arial" w:cs="Arial" w:eastAsia="Arial" w:hAnsi="Arial"/>
          <w:b/>
          <w:bCs/>
          <w:i w:val="false"/>
          <w:iCs w:val="false"/>
          <w:sz w:val="20"/>
          <w:szCs w:val="20"/>
        </w:rPr>
        <w:t xml:space="preserve">Methodological implication: </w:t>
      </w:r>
      <w:r>
        <w:rPr>
          <w:rFonts w:ascii="Arial" w:cs="Arial" w:eastAsia="Arial" w:hAnsi="Arial"/>
          <w:sz w:val="20"/>
          <w:szCs w:val="20"/>
        </w:rPr>
        <w:t xml:space="preserve">Clinical EHR data exhibits characteristics absent from standard benchmarks—structured missingness, severe class imbalance, correlated protected attributes (e.g., race correlates with insurance type), and hierarchical structure (patients nested within hospitals). Whether fairness variance findings transfer to this data regime is an open empirical question.</w:t>
      </w:r>
    </w:p>
    <w:p>
      <w:pPr>
        <w:pStyle w:val="Heading2"/>
        <w:spacing w:before="240" w:after="120"/>
      </w:pPr>
      <w:r>
        <w:rPr>
          <w:rFonts w:ascii="Arial" w:cs="Arial" w:eastAsia="Arial" w:hAnsi="Arial"/>
          <w:b/>
          <w:bCs/>
          <w:sz w:val="24"/>
          <w:szCs w:val="24"/>
        </w:rPr>
        <w:t xml:space="preserve">Gap 4: Cross-site fairness heterogeneity is aggregated away</w:t>
      </w:r>
    </w:p>
    <w:p>
      <w:pPr>
        <w:spacing w:after="120" w:line="276"/>
      </w:pPr>
      <w:r>
        <w:rPr>
          <w:rFonts w:ascii="Arial" w:cs="Arial" w:eastAsia="Arial" w:hAnsi="Arial"/>
          <w:sz w:val="20"/>
          <w:szCs w:val="20"/>
        </w:rPr>
        <w:t xml:space="preserve">Multi-site studies exist (Pfohl et al., 2021; Poulain et al., 2023; Röösli et al., 2022) but report fairness at the database or federation level, not at the individual hospital level. Federated learning (Poulain et al., 2023) inherently trains across 208 hospital sites but aggregates fairness metrics, masking between-site heterogeneity. </w:t>
      </w:r>
      <w:r>
        <w:rPr>
          <w:rFonts w:ascii="Arial" w:cs="Arial" w:eastAsia="Arial" w:hAnsi="Arial"/>
          <w:b/>
          <w:bCs/>
          <w:i w:val="false"/>
          <w:iCs w:val="false"/>
          <w:sz w:val="20"/>
          <w:szCs w:val="20"/>
        </w:rPr>
        <w:t xml:space="preserve">Methodological implication: </w:t>
      </w:r>
      <w:r>
        <w:rPr>
          <w:rFonts w:ascii="Arial" w:cs="Arial" w:eastAsia="Arial" w:hAnsi="Arial"/>
          <w:sz w:val="20"/>
          <w:szCs w:val="20"/>
        </w:rPr>
        <w:t xml:space="preserve">A hospital adopting a model validated as “fair” in aggregate may unknowingly deploy a locally unfair system. Site-level fairness assessment requires disaggregated cross-hospital analysis—which no existing study provides at scale.</w:t>
      </w:r>
    </w:p>
    <w:p>
      <w:pPr>
        <w:pStyle w:val="Heading2"/>
        <w:spacing w:before="240" w:after="120"/>
      </w:pPr>
      <w:r>
        <w:rPr>
          <w:rFonts w:ascii="Arial" w:cs="Arial" w:eastAsia="Arial" w:hAnsi="Arial"/>
          <w:b/>
          <w:bCs/>
          <w:sz w:val="24"/>
          <w:szCs w:val="24"/>
        </w:rPr>
        <w:t xml:space="preserve">Gap 5: No empirical guidance on minimum sample sizes for reliable fairness assessment</w:t>
      </w:r>
    </w:p>
    <w:p>
      <w:pPr>
        <w:spacing w:after="120" w:line="276"/>
      </w:pPr>
      <w:r>
        <w:rPr>
          <w:rFonts w:ascii="Arial" w:cs="Arial" w:eastAsia="Arial" w:hAnsi="Arial"/>
          <w:sz w:val="20"/>
          <w:szCs w:val="20"/>
        </w:rPr>
        <w:t xml:space="preserve">Singh &amp; Chunara (2023) derive theoretical sample size formulas for fairness audits, but these have not been empirically validated on real clinical data. No existing study provides a data-driven answer to the question: </w:t>
      </w:r>
      <w:r>
        <w:rPr>
          <w:rFonts w:ascii="Arial" w:cs="Arial" w:eastAsia="Arial" w:hAnsi="Arial"/>
          <w:b w:val="false"/>
          <w:bCs w:val="false"/>
          <w:i/>
          <w:iCs/>
          <w:sz w:val="20"/>
          <w:szCs w:val="20"/>
        </w:rPr>
        <w:t xml:space="preserve">“How many patients do I need before my fairness assessment is trustworthy?”</w:t>
      </w:r>
      <w:r>
        <w:rPr>
          <w:rFonts w:ascii="Arial" w:cs="Arial" w:eastAsia="Arial" w:hAnsi="Arial"/>
          <w:sz w:val="20"/>
          <w:szCs w:val="20"/>
        </w:rPr>
        <w:t xml:space="preserve"> </w:t>
      </w:r>
      <w:r>
        <w:rPr>
          <w:rFonts w:ascii="Arial" w:cs="Arial" w:eastAsia="Arial" w:hAnsi="Arial"/>
          <w:b/>
          <w:bCs/>
          <w:i w:val="false"/>
          <w:iCs w:val="false"/>
          <w:sz w:val="20"/>
          <w:szCs w:val="20"/>
        </w:rPr>
        <w:t xml:space="preserve">Methodological implication: </w:t>
      </w:r>
      <w:r>
        <w:rPr>
          <w:rFonts w:ascii="Arial" w:cs="Arial" w:eastAsia="Arial" w:hAnsi="Arial"/>
          <w:sz w:val="20"/>
          <w:szCs w:val="20"/>
        </w:rPr>
        <w:t xml:space="preserve">Without such guidance, hospitals with limited patient volumes cannot determine whether their fairness audits are statistically meaningful. This is particularly consequential for rare subgroups (e.g., Indigenous patients, non-binary individuals) where sample sizes are inherently small.</w:t>
      </w:r>
    </w:p>
    <w:p>
      <w:pPr>
        <w:pStyle w:val="Heading2"/>
        <w:spacing w:before="240" w:after="120"/>
      </w:pPr>
      <w:r>
        <w:rPr>
          <w:rFonts w:ascii="Arial" w:cs="Arial" w:eastAsia="Arial" w:hAnsi="Arial"/>
          <w:b/>
          <w:bCs/>
          <w:sz w:val="24"/>
          <w:szCs w:val="24"/>
        </w:rPr>
        <w:t xml:space="preserve">How This Study Addresses These Gaps</w:t>
      </w:r>
    </w:p>
    <w:p>
      <w:pPr>
        <w:spacing w:after="120" w:line="276"/>
      </w:pPr>
      <w:r>
        <w:rPr>
          <w:rFonts w:ascii="Arial" w:cs="Arial" w:eastAsia="Arial" w:hAnsi="Arial"/>
          <w:sz w:val="20"/>
          <w:szCs w:val="20"/>
        </w:rPr>
        <w:t xml:space="preserve">This study is the first to unify LOS prediction (Gap 1) with comprehensive fairness evaluation using 7 complementary metrics across 4 protected attributes (Gap 2), </w:t>
      </w:r>
      <w:r>
        <w:rPr>
          <w:rFonts w:ascii="Arial" w:cs="Arial" w:eastAsia="Arial" w:hAnsi="Arial"/>
          <w:sz w:val="20"/>
          <w:szCs w:val="20"/>
        </w:rPr>
        <w:t xml:space="preserve">systematic reliability analysis via random-subset resampling and sample-size sensitivity testing (Gap 3), </w:t>
      </w:r>
      <w:r>
        <w:rPr>
          <w:rFonts w:ascii="Arial" w:cs="Arial" w:eastAsia="Arial" w:hAnsi="Arial"/>
          <w:sz w:val="20"/>
          <w:szCs w:val="20"/>
        </w:rPr>
        <w:t xml:space="preserve">cross-hospital fairness validation across 441 hospitals at the individual-site level (Gap 4), </w:t>
      </w:r>
      <w:r>
        <w:rPr>
          <w:rFonts w:ascii="Arial" w:cs="Arial" w:eastAsia="Arial" w:hAnsi="Arial"/>
          <w:sz w:val="20"/>
          <w:szCs w:val="20"/>
        </w:rPr>
        <w:t xml:space="preserve">and empirical minimum sample size recommendations demonstrating that N &gt; 50,000 is required before fairness metrics stabilise below CV &lt; 5% (Gap 5). </w:t>
      </w:r>
      <w:r>
        <w:rPr>
          <w:rFonts w:ascii="Arial" w:cs="Arial" w:eastAsia="Arial" w:hAnsi="Arial"/>
          <w:sz w:val="20"/>
          <w:szCs w:val="20"/>
        </w:rPr>
        <w:t xml:space="preserve">By addressing all five methodological gaps simultaneously, this work provides both a diagnostic framework for evaluating the trustworthiness of fairness assessments and actionable guidance for clinical deployment.</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2026-02-24T13:28:09.552Z</dcterms:created>
  <dcterms:modified xsi:type="dcterms:W3CDTF">2026-02-24T13:28:09.552Z</dcterms:modified>
</cp:coreProperties>
</file>

<file path=docProps/custom.xml><?xml version="1.0" encoding="utf-8"?>
<Properties xmlns="http://schemas.openxmlformats.org/officeDocument/2006/custom-properties" xmlns:vt="http://schemas.openxmlformats.org/officeDocument/2006/docPropsVTypes"/>
</file>