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757f96"/>
        </w:rPr>
      </w:pPr>
      <w:bookmarkStart w:colFirst="0" w:colLast="0" w:name="_omdg4m2fcxc9" w:id="0"/>
      <w:bookmarkEnd w:id="0"/>
      <w:r w:rsidDel="00000000" w:rsidR="00000000" w:rsidRPr="00000000">
        <w:rPr>
          <w:rFonts w:ascii="Arial Unicode MS" w:cs="Arial Unicode MS" w:eastAsia="Arial Unicode MS" w:hAnsi="Arial Unicode MS"/>
          <w:color w:val="757f96"/>
          <w:rtl w:val="0"/>
          <w:highlight w:val="yellow"/>
        </w:rPr>
        <w:t xml:space="preserve">發行人： AXA Investment Managers Paris</w:t>
      </w:r>
    </w:p>
    <w:p w:rsidR="00000000" w:rsidDel="00000000" w:rsidP="00000000" w:rsidRDefault="00000000" w:rsidRPr="00000000" w14:paraId="00000002">
      <w:pPr>
        <w:rPr>
          <w:rFonts w:ascii="Arial" w:cs="Arial" w:eastAsia="Arial" w:hAnsi="Arial"/>
          <w:color w:val="757f96"/>
        </w:rPr>
      </w:pPr>
      <w:r w:rsidDel="00000000" w:rsidR="00000000" w:rsidRPr="00000000">
        <w:rPr>
          <w:rtl w:val="0"/>
        </w:rPr>
      </w:r>
    </w:p>
    <w:p w:rsidR="00000000" w:rsidDel="00000000" w:rsidP="00000000" w:rsidRDefault="00000000" w:rsidRPr="00000000" w14:paraId="00000003">
      <w:pPr>
        <w:pStyle w:val="Heading2"/>
        <w:numPr>
          <w:ilvl w:val="0"/>
          <w:numId w:val="6"/>
        </w:numPr>
        <w:ind w:left="284" w:hanging="284"/>
        <w:rPr>
          <w:color w:val="757f96"/>
        </w:rPr>
      </w:pPr>
      <w:r w:rsidDel="00000000" w:rsidR="00000000" w:rsidRPr="00000000">
        <w:rPr>
          <w:rFonts w:ascii="Arial Unicode MS" w:cs="Arial Unicode MS" w:eastAsia="Arial Unicode MS" w:hAnsi="Arial Unicode MS"/>
          <w:color w:val="757f96"/>
          <w:rtl w:val="0"/>
          <w:highlight w:val="yellow"/>
        </w:rPr>
        <w:t xml:space="preserve">本概要向閣下提供有關本產品的重要資料。</w:t>
      </w:r>
      <w:numPr>
        <w:ilvl w:val="0"/>
        <w:numId w:val="1"/>
      </w:numPr>
    </w:p>
    <w:p w:rsidR="00000000" w:rsidDel="00000000" w:rsidP="00000000" w:rsidRDefault="00000000" w:rsidRPr="00000000" w14:paraId="00000004">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本概要是銷售文件的一部分。</w:t>
      </w:r>
      <w:numPr>
        <w:ilvl w:val="0"/>
        <w:numId w:val="1"/>
      </w:numPr>
    </w:p>
    <w:p w:rsidR="00000000" w:rsidDel="00000000" w:rsidP="00000000" w:rsidRDefault="00000000" w:rsidRPr="00000000" w14:paraId="00000005">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閣下不應單憑本概要投資於本產品。</w:t>
      </w:r>
      <w:numPr>
        <w:ilvl w:val="0"/>
        <w:numId w:val="1"/>
      </w:numPr>
    </w:p>
    <w:p w:rsidR="00000000" w:rsidDel="00000000" w:rsidP="00000000" w:rsidRDefault="00000000" w:rsidRPr="00000000" w14:paraId="00000006">
      <w:pPr>
        <w:spacing w:before="15" w:lineRule="auto"/>
        <w:ind w:left="113" w:firstLine="0"/>
        <w:rPr>
          <w:rFonts w:ascii="Arial" w:cs="Arial" w:eastAsia="Arial" w:hAnsi="Arial"/>
          <w:sz w:val="20"/>
          <w:szCs w:val="20"/>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
                <a:graphic>
                  <a:graphicData uri="http://schemas.microsoft.com/office/word/2010/wordprocessingGroup">
                    <wpg:wgp>
                      <wpg:cNvGrpSpPr/>
                      <wpg:grpSpPr>
                        <a:xfrm>
                          <a:off x="1845850" y="1198100"/>
                          <a:ext cx="7000255" cy="5161402"/>
                          <a:chOff x="1845850" y="1198100"/>
                          <a:chExt cx="7000300" cy="5165950"/>
                        </a:xfrm>
                      </wpg:grpSpPr>
                      <wpg:grpSp>
                        <wpg:cNvGrpSpPr/>
                        <wpg:grpSpPr>
                          <a:xfrm>
                            <a:off x="1845873" y="1199299"/>
                            <a:ext cx="7000255" cy="5161402"/>
                            <a:chOff x="454" y="487"/>
                            <a:chExt cx="10998" cy="7210"/>
                          </a:xfrm>
                        </wpg:grpSpPr>
                        <wps:wsp>
                          <wps:cNvSpPr/>
                          <wps:cNvPr id="5" name="Shape 5"/>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36" name="Shape 36"/>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7000255" cy="5161402"/>
                        </a:xfrm>
                        <a:prstGeom prst="rect"/>
                        <a:ln/>
                      </pic:spPr>
                    </pic:pic>
                  </a:graphicData>
                </a:graphic>
              </wp:anchor>
            </w:drawing>
          </mc:Fallback>
        </mc:AlternateContent>
      </w:r>
    </w:p>
    <w:p w:rsidR="00000000" w:rsidDel="00000000" w:rsidP="00000000" w:rsidRDefault="00000000" w:rsidRPr="00000000" w14:paraId="00000007">
      <w:pPr>
        <w:ind w:left="255" w:firstLine="0"/>
        <w:rPr>
          <w:rFonts w:ascii="Arial" w:cs="Arial" w:eastAsia="Arial" w:hAnsi="Arial"/>
          <w:b w:val="1"/>
          <w:color w:val="757f96"/>
          <w:sz w:val="18"/>
          <w:szCs w:val="18"/>
        </w:rPr>
      </w:pPr>
      <w:r w:rsidDel="00000000" w:rsidR="00000000" w:rsidRPr="00000000">
        <w:rPr>
          <w:rFonts w:ascii="Arial Unicode MS" w:cs="Arial Unicode MS" w:eastAsia="Arial Unicode MS" w:hAnsi="Arial Unicode MS"/>
          <w:b w:val="1"/>
          <w:color w:val="757f96"/>
          <w:sz w:val="18"/>
          <w:szCs w:val="18"/>
          <w:rtl w:val="0"/>
        </w:rPr>
        <w:t xml:space="preserve">資料便覽</w:t>
      </w:r>
    </w:p>
    <w:p w:rsidR="00000000" w:rsidDel="00000000" w:rsidP="00000000" w:rsidRDefault="00000000" w:rsidRPr="00000000" w14:paraId="00000008">
      <w:pPr>
        <w:tabs>
          <w:tab w:val="left" w:leader="none" w:pos="4620"/>
        </w:tabs>
        <w:ind w:left="255"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ab/>
      </w:r>
    </w:p>
    <w:p w:rsidR="00000000" w:rsidDel="00000000" w:rsidP="00000000" w:rsidRDefault="00000000" w:rsidRPr="00000000" w14:paraId="00000009">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基金經理：</w:t>
        <w:tab/>
      </w:r>
      <w:r w:rsidDel="00000000" w:rsidR="00000000" w:rsidRPr="00000000">
        <w:rPr>
          <w:rFonts w:ascii="Arial Unicode MS" w:cs="Arial Unicode MS" w:eastAsia="Arial Unicode MS" w:hAnsi="Arial Unicode MS"/>
          <w:sz w:val="18"/>
          <w:szCs w:val="18"/>
          <w:rtl w:val="0"/>
          <w:highlight w:val="yellow"/>
        </w:rPr>
        <w:t xml:space="preserve">AXA Investment Managers Paris（法國）</w:t>
      </w:r>
    </w:p>
    <w:p w:rsidR="00000000" w:rsidDel="00000000" w:rsidP="00000000" w:rsidRDefault="00000000" w:rsidRPr="00000000" w14:paraId="0000000A">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highlight w:val="yellow"/>
        </w:rPr>
        <w:tab/>
        <w:t xml:space="preserve">子基金的證券化資產之投資管理由AXA Investment Managers Paris（法國）履行</w:t>
      </w:r>
    </w:p>
    <w:p w:rsidR="00000000" w:rsidDel="00000000" w:rsidP="00000000" w:rsidRDefault="00000000" w:rsidRPr="00000000" w14:paraId="0000000B">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獲轉授的基金經理：</w:t>
        <w:tab/>
      </w:r>
      <w:r w:rsidDel="00000000" w:rsidR="00000000" w:rsidRPr="00000000">
        <w:rPr>
          <w:rFonts w:ascii="Arial Unicode MS" w:cs="Arial Unicode MS" w:eastAsia="Arial Unicode MS" w:hAnsi="Arial Unicode MS"/>
          <w:sz w:val="18"/>
          <w:szCs w:val="18"/>
          <w:rtl w:val="0"/>
          <w:highlight w:val="yellow"/>
        </w:rPr>
        <w:t xml:space="preserve">投資經理： </w:t>
      </w:r>
    </w:p>
    <w:p w:rsidR="00000000" w:rsidDel="00000000" w:rsidP="00000000" w:rsidRDefault="00000000" w:rsidRPr="00000000" w14:paraId="0000000D">
      <w:pPr>
        <w:tabs>
          <w:tab w:val="left" w:leader="none" w:pos="3656"/>
        </w:tabs>
        <w:ind w:left="3686" w:hanging="3431"/>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highlight w:val="yellow"/>
        </w:rPr>
        <w:tab/>
        <w:t xml:space="preserve">AXA Investment Managers UK Limited（在英國內部委任）</w:t>
      </w:r>
    </w:p>
    <w:p w:rsidR="00000000" w:rsidDel="00000000" w:rsidP="00000000" w:rsidRDefault="00000000" w:rsidRPr="00000000" w14:paraId="0000000E">
      <w:pPr>
        <w:tabs>
          <w:tab w:val="left" w:leader="none" w:pos="3656"/>
          <w:tab w:val="left" w:leader="none" w:pos="6507"/>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副投資經理：</w:t>
      </w:r>
    </w:p>
    <w:p w:rsidR="00000000" w:rsidDel="00000000" w:rsidP="00000000" w:rsidRDefault="00000000" w:rsidRPr="00000000" w14:paraId="0000000F">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US Inc.（在美國內部委任）</w:t>
      </w:r>
    </w:p>
    <w:p w:rsidR="00000000" w:rsidDel="00000000" w:rsidP="00000000" w:rsidRDefault="00000000" w:rsidRPr="00000000" w14:paraId="00000010">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ind w:left="3657" w:right="282" w:hanging="3402"/>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存管人：</w:t>
        <w:tab/>
      </w:r>
      <w:r w:rsidDel="00000000" w:rsidR="00000000" w:rsidRPr="00000000">
        <w:rPr>
          <w:rFonts w:ascii="Arial" w:cs="Arial" w:eastAsia="Arial" w:hAnsi="Arial"/>
          <w:sz w:val="18"/>
          <w:szCs w:val="18"/>
          <w:rtl w:val="0"/>
          <w:highlight w:val="yellow"/>
        </w:rPr>
        <w:t xml:space="preserve">State Street Bank International GmbH</w:t>
      </w:r>
    </w:p>
    <w:p w:rsidR="00000000" w:rsidDel="00000000" w:rsidP="00000000" w:rsidRDefault="00000000" w:rsidRPr="00000000" w14:paraId="00000012">
      <w:pPr>
        <w:ind w:left="3657" w:right="282" w:hanging="3402"/>
        <w:jc w:val="both"/>
        <w:rPr>
          <w:rFonts w:ascii="PMingLiu" w:cs="PMingLiu" w:eastAsia="PMingLiu" w:hAnsi="PMingLiu"/>
          <w:sz w:val="18"/>
          <w:szCs w:val="18"/>
        </w:rPr>
      </w:pPr>
      <w:r w:rsidDel="00000000" w:rsidR="00000000" w:rsidRPr="00000000">
        <w:rPr>
          <w:rFonts w:ascii="Arial" w:cs="Arial" w:eastAsia="Arial" w:hAnsi="Arial"/>
          <w:sz w:val="18"/>
          <w:szCs w:val="18"/>
          <w:rtl w:val="0"/>
        </w:rPr>
        <w:tab/>
      </w:r>
      <w:r w:rsidDel="00000000" w:rsidR="00000000" w:rsidRPr="00000000">
        <w:rPr>
          <w:rFonts w:ascii="PMingLiu" w:cs="PMingLiu" w:eastAsia="PMingLiu" w:hAnsi="PMingLiu"/>
          <w:sz w:val="18"/>
          <w:szCs w:val="18"/>
          <w:rtl w:val="0"/>
        </w:rPr>
        <w:t xml:space="preserve">盧森堡分行</w:t>
      </w:r>
    </w:p>
    <w:p w:rsidR="00000000" w:rsidDel="00000000" w:rsidP="00000000" w:rsidRDefault="00000000" w:rsidRPr="00000000" w14:paraId="00000013">
      <w:pPr>
        <w:spacing w:before="10" w:line="110" w:lineRule="auto"/>
        <w:rPr>
          <w:rFonts w:ascii="Arial" w:cs="Arial" w:eastAsia="Arial" w:hAnsi="Arial"/>
          <w:sz w:val="18"/>
          <w:szCs w:val="18"/>
        </w:rPr>
      </w:pPr>
      <w:r w:rsidDel="00000000" w:rsidR="00000000" w:rsidRPr="00000000">
        <w:rPr>
          <w:rtl w:val="0"/>
          <w:b/>
        </w:rPr>
      </w:r>
    </w:p>
    <w:p w:rsidR="00000000" w:rsidDel="00000000" w:rsidP="00000000" w:rsidRDefault="00000000" w:rsidRPr="00000000" w14:paraId="00000014">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全年經常性開支比率*：</w:t>
        <w:tab/>
      </w:r>
      <w:r w:rsidDel="00000000" w:rsidR="00000000" w:rsidRPr="00000000">
        <w:rPr>
          <w:rFonts w:ascii="Arial Unicode MS" w:cs="Arial Unicode MS" w:eastAsia="Arial Unicode MS" w:hAnsi="Arial Unicode MS"/>
          <w:sz w:val="18"/>
          <w:szCs w:val="18"/>
          <w:rtl w:val="0"/>
          <w:highlight w:val="yellow"/>
        </w:rPr>
        <w:t xml:space="preserve">A 類累積（美元）：1.25% </w:t>
      </w:r>
      <w:ins>
        <w:r>
          <w:t>3</w:t>
        </w:r>
      </w:ins>
    </w:p>
    <w:p w:rsidR="00000000" w:rsidDel="00000000" w:rsidP="00000000" w:rsidRDefault="00000000" w:rsidRPr="00000000" w14:paraId="00000015">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w:cs="Arial" w:eastAsia="Arial" w:hAnsi="Arial"/>
          <w:b w:val="1"/>
          <w:sz w:val="18"/>
          <w:szCs w:val="18"/>
          <w:rtl w:val="0"/>
          <w:highlight w:val="yellow"/>
        </w:rPr>
        <w:tab/>
      </w:r>
      <w:r w:rsidDel="00000000" w:rsidR="00000000" w:rsidRPr="00000000">
        <w:rPr>
          <w:rFonts w:ascii="Arial Unicode MS" w:cs="Arial Unicode MS" w:eastAsia="Arial Unicode MS" w:hAnsi="Arial Unicode MS"/>
          <w:sz w:val="18"/>
          <w:szCs w:val="18"/>
          <w:rtl w:val="0"/>
        </w:rPr>
        <w:t xml:space="preserve">A 類累積（港元對沖95%**）：1.28%</w:t>
      </w:r>
    </w:p>
    <w:p w:rsidR="00000000" w:rsidDel="00000000" w:rsidP="00000000" w:rsidRDefault="00000000" w:rsidRPr="00000000" w14:paraId="00000016">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highlight w:val="yellow"/>
        </w:rPr>
        <w:tab/>
        <w:t xml:space="preserve">A類每月分派「st」（美元）：1.25%</w:t>
      </w:r>
      <w:ins>
        <w:r>
          <w:t>6</w:t>
        </w:r>
      </w:ins>
    </w:p>
    <w:p w:rsidR="00000000" w:rsidDel="00000000" w:rsidP="00000000" w:rsidRDefault="00000000" w:rsidRPr="00000000" w14:paraId="00000017">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A類每月分派「st」（港元對沖95%**）：1.28%</w:t>
      </w:r>
    </w:p>
    <w:p w:rsidR="00000000" w:rsidDel="00000000" w:rsidP="00000000" w:rsidRDefault="00000000" w:rsidRPr="00000000" w14:paraId="00000018">
      <w:pPr>
        <w:tabs>
          <w:tab w:val="left" w:leader="none" w:pos="3656"/>
        </w:tabs>
        <w:ind w:left="255" w:firstLine="0"/>
        <w:rPr>
          <w:rFonts w:ascii="Arial" w:cs="Arial" w:eastAsia="Arial" w:hAnsi="Arial"/>
          <w:sz w:val="18"/>
          <w:szCs w:val="18"/>
        </w:rPr>
      </w:pPr>
      <w:r w:rsidDel="00000000" w:rsidR="00000000" w:rsidRPr="00000000">
        <w:rPr>
          <w:rtl w:val="0"/>
          <w:b/>
        </w:rPr>
      </w:r>
    </w:p>
    <w:p w:rsidR="00000000" w:rsidDel="00000000" w:rsidP="00000000" w:rsidRDefault="00000000" w:rsidRPr="00000000" w14:paraId="00000019">
      <w:pPr>
        <w:tabs>
          <w:tab w:val="left" w:leader="none" w:pos="3656"/>
          <w:tab w:val="left" w:leader="none" w:pos="42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交易頻密程度：</w:t>
        <w:tab/>
      </w:r>
      <w:r w:rsidDel="00000000" w:rsidR="00000000" w:rsidRPr="00000000">
        <w:rPr>
          <w:rFonts w:ascii="Arial Unicode MS" w:cs="Arial Unicode MS" w:eastAsia="Arial Unicode MS" w:hAnsi="Arial Unicode MS"/>
          <w:sz w:val="18"/>
          <w:szCs w:val="18"/>
          <w:rtl w:val="0"/>
        </w:rPr>
        <w:t xml:space="preserve">每日</w:t>
      </w:r>
    </w:p>
    <w:p w:rsidR="00000000" w:rsidDel="00000000" w:rsidP="00000000" w:rsidRDefault="00000000" w:rsidRPr="00000000" w14:paraId="0000001A">
      <w:pPr>
        <w:spacing w:before="5" w:line="110" w:lineRule="auto"/>
        <w:rPr>
          <w:rFonts w:ascii="Arial" w:cs="Arial" w:eastAsia="Arial" w:hAnsi="Arial"/>
          <w:sz w:val="18"/>
          <w:szCs w:val="18"/>
        </w:rPr>
      </w:pPr>
      <w:r w:rsidDel="00000000" w:rsidR="00000000" w:rsidRPr="00000000">
        <w:rPr>
          <w:rtl w:val="0"/>
          <w:b/>
        </w:rPr>
      </w:r>
    </w:p>
    <w:p w:rsidR="00000000" w:rsidDel="00000000" w:rsidP="00000000" w:rsidRDefault="00000000" w:rsidRPr="00000000" w14:paraId="0000001B">
      <w:pPr>
        <w:tabs>
          <w:tab w:val="left" w:leader="none" w:pos="3656"/>
        </w:tabs>
        <w:ind w:left="255" w:firstLine="0"/>
        <w:rPr>
          <w:rFonts w:ascii="Arial" w:cs="Arial" w:eastAsia="Arial" w:hAnsi="Arial"/>
          <w:b w:val="1"/>
          <w:sz w:val="18"/>
          <w:szCs w:val="18"/>
        </w:rPr>
      </w:pPr>
      <w:ins>
        <w:r w:rsidDel="00000000" w:rsidR="00000000" w:rsidRPr="00000000">
          <w:rPr>
            <w:rFonts w:ascii="Arial Unicode MS" w:cs="Arial Unicode MS" w:eastAsia="Arial Unicode MS" w:hAnsi="Arial Unicode MS"/>
            <w:b w:val="1"/>
            <w:sz w:val="18"/>
            <w:szCs w:val="18"/>
            <w:rtl w:val="0"/>
          </w:rPr>
          <w:t xml:space="preserve">基本貨幣：</w:t>
        </w:r>
      </w:ins>
      <w:r w:rsidDel="00000000" w:rsidR="00000000" w:rsidRPr="00000000">
        <w:rPr>
          <w:rFonts w:ascii="Arial Unicode MS" w:cs="Arial Unicode MS" w:eastAsia="Arial Unicode MS" w:hAnsi="Arial Unicode MS"/>
          <w:sz w:val="18"/>
          <w:szCs w:val="18"/>
          <w:rtl w:val="0"/>
        </w:rPr>
        <w:tab/>
        <w:t xml:space="preserve">美元</w:t>
      </w:r>
      <w:r w:rsidDel="00000000" w:rsidR="00000000" w:rsidRPr="00000000">
        <w:rPr>
          <w:rtl w:val="0"/>
        </w:rPr>
      </w:r>
    </w:p>
    <w:p w:rsidR="00000000" w:rsidDel="00000000" w:rsidP="00000000" w:rsidRDefault="00000000" w:rsidRPr="00000000" w14:paraId="0000001C">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派息政策：</w:t>
        <w:tab/>
      </w:r>
      <w:r w:rsidDel="00000000" w:rsidR="00000000" w:rsidRPr="00000000">
        <w:rPr>
          <w:rFonts w:ascii="Arial Unicode MS" w:cs="Arial Unicode MS" w:eastAsia="Arial Unicode MS" w:hAnsi="Arial Unicode MS"/>
          <w:sz w:val="18"/>
          <w:szCs w:val="18"/>
          <w:rtl w:val="0"/>
          <w:highlight w:val="yellow"/>
        </w:rPr>
        <w:t xml:space="preserve">累積股份：不分派股息</w:t>
      </w:r>
    </w:p>
    <w:p w:rsidR="00000000" w:rsidDel="00000000" w:rsidP="00000000" w:rsidRDefault="00000000" w:rsidRPr="00000000" w14:paraId="0000001E">
      <w:pPr>
        <w:tabs>
          <w:tab w:val="left" w:leader="none" w:pos="3656"/>
        </w:tabs>
        <w:ind w:left="3686" w:hanging="3431"/>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highlight w:val="yellow"/>
        </w:rPr>
        <w:t xml:space="preserve">分派股份：股息將每年酌情分派及決定。「每月分派」股份類別擬每月分派股息，按董事會酌情決定。股息（如有）可分派予有關股東或再投資於附屬基金。分派可從資本或實際上從資本中支付，要是如此支付，則可能減少附屬基金的資產淨值。附有識別碼「st」的分派股份類別旨在按董事會的酌情權於財政年度內根據相關分派頻率按比例支付穩定金額或息率，而無持續及過多資本流失。</w:t>
      </w:r>
    </w:p>
    <w:p w:rsidR="00000000" w:rsidDel="00000000" w:rsidP="00000000" w:rsidRDefault="00000000" w:rsidRPr="00000000" w14:paraId="0000001F">
      <w:pPr>
        <w:tabs>
          <w:tab w:val="left" w:leader="none" w:pos="3656"/>
        </w:tabs>
        <w:ind w:left="3686" w:hanging="3431"/>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本基金財政年度終結日：</w:t>
        <w:tab/>
      </w:r>
      <w:r w:rsidDel="00000000" w:rsidR="00000000" w:rsidRPr="00000000">
        <w:rPr>
          <w:rFonts w:ascii="Arial Unicode MS" w:cs="Arial Unicode MS" w:eastAsia="Arial Unicode MS" w:hAnsi="Arial Unicode MS"/>
          <w:sz w:val="18"/>
          <w:szCs w:val="18"/>
          <w:rtl w:val="0"/>
          <w:highlight w:val="yellow"/>
        </w:rPr>
        <w:t xml:space="preserve">12月31日</w:t>
      </w:r>
    </w:p>
    <w:p w:rsidR="00000000" w:rsidDel="00000000" w:rsidP="00000000" w:rsidRDefault="00000000" w:rsidRPr="00000000" w14:paraId="00000021">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最低投資額：</w:t>
        <w:tab/>
      </w:r>
      <w:r w:rsidDel="00000000" w:rsidR="00000000" w:rsidRPr="00000000">
        <w:rPr>
          <w:rFonts w:ascii="Arial Unicode MS" w:cs="Arial Unicode MS" w:eastAsia="Arial Unicode MS" w:hAnsi="Arial Unicode MS"/>
          <w:sz w:val="18"/>
          <w:szCs w:val="18"/>
          <w:rtl w:val="0"/>
          <w:highlight w:val="yellow"/>
        </w:rPr>
        <w:t xml:space="preserve">A 類： 無（首次）；無（其後）</w:t>
      </w:r>
    </w:p>
    <w:p w:rsidR="00000000" w:rsidDel="00000000" w:rsidP="00000000" w:rsidRDefault="00000000" w:rsidRPr="00000000" w14:paraId="00000023">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tab/>
        <w:t xml:space="preserve">A 類累積（美元／港元對沖95%）及A類每月分派「st」（美元／港元對沖95%）：經常性開支數字乃根據截至2022年12月31日止十二個月期間的開支計算。此數字每年可能有所變動。</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tab/>
        <w:t xml:space="preserve">港元對沖95%是指將與附屬基金的基本貨幣（即美元）對沖最少95%的港元股份類別。</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1"/>
          <w:i w:val="0"/>
          <w:smallCaps w:val="0"/>
          <w:strike w:val="0"/>
          <w:color w:val="646d7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646d7c"/>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46d7c"/>
          <w:sz w:val="18"/>
          <w:szCs w:val="18"/>
          <w:u w:val="none"/>
          <w:shd w:fill="auto" w:val="clear"/>
          <w:vertAlign w:val="baseline"/>
          <w:rtl w:val="0"/>
        </w:rPr>
        <w:t xml:space="preserve">本附屬基金是甚麼產品?</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安盛環球基金 – 環球策略債券（「附屬基金」）以開放式公司的形式組成，在盧森堡註冊及其所在地監管機構為「Commission de Surveillance du Secteur Financier」（CSSF）。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Arial" w:cs="Arial" w:eastAsia="Arial" w:hAnsi="Arial"/>
          <w:b w:val="0"/>
          <w:i w:val="1"/>
          <w:sz w:val="18"/>
          <w:szCs w:val="18"/>
        </w:rPr>
      </w:pPr>
      <w:r w:rsidDel="00000000" w:rsidR="00000000" w:rsidRPr="00000000">
        <w:rPr>
          <w:rFonts w:ascii="Arial Unicode MS" w:cs="Arial Unicode MS" w:eastAsia="Arial Unicode MS" w:hAnsi="Arial Unicode MS"/>
          <w:color w:val="646d7c"/>
          <w:sz w:val="18"/>
          <w:szCs w:val="18"/>
          <w:rtl w:val="0"/>
          <w:highlight w:val="yellow"/>
        </w:rPr>
        <w:t xml:space="preserve">投資目標及策略</w:t>
      </w:r>
      <w:r w:rsidDel="00000000" w:rsidR="00000000" w:rsidRPr="00000000">
        <w:rPr>
          <w:rtl w:val="0"/>
          <w:b/>
        </w:rPr>
      </w:r>
    </w:p>
    <w:p w:rsidR="00000000" w:rsidDel="00000000" w:rsidP="00000000" w:rsidRDefault="00000000" w:rsidRPr="00000000" w14:paraId="0000002E">
      <w:pPr>
        <w:pStyle w:val="Heading2"/>
        <w:ind w:left="0" w:right="3472" w:firstLine="0"/>
        <w:jc w:val="both"/>
        <w:rPr>
          <w:rFonts w:ascii="Arial" w:cs="Arial" w:eastAsia="Arial" w:hAnsi="Arial"/>
          <w:sz w:val="18"/>
          <w:szCs w:val="18"/>
        </w:rPr>
      </w:pPr>
      <w:r w:rsidDel="00000000" w:rsidR="00000000" w:rsidRPr="00000000">
        <w:rPr>
          <w:rFonts w:ascii="Arial Unicode MS" w:cs="Arial Unicode MS" w:eastAsia="Arial Unicode MS" w:hAnsi="Arial Unicode MS"/>
          <w:color w:val="757f96"/>
          <w:sz w:val="18"/>
          <w:szCs w:val="18"/>
          <w:rtl w:val="0"/>
          <w:highlight w:val="yellow"/>
        </w:rPr>
        <w:t xml:space="preserve">目標</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尋求從一個積極管理的債券投資組合，取得閣下以美元計價的投資的收入及增長。</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highlight w:val="yellow"/>
        </w:rPr>
      </w:r>
    </w:p>
    <w:p w:rsidR="00000000" w:rsidDel="00000000" w:rsidP="00000000" w:rsidRDefault="00000000" w:rsidRPr="00000000" w14:paraId="00000032">
      <w:pPr>
        <w:pStyle w:val="Heading2"/>
        <w:tabs>
          <w:tab w:val="left" w:leader="none" w:pos="1276"/>
        </w:tabs>
        <w:ind w:left="0" w:right="2905" w:firstLine="0"/>
        <w:jc w:val="both"/>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b/>
        </w:rPr>
        <w:t xml:space="preserve">投資策略</w:t>
      </w:r>
      <w:ins>
        <w:r>
          <w:t>Hong Kong, Bangladesh,</w:t>
        </w:r>
      </w:ins>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接受積極管理，並無參考任何特定基準。附屬基金投資於全球任何地方，包括新興市場（例如：烏克蘭、科特迪瓦、洪都拉斯、巴拉圭、塞內加爾、埃及、牙買加、馬其頓及巴林）的發行人發行的任何類型、信貸質素和貨幣的債券及貨幣市場工具（例如：政府債券及企業債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ins>
        <w:r>
          <w:t>fourth</w:t>
        </w:r>
      </w:ins>
      <w:ins>
        <w:r>
          <w:t>100</w:t>
        </w:r>
      </w:ins>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具體而言，附屬基金主要（即最少為淨資產的51%）投資於定息及浮息、投資級別及次投資級別可轉讓債務證券，包括政府、公營機構及公司發行的通脹掛鈎債券及債務證券。預期在正常情況下，附屬基金會將其淨資產最少三分之二投資於該等證券。附屬基金可將淨資產最多100%投資於次投資級別或如未獲評級（即證券本身及其發行人均無信貸評級）則被投資經理視為相當於該等級別的評級的債務證券。附屬基金可將淨資產最多25%投資於由單一主權發行人（包括該國家的政府及任何公營或當地機關）（例如：烏克蘭、科特迪瓦、洪都拉斯、巴拉圭、塞內加爾、埃及、牙買加、馬其頓及巴林）發行或擔保的次投資級別證券。請注意，主權發行人的信貸評級可能不時轉變，而上述主權國家僅供參考，並可能不時作出更改。該等投資建基於投資經理的專業判斷，其投資理由可能包括根據投資經理的分析對主權發行人的利好和正面展望。投資經理認為在作出該等投資時必須保持靈活性，以實現投資目標。</w:t>
      </w:r>
    </w:p>
    <w:p w:rsidR="00000000" w:rsidDel="00000000" w:rsidP="00000000" w:rsidRDefault="00000000" w:rsidRPr="00000000" w14:paraId="00000036">
      <w:pPr>
        <w:pStyle w:val="Heading2"/>
        <w:tabs>
          <w:tab w:val="left" w:leader="none" w:pos="1276"/>
        </w:tabs>
        <w:ind w:left="0" w:right="69" w:firstLine="0"/>
        <w:jc w:val="both"/>
        <w:rPr>
          <w:rFonts w:ascii="Arial" w:cs="Arial" w:eastAsia="Arial" w:hAnsi="Arial"/>
          <w:b w:val="0"/>
          <w:sz w:val="18"/>
          <w:szCs w:val="18"/>
        </w:rPr>
      </w:pPr>
      <w:ins>
        <w:r w:rsidDel="00000000" w:rsidR="00000000" w:rsidRPr="00000000">
          <w:rPr>
            <w:rtl w:val="0"/>
          </w:rPr>
        </w:r>
      </w:ins>
    </w:p>
    <w:p w:rsidR="00000000" w:rsidDel="00000000" w:rsidP="00000000" w:rsidRDefault="00000000" w:rsidRPr="00000000" w14:paraId="00000037">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附屬基金可投資於或投資參與可贖回債券的總資產並無任何特定限制。附屬基金亦可將淨資產最多25%投資於由銀行、保險公司及非金融企業發行的後償債務。</w:t>
      </w:r>
    </w:p>
    <w:p w:rsidR="00000000" w:rsidDel="00000000" w:rsidP="00000000" w:rsidRDefault="00000000" w:rsidRPr="00000000" w14:paraId="00000038">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b/>
        </w:rPr>
      </w:r>
    </w:p>
    <w:p w:rsidR="00000000" w:rsidDel="00000000" w:rsidP="00000000" w:rsidRDefault="00000000" w:rsidRPr="00000000" w14:paraId="00000039">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亦可因持有評級已被下調至違約或受壓級別的債券而將淨資產最多10%持有受壓及違約證券，如投資經理認為該等債券與附屬基金的投資目標符合一致。預期此等證券將於6個月內出售，除非有特定事件妨礙投資經理獲取其流動資金來源。</w:t>
      </w:r>
    </w:p>
    <w:p w:rsidR="00000000" w:rsidDel="00000000" w:rsidP="00000000" w:rsidRDefault="00000000" w:rsidRPr="00000000" w14:paraId="0000003A">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b/>
        </w:rPr>
      </w:r>
    </w:p>
    <w:p w:rsidR="00000000" w:rsidDel="00000000" w:rsidP="00000000" w:rsidRDefault="00000000" w:rsidRPr="00000000" w14:paraId="0000003B">
      <w:pPr>
        <w:pStyle w:val="Heading2"/>
        <w:tabs>
          <w:tab w:val="left" w:leader="none" w:pos="1276"/>
        </w:tabs>
        <w:ind w:left="0" w:right="69" w:firstLine="0"/>
        <w:jc w:val="both"/>
        <w:rPr>
          <w:rFonts w:ascii="Arial" w:cs="Arial" w:eastAsia="Arial" w:hAnsi="Arial"/>
          <w:b w:val="0"/>
          <w:sz w:val="18"/>
          <w:szCs w:val="18"/>
        </w:rPr>
      </w:pPr>
      <w:ins>
        <w:r w:rsidDel="00000000" w:rsidR="00000000" w:rsidRPr="00000000">
          <w:rPr>
            <w:rFonts w:ascii="Arial Unicode MS" w:cs="Arial Unicode MS" w:eastAsia="Arial Unicode MS" w:hAnsi="Arial Unicode MS"/>
            <w:b w:val="0"/>
            <w:sz w:val="18"/>
            <w:szCs w:val="18"/>
            <w:rtl w:val="0"/>
          </w:rPr>
          <w:t xml:space="preserve">附屬基金可將少於20%的淨資產投資於證券化工具或同等的工具，例如：資產抵押證券（ABS）、債務抵押債券（CDO）、貸款抵押債券或（CLO）類似資產。</w:t>
        </w:r>
      </w:ins>
    </w:p>
    <w:p w:rsidR="00000000" w:rsidDel="00000000" w:rsidP="00000000" w:rsidRDefault="00000000" w:rsidRPr="00000000" w14:paraId="0000003C">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D">
      <w:pPr>
        <w:pStyle w:val="Heading2"/>
        <w:tabs>
          <w:tab w:val="left" w:leader="none" w:pos="1276"/>
        </w:tabs>
        <w:ind w:left="0" w:right="69" w:firstLine="0"/>
        <w:jc w:val="both"/>
        <w:rPr>
          <w:rFonts w:ascii="Arial" w:cs="Arial" w:eastAsia="Arial" w:hAnsi="Arial"/>
          <w:b w:val="0"/>
          <w:sz w:val="18"/>
          <w:szCs w:val="18"/>
        </w:rPr>
      </w:pPr>
      <w:ins>
        <w:r w:rsidDel="00000000" w:rsidR="00000000" w:rsidRPr="00000000">
          <w:rPr>
            <w:rFonts w:ascii="Arial Unicode MS" w:cs="Arial Unicode MS" w:eastAsia="Arial Unicode MS" w:hAnsi="Arial Unicode MS"/>
            <w:b w:val="0"/>
            <w:sz w:val="18"/>
            <w:szCs w:val="18"/>
            <w:rtl w:val="0"/>
          </w:rPr>
          <w:t xml:space="preserve">附屬基金可投資於具吸收虧損特點的債務工具（「LAP」），例如：或然可換股債券(CoCos)、後償債務、高級非優先債務、具吸收虧損特點的外部債務工具總額、根據金融機構的調解機制分類為額外一級資本／二級資本工具的債務工具。該等工具或須在發生觸發事件時進行應急減值或應急轉換為普通股，屆時投資經理將評估任何新工具的合適性及將持有或停止投資（取適用者）有關工具。附屬基金於LAP的預期最高投資總額將不多於其淨資產的25%，當中可能將其淨資產的最多15%投資於CoCos。 </w:t>
        </w:r>
      </w:ins>
      <w:ins>
        <w:r>
          <w:t>Hong Kong, Bangladesh,</w:t>
        </w:r>
      </w:ins>
      <w:ins>
        <w:r>
          <w:t>Ukraine, Cote D’Ivoire, Honduras, Paraguay, Senegal, Egypt, Jamaica, Macedonia and Bahrain), and in money market instruments.</w:t>
        </w:r>
      </w:ins>
    </w:p>
    <w:p w:rsidR="00000000" w:rsidDel="00000000" w:rsidP="00000000" w:rsidRDefault="00000000" w:rsidRPr="00000000" w14:paraId="0000003E">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F">
      <w:pPr>
        <w:pStyle w:val="Heading2"/>
        <w:tabs>
          <w:tab w:val="left" w:leader="none" w:pos="1276"/>
        </w:tabs>
        <w:ind w:left="0" w:right="69" w:firstLine="0"/>
        <w:jc w:val="both"/>
        <w:rPr>
          <w:rFonts w:ascii="Arial" w:cs="Arial" w:eastAsia="Arial" w:hAnsi="Arial"/>
          <w:b w:val="0"/>
          <w:sz w:val="18"/>
          <w:szCs w:val="18"/>
        </w:rPr>
      </w:pPr>
      <w:ins>
        <w:r w:rsidDel="00000000" w:rsidR="00000000" w:rsidRPr="00000000">
          <w:rPr>
            <w:rFonts w:ascii="Arial Unicode MS" w:cs="Arial Unicode MS" w:eastAsia="Arial Unicode MS" w:hAnsi="Arial Unicode MS"/>
            <w:b w:val="0"/>
            <w:sz w:val="18"/>
            <w:szCs w:val="18"/>
            <w:rtl w:val="0"/>
          </w:rPr>
          <w:t xml:space="preserve">附屬基金總計不會將超過30%的淨資產投資於證券化工具或同等的工具（例如：ABS、CDO、CLO或類似資產）或CoCos。</w:t>
        </w:r>
      </w:ins>
      <w:ins>
        <w:r>
          <w:t>Hong Kong, Bangladesh,</w:t>
        </w:r>
      </w:ins>
      <w:ins>
        <w:r>
          <w:t>Ukraine, Cote D’Ivoire, Honduras, Paraguay, Senegal, Egypt, Jamaica, Macedonia and Bahrain), and in money market instruments.</w:t>
        </w:r>
      </w:ins>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附屬基金可視乎機會而將其大量淨資產（即可能為其淨資產30%或以上）投資於144A證券（為被限制將由若干類型投資者投資的美國債務證券）。附屬基金可投資的144A證券包括投資級別及次投資級別證券。</w:t>
      </w: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b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附屬基金可將淨資產最多10%投資於UCITS及／或UCI（按香港發售備忘錄所定義）。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投資經理按照多項因素，包括宏觀經濟分析、AXA Investment Managers的環球固定收益專家的核心策略及發行人的信貸分析挑選投資。投資經理亦管理利率敏感性及對不同地理區域和工具類型的投資參與。</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投資經理必須時刻應用AXA Investment Managers的界別排除因素政策及ESG標準政策作為首個排除因素篩選，其為 (i) 涵蓋爭議性武器、氣候風險、軟性商品及生態系統保護和砍伐森林等範圍，及(ii) 排除特定的界別（例如：煙草及白磷武器），並排除投資於違反國際規範及標準（例如：聯合國全球盟約原則或經合組織多國企業指引）的公司所發行的證券；以及投資於涉及嚴重環境、社會及管治（ESG）相關事件的公司及投資於低ESG質素的發行人。由被觀察到嚴重違反有關人權的特定類型行為之國家所發行的工具亦被禁止。</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53"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此外，就以加權平均值為基礎計算的ESG得分而言，附屬基金的表現一直超越投資經理內部界定的投資領域（由洲際交易所美銀G7政府指數(ICE BofA G7 Government Index) +洲際交易所環球大型企業指數(ICE Global Large Cap Corporate Index)+ 洲際交易所美銀環球高收益指數(ICE BofA Global High Yield Index)構成的移動戰略資產配置）。ESG得分乃基於外部數據提供商的ESG評分作為主要投入數據按照包括上述及附屬基金推動的環境及社會特徵在內的ESG維度的數據點評估所得。AXA Investment Managers的ESG分析師可在ESG評分缺乏覆蓋範圍或存在分歧的情況下補充基礎層面及備錄的ESG分析，惟須經AXA Investment Managers專門的內部管治組織的批准。附屬基金中的ESG分析最低覆蓋率就於已發展國家發行及／或獲評為投資級別的證券而言為附屬基金淨資產的90%及就於新興國家發行及／或獲評為次投資級別的證券而言為附屬基金淨資產的至少75%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附屬基金可運用衍生工具作有效投資組合管理、對沖及投資。</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f2nhzt15hdci" w:id="1"/>
      <w:bookmarkEnd w:id="1"/>
      <w:r w:rsidDel="00000000" w:rsidR="00000000" w:rsidRPr="00000000">
        <w:rPr>
          <w:rtl w:val="0"/>
          <w:b/>
        </w:rPr>
      </w:r>
    </w:p>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衍生工具可包括信貸違約掉期（單一名稱CDS及CDS指數）。</w:t>
      </w:r>
    </w:p>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該等相關指數衍生工具不會有重大重新調整成本。在特殊市況下，附屬基金對相關指數的單一發行人投資參與可能超過 20%，以及最高可達淨資產的35%，特別是在相關指數高度集中時。</w:t>
      </w:r>
    </w:p>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b/>
        </w:rPr>
        <w:t xml:space="preserve">附屬基金並無運用總回報掉期。</w:t>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highlight w:val="yellow"/>
        </w:rPr>
        <w:t xml:space="preserve">為了有效投資組合管理目的，附屬基金運用以下技巧（佔淨資產某個百分比）作為其每日投資管理活動的一部分：</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證券借出：預期0-50%；最高90%</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highlight w:val="yellow"/>
        </w:rPr>
        <w:t xml:space="preserve">回購／反向回購協議（以場外交易為基礎）：預期0-10%；最高20%</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附屬基金透過訂立證券借出尋求提升每日收益（借出資產將為附屬基金創造遞增回報）。當運用回購／反向回購協議時，附屬基金尋求透過訂立抵押品轉型來管理流動性及現金，以優化抵押品管理。</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主要資產類型範疇是債券。</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highlight w:val="yellow"/>
        </w:rPr>
        <w:t xml:space="preserve">附屬基金並不運用證券借入。</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ins>
        <w:r>
          <w:t>30</w:t>
        </w:r>
      </w:ins>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61">
      <w:pPr>
        <w:rPr>
          <w:rFonts w:ascii="Arial" w:cs="Arial" w:eastAsia="Arial" w:hAnsi="Arial"/>
        </w:rPr>
        <w:sectPr>
          <w:headerReference r:id="rId13" w:type="default"/>
          <w:headerReference r:id="rId14" w:type="first"/>
          <w:footerReference r:id="rId15" w:type="default"/>
          <w:footerReference r:id="rId16" w:type="first"/>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tl w:val="0"/>
        </w:rPr>
      </w:r>
    </w:p>
    <w:p w:rsidR="00000000" w:rsidDel="00000000" w:rsidP="00000000" w:rsidRDefault="00000000" w:rsidRPr="00000000" w14:paraId="00000062">
      <w:pPr>
        <w:pStyle w:val="Heading1"/>
        <w:spacing w:after="0" w:before="0" w:lineRule="auto"/>
        <w:rPr>
          <w:rFonts w:ascii="Arial" w:cs="Arial" w:eastAsia="Arial" w:hAnsi="Arial"/>
          <w:color w:val="646d7c"/>
          <w:sz w:val="18"/>
          <w:szCs w:val="18"/>
        </w:rPr>
      </w:pPr>
      <w:r w:rsidDel="00000000" w:rsidR="00000000" w:rsidRPr="00000000">
        <w:rPr>
          <w:rtl w:val="0"/>
          <w:highlight w:val="yellow"/>
        </w:rPr>
      </w:r>
    </w:p>
    <w:p w:rsidR="00000000" w:rsidDel="00000000" w:rsidP="00000000" w:rsidRDefault="00000000" w:rsidRPr="00000000" w14:paraId="00000063">
      <w:pPr>
        <w:pStyle w:val="Heading1"/>
        <w:spacing w:after="0" w:before="0" w:lineRule="auto"/>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b/>
        </w:rPr>
        <w:t xml:space="preserve">運用衍生工具</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附屬基金的衍生工具風險承擔淨額最高可達附屬基金資產淨值的50%。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highlight w:val="yellow"/>
        </w:rPr>
      </w:r>
    </w:p>
    <w:p w:rsidR="00000000" w:rsidDel="00000000" w:rsidP="00000000" w:rsidRDefault="00000000" w:rsidRPr="00000000" w14:paraId="00000067">
      <w:pPr>
        <w:pStyle w:val="Heading1"/>
        <w:spacing w:before="0" w:lineRule="auto"/>
        <w:rPr>
          <w:rFonts w:ascii="Arial" w:cs="Arial" w:eastAsia="Arial" w:hAnsi="Arial"/>
          <w:b w:val="0"/>
          <w:sz w:val="18"/>
          <w:szCs w:val="18"/>
        </w:rPr>
      </w:pPr>
      <w:r w:rsidDel="00000000" w:rsidR="00000000" w:rsidRPr="00000000">
        <w:rPr>
          <w:rFonts w:ascii="Arial Unicode MS" w:cs="Arial Unicode MS" w:eastAsia="Arial Unicode MS" w:hAnsi="Arial Unicode MS"/>
          <w:color w:val="646d7c"/>
          <w:sz w:val="18"/>
          <w:szCs w:val="18"/>
          <w:rtl w:val="0"/>
          <w:b/>
        </w:rPr>
        <w:t xml:space="preserve">有哪些主要風險?</w:t>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投資涉及風險。請參閱銷售文件以了解風險因素等詳情。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ocil4wfz6i47" w:id="2"/>
      <w:bookmarkEnd w:id="2"/>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一般投資風險：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附屬基金的投資組合的價值可能因下列任何主要風險因素而下跌，因此，閣下於附屬基金的投資可能蒙受損失。概不保證可償還本金。</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全球投資風險：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000000" w:rsidDel="00000000" w:rsidP="00000000" w:rsidRDefault="00000000" w:rsidRPr="00000000" w14:paraId="0000006D">
      <w:pPr>
        <w:rPr>
          <w:rFonts w:ascii="Arial" w:cs="Arial" w:eastAsia="Arial" w:hAnsi="Arial"/>
          <w:sz w:val="18"/>
          <w:szCs w:val="18"/>
        </w:rPr>
      </w:pPr>
      <w:r w:rsidDel="00000000" w:rsidR="00000000" w:rsidRPr="00000000">
        <w:rPr>
          <w:rtl w:val="0"/>
          <w:b/>
        </w:rPr>
      </w:r>
      <w:numPr>
        <w:ilvl w:val="0"/>
        <w:numId w:val="1"/>
      </w:numP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新興市場風險：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高孳息債務證券風險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集中風險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利率風險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對手方風險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ins>
        <w:r w:rsidDel="00000000" w:rsidR="00000000" w:rsidRPr="00000000">
          <w:rPr>
            <w:rtl w:val="0"/>
          </w:rPr>
        </w:r>
      </w:ins>
      <w:ins>
        <w:r>
          <w:t>:</w:t>
        </w:r>
      </w:ins>
      <w:ins>
        <w: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numPr>
        <w:ilvl w:val="0"/>
        <w:numId w:val="1"/>
      </w:numP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評級下調風險：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附屬基金購買的債務證券或其發行人可能隨後被下調評級。倘若出現有關下調的情況，附屬基金的價值或會受到不利影響。投資經理未必能夠出售評級被下調的債務證券。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18"/>
          <w:szCs w:val="18"/>
          <w:u w:val="none"/>
          <w:shd w:fill="auto" w:val="clear"/>
          <w:vertAlign w:val="baseline"/>
        </w:rPr>
      </w:pPr>
      <w:bookmarkStart w:colFirst="0" w:colLast="0" w:name="_ehj8n694f9sz" w:id="3"/>
      <w:bookmarkEnd w:id="3"/>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估值風險：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附屬基金的投資的估值或會涉及不明朗因素及判定性的決定。如證實該估值不正確，可能影響附屬基金的資產淨值計算。</w:t>
      </w:r>
      <w:r w:rsidDel="00000000" w:rsidR="00000000" w:rsidRPr="00000000">
        <w:rPr>
          <w:rtl w:val="0"/>
        </w:rPr>
      </w:r>
      <w:numPr>
        <w:ilvl w:val="0"/>
        <w:numId w:val="1"/>
      </w:numP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2cmpvmlkxwz3" w:id="4"/>
      <w:bookmarkEnd w:id="4"/>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信貸評級的可靠性：</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評級機構給予的信貸評級存在局限性，且並不時刻保證該證券及／或發行人的信用可靠性。</w:t>
      </w:r>
      <w:numPr>
        <w:ilvl w:val="0"/>
        <w:numId w:val="1"/>
      </w:numP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ins>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主權債務風險</w:t>
        </w:r>
      </w:ins>
      <w:ins>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由單一主權發行人（包括該國家的政府及任何公營或當地機關）（例如：烏克蘭、科特迪瓦、洪都拉斯、巴拉圭、塞內加爾、埃及、牙買加、馬其頓及巴林）發行或擔保的次投資級別證券。有關投資可能對附屬基金的風險概況產生不利影響。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ins>
      <w:ins>
        <w: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numPr>
        <w:ilvl w:val="0"/>
        <w:numId w:val="1"/>
      </w:numP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通脹掛鈎產品的風險：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投資於通脹掛鈎產品，例如：通脹掛鈎債券及／或通脹掉期，其價值一般因應利率變動而波動。若在附屬基金持有通脹掛鈎債券期間，通脹低於預期，附屬基金藉該證券賺取的回報可能少於傳統債券。購買（出售）通脹掉期保障使附屬基金承受通脹風險，有關風險與出售（購買）與通脹指數債券相關的普通名義債券相若。若實質利率上升（即若利率因通脹以外的原因上升），附屬基金投資組合內的通脹掛鈎債券／附屬基金購買通脹掉期保障的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與投資於具吸收虧損特點的債務工具（「LAP」）相關的風險：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LAP，與傳統債務工具相比，LAP須承受較大風險，因為該等工具通常須承受在發生觸發事件（例如：發行人瀕臨或陷入不可持續經營狀況、或發行人的資本比率跌至特定水平）時被減值或轉換為普通股的風險，而有關觸發事件可能不在發行人的控制範圍內。該等觸發事件複雜且難以預測，並可能導致有關工具的價值顯著或完全下跌。</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倘觸發事件啟動，整個資產類別的價格可能會受影響及波動。LAP亦可能承受流動性、估值及界別集中風險。</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ins>
        <w:r>
          <w:t>Global investments risk</w:t>
        </w:r>
      </w:ins>
      <w:ins>
        <w:r>
          <w:t>:</w:t>
        </w:r>
      </w:ins>
      <w:ins>
        <w: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numPr>
        <w:ilvl w:val="0"/>
        <w:numId w:val="1"/>
      </w:numP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或然可換股債券（Cocos）風險：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十分複雜且風險甚高的CoCo。在CoCo的條款下，工具可在發生若干觸發事件時吸收虧損，包括在CoCo發行人管理的控制範圍下可導致本金投資及／或累計利息永久減記至零的事件，或可能適逢在相關股票的價格偏低時轉換為股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CoCo的利息乃酌情支付。在若干情況下，若干CoCo的全部或部分利息支付可能於任何時候，基於任何理由及就任何時間長短由發行人取消，而毋須事先通知債券持有人。</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b/>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高級非優先債務風險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8E">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color w:val="000000"/>
          <w:sz w:val="18"/>
          <w:szCs w:val="18"/>
          <w:rtl w:val="0"/>
        </w:rPr>
        <w:t xml:space="preserve">再投資風險：</w:t>
      </w:r>
      <w:r w:rsidDel="00000000" w:rsidR="00000000" w:rsidRPr="00000000">
        <w:rPr>
          <w:rFonts w:ascii="Arial Unicode MS" w:cs="Arial Unicode MS" w:eastAsia="Arial Unicode MS" w:hAnsi="Arial Unicode MS"/>
          <w:sz w:val="18"/>
          <w:szCs w:val="18"/>
          <w:rtl w:val="0"/>
        </w:rPr>
        <w:t xml:space="preserve">再投資風險是指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r w:rsidDel="00000000" w:rsidR="00000000" w:rsidRPr="00000000">
        <w:rPr>
          <w:rtl w:val="0"/>
        </w:rPr>
      </w:r>
    </w:p>
    <w:p w:rsidR="00000000" w:rsidDel="00000000" w:rsidP="00000000" w:rsidRDefault="00000000" w:rsidRPr="00000000" w14:paraId="0000008F">
      <w:pPr>
        <w:ind w:left="284" w:firstLine="0"/>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90">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i w:val="0"/>
          <w:color w:val="000000"/>
          <w:sz w:val="18"/>
          <w:szCs w:val="18"/>
          <w:rtl w:val="0"/>
        </w:rPr>
        <w:t xml:space="preserve">延長期限風險</w:t>
      </w:r>
      <w:r w:rsidDel="00000000" w:rsidR="00000000" w:rsidRPr="00000000">
        <w:rPr>
          <w:rFonts w:ascii="Arial Unicode MS" w:cs="Arial Unicode MS" w:eastAsia="Arial Unicode MS" w:hAnsi="Arial Unicode MS"/>
          <w:b w:val="1"/>
          <w:i w:val="0"/>
          <w:color w:val="103184"/>
          <w:sz w:val="18"/>
          <w:szCs w:val="18"/>
          <w:rtl w:val="0"/>
        </w:rPr>
        <w:t xml:space="preserve">：</w:t>
      </w:r>
      <w:r w:rsidDel="00000000" w:rsidR="00000000" w:rsidRPr="00000000">
        <w:rPr>
          <w:rFonts w:ascii="Arial Unicode MS" w:cs="Arial Unicode MS" w:eastAsia="Arial Unicode MS" w:hAnsi="Arial Unicode MS"/>
          <w:sz w:val="18"/>
          <w:szCs w:val="18"/>
          <w:rtl w:val="0"/>
        </w:rPr>
        <w:t xml:space="preserve">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r w:rsidDel="00000000" w:rsidR="00000000" w:rsidRPr="00000000">
        <w:rPr>
          <w:rtl w:val="0"/>
        </w:rPr>
      </w:r>
      <w:numPr>
        <w:ilvl w:val="0"/>
        <w:numId w:val="1"/>
      </w:numP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144A證券風險：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144A證券。144A證券是受惠於可豁免美國1933年《證券法》制定的登記義務的受限制證券。此等證券被限制轉售予1933年《證券法》所界定的合資格機構買家（QIB）；故此，行政開支會因此項豁免而減少。144A證券在有限數目QIB之間買賣，可能導致若干144A證券的價格波動性較高及資產流動性較低。</w:t>
      </w:r>
      <w:numPr>
        <w:ilvl w:val="0"/>
        <w:numId w:val="1"/>
      </w:numP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證券借出及回購或反向回購協議交易的風險：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附屬基金可能蒙受重大損失。</w:t>
      </w:r>
      <w:r w:rsidDel="00000000" w:rsidR="00000000" w:rsidRPr="00000000">
        <w:rPr>
          <w:rtl w:val="0"/>
        </w:rPr>
      </w:r>
      <w:numPr>
        <w:ilvl w:val="0"/>
        <w:numId w:val="1"/>
      </w:numP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numPr>
        <w:ilvl w:val="0"/>
        <w:numId w:val="1"/>
      </w:numP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numPr>
        <w:ilvl w:val="0"/>
        <w:numId w:val="1"/>
      </w:numP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衍生工具及槓桿風險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同時運用上市及場外交易衍生工具作有效投資組合管理、對沖及非廣泛投資目的。與衍生工具相關的風險包括對手方／信貸風險、流動性風險、估值風險、波動性風險及場外交易風險。衍生工具的槓桿元素／成份可導致損失遠高於附屬基金投資於衍生工具的金額。投資衍生工具可導致附屬基金產生重大損失的高風險。</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外匯及貨幣風險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jgzj2piarlq9" w:id="5"/>
      <w:bookmarkEnd w:id="5"/>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ESG風險</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在投資過程中應用ESG及可持續性準則可能會因非投資理由而排除若干發行人的證券，因此，某些可提供予並無使用ESG或可持續性準則的基金之市場機會可能無法提供予附屬基金，而附屬基金的表現有時可能會勝於或遜於並無使用ESG或可持續性準則的相關基金。資產的挑選可能部分依賴AXA Investment Managers的ESG評分方法或部分有賴於第三方數據（可能是主觀、不完整、不準確或不可用）的禁制名單。證券的挑選可能涉及投資經理的主觀判斷。在歐洲聯盟層面整合ESG及可持續性準則欠缺共同或統一的定義及標籤。因此，存在投資經理可能錯誤評估證券或發行人的風險。此外，附屬基金持有的證券可能受限於不再符合投資的ESG或可持續性準則之風格轉移。投資經理或須出售附屬基金持有的有關證券，這可能會在附屬基金內產生交易成本。</w:t>
      </w:r>
      <w:numPr>
        <w:ilvl w:val="0"/>
        <w:numId w:val="1"/>
      </w:numP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從資本中／實際從資本中作出分派的風險：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就附有股份類別識別碼「st」的分派股份而言，投資者應留意，股息可按董事會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numPr>
        <w:ilvl w:val="0"/>
        <w:numId w:val="1"/>
      </w:numP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highlight w:val="yellow"/>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ins>
        <w:r>
          <w:t>3</w:t>
        </w:r>
      </w:ins>
      <w:numPr>
        <w:ilvl w:val="0"/>
        <w:numId w:val="1"/>
      </w:numP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numPr>
        <w:ilvl w:val="0"/>
        <w:numId w:val="1"/>
      </w:numP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highlight w:val="yellow"/>
        </w:rPr>
      </w:r>
    </w:p>
    <w:p w:rsidR="00000000" w:rsidDel="00000000" w:rsidP="00000000" w:rsidRDefault="00000000" w:rsidRPr="00000000" w14:paraId="000000B3">
      <w:pPr>
        <w:rPr>
          <w:rFonts w:ascii="Arial" w:cs="Arial" w:eastAsia="Arial" w:hAnsi="Arial"/>
          <w:color w:val="000000"/>
          <w:sz w:val="18"/>
          <w:szCs w:val="18"/>
        </w:rPr>
        <w:sectPr>
          <w:footerReference r:id="rId17" w:type="default"/>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b/>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tabs>
          <w:tab w:val="left" w:leader="none" w:pos="4253"/>
        </w:tabs>
        <w:spacing w:before="7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B6">
      <w:pPr>
        <w:pStyle w:val="Heading1"/>
        <w:tabs>
          <w:tab w:val="left" w:leader="none" w:pos="4253"/>
        </w:tabs>
        <w:spacing w:before="70" w:lineRule="auto"/>
        <w:ind w:right="921"/>
        <w:jc w:val="both"/>
        <w:rPr>
          <w:rFonts w:ascii="Arial" w:cs="Arial" w:eastAsia="Arial" w:hAnsi="Arial"/>
        </w:rPr>
      </w:pPr>
      <w:r w:rsidDel="00000000" w:rsidR="00000000" w:rsidRPr="00000000">
        <w:rPr>
          <w:rFonts w:ascii="Arial Unicode MS" w:cs="Arial Unicode MS" w:eastAsia="Arial Unicode MS" w:hAnsi="Arial Unicode MS"/>
          <w:color w:val="646d7c"/>
          <w:sz w:val="18"/>
          <w:szCs w:val="18"/>
          <w:rtl w:val="0"/>
          <w:highlight w:val="yellow"/>
        </w:rPr>
        <w:t xml:space="preserve">附屬基金過往的業績表現如何？</w:t>
      </w:r>
      <w:r w:rsidDel="00000000" w:rsidR="00000000" w:rsidRPr="00000000">
        <w:rPr>
          <w:rtl w:val="0"/>
          <w:highlight w:val="yellow"/>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highlight w:val="yellow"/>
        </w:rPr>
        <w:drawing>
          <wp:inline distB="0" distT="0" distL="0" distR="0">
            <wp:extent cx="3195320" cy="2026920"/>
            <wp:effectExtent b="0" l="0" r="0" t="0"/>
            <wp:docPr id="3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9532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b/>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sz w:val="18"/>
          <w:szCs w:val="18"/>
        </w:rPr>
      </w:pPr>
      <w:r w:rsidDel="00000000" w:rsidR="00000000" w:rsidRPr="00000000">
        <w:rPr>
          <w:rtl w:val="0"/>
          <w:b/>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往績並非預測日後業績表現的指標。投資者未必能取回全部投資本金。</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附屬基金業績表現以曆年末的</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highlight w:val="yellow"/>
        </w:rPr>
        <w:t xml:space="preserve">資產淨值作為比較基礎，股息會滾存再作投資。</w:t>
      </w:r>
      <w:ins>
        <w:r>
          <w:t>15</w:t>
        </w:r>
      </w:ins>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上述數據顯示股份類別價值在有關曆年內的升跌幅度。業績表現以美元計算，當中反映出附屬基金的經常性開支，但不包括附屬基金可能向閣下收取的認購費及贖回費。</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A類累積（美元）為以附屬基金的基本貨幣計值的零售股份類別，故投資經理視A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附屬基金推出日期：2012年</w:t>
      </w:r>
      <w:numPr>
        <w:ilvl w:val="0"/>
        <w:numId w:val="1"/>
      </w:numP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股份類別A類累積（美元）推出日期：2012年</w:t>
      </w:r>
      <w:numPr>
        <w:ilvl w:val="0"/>
        <w:numId w:val="1"/>
      </w:numPr>
    </w:p>
    <w:p w:rsidR="00000000" w:rsidDel="00000000" w:rsidP="00000000" w:rsidRDefault="00000000" w:rsidRPr="00000000" w14:paraId="000000C2">
      <w:pPr>
        <w:rPr>
          <w:rFonts w:ascii="Arial" w:cs="Arial" w:eastAsia="Arial" w:hAnsi="Arial"/>
          <w:sz w:val="18"/>
          <w:szCs w:val="18"/>
        </w:rPr>
        <w:sectPr>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C3">
      <w:pPr>
        <w:pStyle w:val="Heading1"/>
        <w:tabs>
          <w:tab w:val="left" w:leader="none" w:pos="4253"/>
        </w:tabs>
        <w:spacing w:before="60" w:lineRule="auto"/>
        <w:ind w:right="919"/>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b/>
        </w:rPr>
        <w:t xml:space="preserve">有否提供保證?</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本附屬基金並不提供任何保證。閣下未必可取回全部投資金額。</w:t>
      </w:r>
    </w:p>
    <w:p w:rsidR="00000000" w:rsidDel="00000000" w:rsidP="00000000" w:rsidRDefault="00000000" w:rsidRPr="00000000" w14:paraId="000000C5">
      <w:pPr>
        <w:spacing w:line="13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C6">
      <w:pPr>
        <w:spacing w:line="130" w:lineRule="auto"/>
        <w:rPr>
          <w:rFonts w:ascii="Arial" w:cs="Arial" w:eastAsia="Arial" w:hAnsi="Arial"/>
          <w:color w:val="646d7c"/>
          <w:sz w:val="18"/>
          <w:szCs w:val="18"/>
        </w:rPr>
      </w:pPr>
      <w:r w:rsidDel="00000000" w:rsidR="00000000" w:rsidRPr="00000000">
        <w:rPr>
          <w:rtl w:val="0"/>
          <w:highlight w:val="yellow"/>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7">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tl w:val="0"/>
          <w:b/>
        </w:rPr>
      </w:r>
    </w:p>
    <w:p w:rsidR="00000000" w:rsidDel="00000000" w:rsidP="00000000" w:rsidRDefault="00000000" w:rsidRPr="00000000" w14:paraId="000000C8">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投資本附屬基金涉及哪些費用及收費?</w:t>
      </w:r>
    </w:p>
    <w:p w:rsidR="00000000" w:rsidDel="00000000" w:rsidP="00000000" w:rsidRDefault="00000000" w:rsidRPr="00000000" w14:paraId="000000C9">
      <w:pPr>
        <w:spacing w:line="150" w:lineRule="auto"/>
        <w:rPr>
          <w:rFonts w:ascii="Arial" w:cs="Arial" w:eastAsia="Arial" w:hAnsi="Arial"/>
          <w:sz w:val="18"/>
          <w:szCs w:val="18"/>
        </w:rPr>
      </w:pPr>
      <w:r w:rsidDel="00000000" w:rsidR="00000000" w:rsidRPr="00000000">
        <w:rPr>
          <w:rtl w:val="0"/>
          <w:b/>
        </w:rPr>
      </w:r>
    </w:p>
    <w:p w:rsidR="00000000" w:rsidDel="00000000" w:rsidP="00000000" w:rsidRDefault="00000000" w:rsidRPr="00000000" w14:paraId="000000CA">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rPr>
        <w:t xml:space="preserve">閣下或須繳付的收費</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閣下買賣附屬基金股份時或須繳付以下費用。</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費用</w:t>
        <w:tab/>
        <w:tab/>
        <w:tab/>
        <w:tab/>
        <w:tab/>
        <w:t xml:space="preserve">閣下所付金額</w:t>
      </w:r>
    </w:p>
    <w:p w:rsidR="00000000" w:rsidDel="00000000" w:rsidP="00000000" w:rsidRDefault="00000000" w:rsidRPr="00000000" w14:paraId="000000CE">
      <w:pPr>
        <w:tabs>
          <w:tab w:val="left" w:leader="none" w:pos="3984"/>
          <w:tab w:val="right" w:leader="none" w:pos="10772"/>
        </w:tabs>
        <w:spacing w:before="20" w:line="220" w:lineRule="auto"/>
        <w:rPr>
          <w:rFonts w:ascii="Arial" w:cs="Arial" w:eastAsia="Arial" w:hAnsi="Arial"/>
          <w:sz w:val="18"/>
          <w:szCs w:val="18"/>
        </w:rPr>
      </w:pPr>
      <w:r w:rsidDel="00000000" w:rsidR="00000000" w:rsidRPr="00000000">
        <w:rPr>
          <w:rFonts w:ascii="Arial" w:cs="Arial" w:eastAsia="Arial" w:hAnsi="Arial"/>
          <w:sz w:val="18"/>
          <w:szCs w:val="18"/>
          <w:rtl w:val="0"/>
        </w:rPr>
        <w:tab/>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認購費 （初次認購費）</w:t>
        <w:tab/>
        <w:tab/>
        <w:tab/>
      </w:r>
      <w:r w:rsidDel="00000000" w:rsidR="00000000" w:rsidRPr="00000000">
        <w:rPr>
          <w:rFonts w:ascii="Arial Unicode MS" w:cs="Arial Unicode MS" w:eastAsia="Arial Unicode MS" w:hAnsi="Arial Unicode MS"/>
          <w:sz w:val="18"/>
          <w:szCs w:val="18"/>
          <w:rtl w:val="0"/>
        </w:rPr>
        <w:t xml:space="preserve">A 類：最高為閣下所購買金額的3.00%</w:t>
      </w:r>
    </w:p>
    <w:p w:rsidR="00000000" w:rsidDel="00000000" w:rsidP="00000000" w:rsidRDefault="00000000" w:rsidRPr="00000000" w14:paraId="000000D0">
      <w:pPr>
        <w:tabs>
          <w:tab w:val="left" w:leader="none" w:pos="3683"/>
        </w:tabs>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1">
      <w:pPr>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轉換費 （轉換收費）</w:t>
        <w:tab/>
        <w:tab/>
        <w:tab/>
      </w:r>
      <w:r w:rsidDel="00000000" w:rsidR="00000000" w:rsidRPr="00000000">
        <w:rPr>
          <w:rFonts w:ascii="Arial Unicode MS" w:cs="Arial Unicode MS" w:eastAsia="Arial Unicode MS" w:hAnsi="Arial Unicode MS"/>
          <w:sz w:val="18"/>
          <w:szCs w:val="18"/>
          <w:rtl w:val="0"/>
          <w:highlight w:val="yellow"/>
        </w:rPr>
        <w:t xml:space="preserve">無，惟在以下情況除外：</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若股東在過去12個月內已進行4次轉換；在該情況下，股東或須就該12個月期間的每項額外轉換支付最高為已轉換股份資產淨值1%的總費用；或</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highlight w:val="yellow"/>
        </w:rPr>
        <w:t xml:space="preserve">股東在首次投資於附屬基金後首12個月內將其股份轉換至初次認購費較高的附屬基金；在該情況下，股東或須支付兩項初次認購費之間的差額。</w:t>
      </w:r>
    </w:p>
    <w:p w:rsidR="00000000" w:rsidDel="00000000" w:rsidP="00000000" w:rsidRDefault="00000000" w:rsidRPr="00000000" w14:paraId="000000D4">
      <w:pPr>
        <w:tabs>
          <w:tab w:val="left" w:leader="none" w:pos="3683"/>
        </w:tabs>
        <w:ind w:left="281" w:firstLine="0"/>
        <w:rPr>
          <w:rFonts w:ascii="Arial" w:cs="Arial" w:eastAsia="Arial" w:hAnsi="Arial"/>
          <w:b w:val="1"/>
          <w:sz w:val="18"/>
          <w:szCs w:val="18"/>
        </w:rPr>
      </w:pPr>
      <w:r w:rsidDel="00000000" w:rsidR="00000000" w:rsidRPr="00000000">
        <w:rPr>
          <w:rtl w:val="0"/>
          <w:highlight w:val="yellow"/>
        </w:rPr>
      </w:r>
      <w:ins>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ins>
    </w:p>
    <w:p w:rsidR="00000000" w:rsidDel="00000000" w:rsidP="00000000" w:rsidRDefault="00000000" w:rsidRPr="00000000" w14:paraId="000000D5">
      <w:pPr>
        <w:tabs>
          <w:tab w:val="left" w:leader="none" w:pos="3544"/>
        </w:tabs>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highlight w:val="yellow"/>
        </w:rPr>
        <w:t xml:space="preserve">贖回費</w:t>
        <w:tab/>
      </w:r>
      <w:r w:rsidDel="00000000" w:rsidR="00000000" w:rsidRPr="00000000">
        <w:rPr>
          <w:rFonts w:ascii="Arial Unicode MS" w:cs="Arial Unicode MS" w:eastAsia="Arial Unicode MS" w:hAnsi="Arial Unicode MS"/>
          <w:sz w:val="18"/>
          <w:szCs w:val="18"/>
          <w:rtl w:val="0"/>
        </w:rPr>
        <w:t xml:space="preserve">無</w:t>
      </w:r>
      <w:r w:rsidDel="00000000" w:rsidR="00000000" w:rsidRPr="00000000">
        <w:rPr>
          <w:rtl w:val="0"/>
        </w:rPr>
      </w:r>
    </w:p>
    <w:p w:rsidR="00000000" w:rsidDel="00000000" w:rsidP="00000000" w:rsidRDefault="00000000" w:rsidRPr="00000000" w14:paraId="000000D6">
      <w:pPr>
        <w:pStyle w:val="Heading2"/>
        <w:ind w:left="0" w:firstLine="0"/>
        <w:jc w:val="right"/>
        <w:rPr>
          <w:rFonts w:ascii="Arial" w:cs="Arial" w:eastAsia="Arial" w:hAnsi="Arial"/>
          <w:b w:val="0"/>
          <w:sz w:val="18"/>
          <w:szCs w:val="18"/>
        </w:rPr>
      </w:pPr>
      <w:r w:rsidDel="00000000" w:rsidR="00000000" w:rsidRPr="00000000">
        <w:rPr>
          <w:rtl w:val="0"/>
          <w:highlight w:val="yellow"/>
        </w:rPr>
      </w:r>
    </w:p>
    <w:p w:rsidR="00000000" w:rsidDel="00000000" w:rsidP="00000000" w:rsidRDefault="00000000" w:rsidRPr="00000000" w14:paraId="000000D7">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highlight w:val="yellow"/>
        </w:rPr>
        <w:t xml:space="preserve">附屬基金須持續繳付的費用</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ins>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以下開支將從附屬基金中扣除，閣下的投資回報將會因而減少。</w:t>
        </w:r>
      </w:ins>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highlight w:val="yellow"/>
        </w:rPr>
        <w:t xml:space="preserve">費用</w:t>
        <w:tab/>
        <w:tab/>
        <w:tab/>
        <w:tab/>
        <w:tab/>
        <w:t xml:space="preserve">年率（附屬基金／股份類別價值的百分比）</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b/>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C">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管理費</w:t>
        <w:tab/>
        <w:tab/>
        <w:tab/>
        <w:tab/>
        <w:tab/>
      </w:r>
      <w:r w:rsidDel="00000000" w:rsidR="00000000" w:rsidRPr="00000000">
        <w:rPr>
          <w:rFonts w:ascii="Arial Unicode MS" w:cs="Arial Unicode MS" w:eastAsia="Arial Unicode MS" w:hAnsi="Arial Unicode MS"/>
          <w:sz w:val="18"/>
          <w:szCs w:val="18"/>
          <w:rtl w:val="0"/>
        </w:rPr>
        <w:t xml:space="preserve">A 類：最高達 1.00%</w:t>
      </w:r>
    </w:p>
    <w:p w:rsidR="00000000" w:rsidDel="00000000" w:rsidP="00000000" w:rsidRDefault="00000000" w:rsidRPr="00000000" w14:paraId="000000DD">
      <w:pPr>
        <w:spacing w:before="1" w:line="24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highlight w:val="yellow"/>
        </w:rPr>
        <w:t xml:space="preserve">保管人費（存管人費）</w:t>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DF">
      <w:pPr>
        <w:spacing w:before="1" w:line="240" w:lineRule="auto"/>
        <w:rPr>
          <w:rFonts w:ascii="Arial" w:cs="Arial" w:eastAsia="Arial" w:hAnsi="Arial"/>
          <w:sz w:val="18"/>
          <w:szCs w:val="18"/>
        </w:rPr>
      </w:pPr>
      <w:r w:rsidDel="00000000" w:rsidR="00000000" w:rsidRPr="00000000">
        <w:rPr>
          <w:rtl w:val="0"/>
          <w:b/>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0">
      <w:pPr>
        <w:spacing w:before="1" w:line="240" w:lineRule="auto"/>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業績表現費</w:t>
        <w:tab/>
      </w:r>
      <w:r w:rsidDel="00000000" w:rsidR="00000000" w:rsidRPr="00000000">
        <w:rPr>
          <w:rFonts w:ascii="Arial Unicode MS" w:cs="Arial Unicode MS" w:eastAsia="Arial Unicode MS" w:hAnsi="Arial Unicode MS"/>
          <w:sz w:val="18"/>
          <w:szCs w:val="18"/>
          <w:rtl w:val="0"/>
        </w:rPr>
        <w:tab/>
        <w:tab/>
        <w:tab/>
        <w:t xml:space="preserve">無</w:t>
      </w:r>
      <w:r w:rsidDel="00000000" w:rsidR="00000000" w:rsidRPr="00000000">
        <w:rPr>
          <w:rtl w:val="0"/>
        </w:rPr>
      </w:r>
    </w:p>
    <w:p w:rsidR="00000000" w:rsidDel="00000000" w:rsidP="00000000" w:rsidRDefault="00000000" w:rsidRPr="00000000" w14:paraId="000000E1">
      <w:pPr>
        <w:spacing w:before="20" w:line="220" w:lineRule="auto"/>
        <w:rPr>
          <w:rFonts w:ascii="Arial" w:cs="Arial" w:eastAsia="Arial" w:hAnsi="Arial"/>
          <w:sz w:val="18"/>
          <w:szCs w:val="18"/>
        </w:rPr>
      </w:pPr>
      <w:r w:rsidDel="00000000" w:rsidR="00000000" w:rsidRPr="00000000">
        <w:rPr>
          <w:rtl w:val="0"/>
          <w:b/>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Pr>
          <w:b/>
        </w:rPr>
      </w:r>
    </w:p>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行政費</w:t>
        <w:tab/>
        <w:tab/>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E3">
      <w:pPr>
        <w:pStyle w:val="Heading2"/>
        <w:ind w:left="0" w:firstLine="0"/>
        <w:rPr>
          <w:rFonts w:ascii="Arial" w:cs="Arial" w:eastAsia="Arial" w:hAnsi="Arial"/>
          <w:color w:val="757f96"/>
          <w:sz w:val="18"/>
          <w:szCs w:val="18"/>
        </w:rPr>
      </w:pPr>
      <w:r w:rsidDel="00000000" w:rsidR="00000000" w:rsidRPr="00000000">
        <w:rPr>
          <w:rtl w:val="0"/>
          <w:b/>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ins>
        <w:r>
          <w:t/>
        </w:r>
      </w:ins>
    </w:p>
    <w:p w:rsidR="00000000" w:rsidDel="00000000" w:rsidP="00000000" w:rsidRDefault="00000000" w:rsidRPr="00000000" w14:paraId="000000E4">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sz w:val="18"/>
          <w:szCs w:val="18"/>
          <w:rtl w:val="0"/>
        </w:rPr>
        <w:t xml:space="preserve">應用服務費</w:t>
      </w:r>
      <w:r w:rsidDel="00000000" w:rsidR="00000000" w:rsidRPr="00000000">
        <w:rPr>
          <w:rFonts w:ascii="Arial Unicode MS" w:cs="Arial Unicode MS" w:eastAsia="Arial Unicode MS" w:hAnsi="Arial Unicode MS"/>
          <w:b w:val="0"/>
          <w:sz w:val="18"/>
          <w:szCs w:val="18"/>
          <w:rtl w:val="0"/>
        </w:rPr>
        <w:tab/>
        <w:tab/>
        <w:tab/>
        <w:tab/>
        <w:t xml:space="preserve">所有類別：最高達0.50%</w:t>
      </w:r>
    </w:p>
    <w:p w:rsidR="00000000" w:rsidDel="00000000" w:rsidP="00000000" w:rsidRDefault="00000000" w:rsidRPr="00000000" w14:paraId="000000E5">
      <w:pPr>
        <w:ind w:left="3544" w:hanging="2977"/>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b/>
        </w:rPr>
        <w:tab/>
        <w:tab/>
        <w:t xml:space="preserve">A類累積（美元）：現時費率為0.22%</w:t>
      </w:r>
      <w:ins>
        <w:r>
          <w:t>, (II) money</w:t>
        </w:r>
      </w:ins>
      <w:ins>
        <w:r>
          <w:t>I</w:t>
        </w:r>
      </w:ins>
    </w:p>
    <w:p w:rsidR="00000000" w:rsidDel="00000000" w:rsidP="00000000" w:rsidRDefault="00000000" w:rsidRPr="00000000" w14:paraId="000000E6">
      <w:pPr>
        <w:ind w:left="3544" w:firstLine="0"/>
        <w:rPr>
          <w:rFonts w:ascii="Arial" w:cs="Arial" w:eastAsia="Arial" w:hAnsi="Arial"/>
          <w:b w:val="1"/>
          <w:i w:val="1"/>
          <w:sz w:val="18"/>
          <w:szCs w:val="18"/>
        </w:rPr>
      </w:pPr>
      <w:r w:rsidDel="00000000" w:rsidR="00000000" w:rsidRPr="00000000">
        <w:rPr>
          <w:rFonts w:ascii="Arial Unicode MS" w:cs="Arial Unicode MS" w:eastAsia="Arial Unicode MS" w:hAnsi="Arial Unicode MS"/>
          <w:sz w:val="18"/>
          <w:szCs w:val="18"/>
          <w:rtl w:val="0"/>
        </w:rPr>
        <w:t xml:space="preserve">A類累積（港元對沖95%）：現時費率為0.25% </w:t>
      </w:r>
      <w:r w:rsidDel="00000000" w:rsidR="00000000" w:rsidRPr="00000000">
        <w:rPr>
          <w:rtl w:val="0"/>
        </w:rPr>
      </w:r>
    </w:p>
    <w:p w:rsidR="00000000" w:rsidDel="00000000" w:rsidP="00000000" w:rsidRDefault="00000000" w:rsidRPr="00000000" w14:paraId="000000E7">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b/>
        </w:rPr>
        <w:t xml:space="preserve">A類每月分派「st」（美元）：現時費率為0.22%</w:t>
      </w:r>
    </w:p>
    <w:p w:rsidR="00000000" w:rsidDel="00000000" w:rsidP="00000000" w:rsidRDefault="00000000" w:rsidRPr="00000000" w14:paraId="000000E8">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A類每月分派「st」（港元對沖95%）：現時費率為0.25% </w:t>
      </w:r>
    </w:p>
    <w:p w:rsidR="00000000" w:rsidDel="00000000" w:rsidP="00000000" w:rsidRDefault="00000000" w:rsidRPr="00000000" w14:paraId="000000E9">
      <w:pPr>
        <w:pStyle w:val="Heading2"/>
        <w:ind w:left="0" w:firstLine="0"/>
        <w:rPr>
          <w:rFonts w:ascii="Arial" w:cs="Arial" w:eastAsia="Arial" w:hAnsi="Arial"/>
          <w:color w:val="757f96"/>
          <w:sz w:val="18"/>
          <w:szCs w:val="18"/>
        </w:rPr>
      </w:pPr>
      <w:r w:rsidDel="00000000" w:rsidR="00000000" w:rsidRPr="00000000">
        <w:rPr>
          <w:rFonts w:ascii="Arial" w:cs="Arial" w:eastAsia="Arial" w:hAnsi="Arial"/>
          <w:color w:val="757f96"/>
          <w:sz w:val="18"/>
          <w:szCs w:val="18"/>
          <w:rtl w:val="0"/>
        </w:rPr>
        <w:tab/>
        <w:tab/>
        <w:tab/>
        <w:tab/>
      </w:r>
    </w:p>
    <w:p w:rsidR="00000000" w:rsidDel="00000000" w:rsidP="00000000" w:rsidRDefault="00000000" w:rsidRPr="00000000" w14:paraId="000000EA">
      <w:pPr>
        <w:pStyle w:val="Heading2"/>
        <w:ind w:left="0" w:firstLine="0"/>
        <w:rPr>
          <w:rFonts w:ascii="Arial" w:cs="Arial" w:eastAsia="Arial" w:hAnsi="Arial"/>
          <w:color w:val="757f96"/>
          <w:sz w:val="18"/>
          <w:szCs w:val="18"/>
        </w:rPr>
      </w:pPr>
      <w:r w:rsidDel="00000000" w:rsidR="00000000" w:rsidRPr="00000000">
        <w:rPr>
          <w:rtl w:val="0"/>
          <w:highlight w:val="yellow"/>
        </w:rPr>
      </w:r>
    </w:p>
    <w:p w:rsidR="00000000" w:rsidDel="00000000" w:rsidP="00000000" w:rsidRDefault="00000000" w:rsidRPr="00000000" w14:paraId="000000EB">
      <w:pPr>
        <w:pStyle w:val="Heading2"/>
        <w:ind w:left="0" w:firstLine="0"/>
        <w:rPr>
          <w:rFonts w:ascii="Arial" w:cs="Arial" w:eastAsia="Arial" w:hAnsi="Arial"/>
          <w:color w:val="757f96"/>
          <w:sz w:val="18"/>
          <w:szCs w:val="18"/>
        </w:rPr>
      </w:pPr>
      <w:r w:rsidDel="00000000" w:rsidR="00000000" w:rsidRPr="00000000">
        <w:rPr>
          <w:rtl w:val="0"/>
          <w:highlight w:val="yellow"/>
        </w:rPr>
      </w:r>
    </w:p>
    <w:p w:rsidR="00000000" w:rsidDel="00000000" w:rsidP="00000000" w:rsidRDefault="00000000" w:rsidRPr="00000000" w14:paraId="000000E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其他費用</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閣下買賣附屬基金股份時或須繳付其他費用。附屬基金亦將承擔香港發售備忘錄所列明的直接應付費用。</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ind w:right="0"/>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0">
      <w:pPr>
        <w:pStyle w:val="Heading2"/>
        <w:ind w:left="0" w:righ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其他資料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在盧森堡交易截止時間即盧森堡時間下午3時正或之前經過戶登記處兼轉讓代理人收妥的購買及贖回股份要求，或在香港交易截止時間即香港時間下午4時正或之前經香港代表人收妥的購買及贖回股份要求，一般按附屬基金隨後釐定的資產淨值執行。分銷商可能就接收投資者的要求而訂立不同的交易截止時間。</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投資者可於 </w:t>
      </w:r>
      <w:hyperlink r:id="rId1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取得其他向香港投資者提呈發售的股份類別的往績資料。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附屬基金於每個「營業日」計算資產淨值，並於</w:t>
      </w:r>
      <w:hyperlink r:id="rId2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公佈股份價格。就本附屬基金而言，營業日應被理解為盧森堡、美國及英國的銀行全日辦公之日子。</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pq50j8kwjbl" w:id="6"/>
      <w:bookmarkEnd w:id="6"/>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最近12 個月的股息組成成分（即從(i)可分派收入淨額及(ii)資本中支付的相對金額）可向香港代表人索取，亦可瀏覽</w:t>
      </w:r>
      <w:hyperlink r:id="rId2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謹請注意，本文件中引述的網站並未經證監會審閱。  </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重要提示</w:t>
      </w:r>
    </w:p>
    <w:p w:rsidR="00000000" w:rsidDel="00000000" w:rsidP="00000000" w:rsidRDefault="00000000" w:rsidRPr="00000000" w14:paraId="000000FD">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閣下如有任何疑問，應徵詢專業意見。證監會對本概要的內容並不承擔任何責任，對其準確性或完整性亦不作出任何陳述。</w:t>
      </w:r>
    </w:p>
    <w:sectPr>
      <w:type w:val="continuous"/>
      <w:pgSz w:h="16838" w:w="11906" w:orient="portrait"/>
      <w:pgMar w:bottom="567" w:top="1134" w:left="567" w:right="567" w:header="369"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PMingLiu"/>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4"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
              <a:graphic>
                <a:graphicData uri="http://schemas.microsoft.com/office/word/2010/wordprocessingShape">
                  <wps:wsp>
                    <wps:cNvSpPr/>
                    <wps:cNvPr id="30" name="Shape 3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image23.png"/>
              <a:graphic>
                <a:graphicData uri="http://schemas.openxmlformats.org/drawingml/2006/picture">
                  <pic:pic>
                    <pic:nvPicPr>
                      <pic:cNvPr descr="{&quot;HashCode&quot;:-2030750456,&quot;Height&quot;:841.0,&quot;Width&quot;:595.0,&quot;Placement&quot;:&quot;Footer&quot;,&quot;Index&quot;:&quot;Primary&quot;,&quot;Section&quot;:1,&quot;Top&quot;:0.0,&quot;Left&quot;:0.0}" id="0" name="image23.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w37rt5y1ic8s" w:id="7"/>
  <w:bookmarkEnd w:id="7"/>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MAIN\KKHO\39297283_2.docx  </w:t>
    </w:r>
    <w:bookmarkStart w:colFirst="0" w:colLast="0" w:name="neonina2uuzd" w:id="8"/>
    <w:bookmarkEnd w:id="8"/>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vq4hcegl0pkk" w:id="9"/>
  <w:bookmarkEnd w:id="9"/>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3" name="image10.jpg"/>
          <a:graphic>
            <a:graphicData uri="http://schemas.openxmlformats.org/drawingml/2006/picture">
              <pic:pic>
                <pic:nvPicPr>
                  <pic:cNvPr descr="cid:image001.jpg@01D42817.20570640" id="0" name="image10.jpg"/>
                  <pic:cNvPicPr preferRelativeResize="0"/>
                </pic:nvPicPr>
                <pic:blipFill>
                  <a:blip r:embed="rId2"/>
                  <a:srcRect b="0" l="0" r="0" t="0"/>
                  <a:stretch>
                    <a:fillRect/>
                  </a:stretch>
                </pic:blipFill>
                <pic:spPr>
                  <a:xfrm>
                    <a:off x="0" y="0"/>
                    <a:ext cx="1076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npe3umurqheg" w:id="10"/>
  <w:bookmarkEnd w:id="10"/>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MAIN\KKHO\39297283_2.docx  </w:t>
    </w:r>
    <w:bookmarkStart w:colFirst="0" w:colLast="0" w:name="sdce8rvsn4u4" w:id="11"/>
    <w:bookmarkEnd w:id="11"/>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p>
  <w:bookmarkStart w:colFirst="0" w:colLast="0" w:name="cdmqizpgsubw" w:id="12"/>
  <w:bookmarkEnd w:id="12"/>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MAIN\KKHO\39297283_2.docx</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  </w:t>
    </w:r>
    <w:bookmarkStart w:colFirst="0" w:colLast="0" w:name="os7sintqbw0b" w:id="13"/>
    <w:bookmarkEnd w:id="13"/>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6"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
              <a:graphic>
                <a:graphicData uri="http://schemas.microsoft.com/office/word/2010/wordprocessingShape">
                  <wps:wsp>
                    <wps:cNvSpPr/>
                    <wps:cNvPr id="40" name="Shape 4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image28.png"/>
              <a:graphic>
                <a:graphicData uri="http://schemas.openxmlformats.org/drawingml/2006/picture">
                  <pic:pic>
                    <pic:nvPicPr>
                      <pic:cNvPr descr="{&quot;HashCode&quot;:-2030750456,&quot;Height&quot;:841.0,&quot;Width&quot;:595.0,&quot;Placement&quot;:&quot;Footer&quot;,&quot;Index&quot;:&quot;FirstPage&quot;,&quot;Section&quot;:6,&quot;Top&quot;:0.0,&quot;Left&quot;:0.0}" id="0" name="image28.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5" name="image10.jpg"/>
          <a:graphic>
            <a:graphicData uri="http://schemas.openxmlformats.org/drawingml/2006/picture">
              <pic:pic>
                <pic:nvPicPr>
                  <pic:cNvPr descr="cid:image001.jpg@01D42817.20570640" id="0" name="image10.jpg"/>
                  <pic:cNvPicPr preferRelativeResize="0"/>
                </pic:nvPicPr>
                <pic:blipFill>
                  <a:blip r:embed="rId1"/>
                  <a:srcRect b="0" l="0" r="0" t="0"/>
                  <a:stretch>
                    <a:fillRect/>
                  </a:stretch>
                </pic:blipFill>
                <pic:spPr>
                  <a:xfrm>
                    <a:off x="0" y="0"/>
                    <a:ext cx="1076325" cy="476250"/>
                  </a:xfrm>
                  <a:prstGeom prst="rect"/>
                  <a:ln/>
                </pic:spPr>
              </pic:pic>
            </a:graphicData>
          </a:graphic>
        </wp:inline>
      </w:drawing>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w:t>
    </w:r>
    <w:bookmarkStart w:colFirst="0" w:colLast="0" w:name="se9fdiq9vjyi" w:id="14"/>
    <w:bookmarkEnd w:id="14"/>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MAIN\KKHO\39297283_2.docx  </w:t>
    </w:r>
    <w:bookmarkStart w:colFirst="0" w:colLast="0" w:name="fhcbgesy16st" w:id="15"/>
    <w:bookmarkEnd w:id="15"/>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68402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
              <a:graphic>
                <a:graphicData uri="http://schemas.microsoft.com/office/word/2010/wordprocessingShape">
                  <wps:wsp>
                    <wps:cNvSpPr/>
                    <wps:cNvPr id="24" name="Shape 24"/>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image19.png"/>
              <a:graphic>
                <a:graphicData uri="http://schemas.openxmlformats.org/drawingml/2006/picture">
                  <pic:pic>
                    <pic:nvPicPr>
                      <pic:cNvPr descr="{&quot;HashCode&quot;:-2030750456,&quot;Height&quot;:841.0,&quot;Width&quot;:595.0,&quot;Placement&quot;:&quot;Footer&quot;,&quot;Index&quot;:&quot;Primary&quot;,&quot;Section&quot;:9,&quot;Top&quot;:0.0,&quot;Left&quot;:0.0}" id="0" name="image19.png"/>
                      <pic:cNvPicPr preferRelativeResize="0"/>
                    </pic:nvPicPr>
                    <pic:blipFill>
                      <a:blip r:embed="rId2"/>
                      <a:srcRect/>
                      <a:stretch>
                        <a:fillRect/>
                      </a:stretch>
                    </pic:blipFill>
                    <pic:spPr>
                      <a:xfrm>
                        <a:off x="0" y="0"/>
                        <a:ext cx="756983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
              <a:graphic>
                <a:graphicData uri="http://schemas.microsoft.com/office/word/2010/wordprocessingShape">
                  <wps:wsp>
                    <wps:cNvSpPr/>
                    <wps:cNvPr id="33" name="Shape 33"/>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529840" cy="36957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
              <a:graphic>
                <a:graphicData uri="http://schemas.microsoft.com/office/word/2010/wordprocessingShape">
                  <wps:wsp>
                    <wps:cNvSpPr/>
                    <wps:cNvPr id="22" name="Shape 22"/>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7bc4"/>
        <w:sz w:val="18"/>
        <w:szCs w:val="18"/>
        <w:u w:val="none"/>
        <w:shd w:fill="auto" w:val="clear"/>
        <w:vertAlign w:val="baseline"/>
        <w:rtl w:val="0"/>
      </w:rPr>
      <w:t xml:space="preserve">固定收益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安盛環球基金 -</w: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 環球策略債券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
              <a:graphic>
                <a:graphicData uri="http://schemas.microsoft.com/office/word/2010/wordprocessingShape">
                  <wps:wsp>
                    <wps:cNvSpPr/>
                    <wps:cNvPr id="25" name="Shape 25"/>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PMingLiu" w:cs="PMingLiu" w:eastAsia="PMingLiu" w:hAnsi="PMingLiu"/>
        <w:b w:val="1"/>
        <w:i w:val="0"/>
        <w:smallCaps w:val="1"/>
        <w:strike w:val="0"/>
        <w:color w:val="007bc4"/>
        <w:sz w:val="16"/>
        <w:szCs w:val="16"/>
        <w:u w:val="none"/>
        <w:shd w:fill="auto" w:val="clear"/>
        <w:vertAlign w:val="baseline"/>
        <w:rtl w:val="0"/>
      </w:rPr>
      <w:t xml:space="preserve">固定收益</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60" w:lineRule="auto"/>
      <w:ind w:left="0" w:right="0" w:firstLine="0"/>
      <w:jc w:val="left"/>
      <w:rPr>
        <w:rFonts w:ascii="PMingLiu" w:cs="PMingLiu" w:eastAsia="PMingLiu" w:hAnsi="PMingLiu"/>
        <w:b w:val="1"/>
        <w:i w:val="0"/>
        <w:smallCaps w:val="0"/>
        <w:strike w:val="0"/>
        <w:color w:val="103184"/>
        <w:sz w:val="22"/>
        <w:szCs w:val="22"/>
        <w:u w:val="none"/>
        <w:shd w:fill="auto" w:val="clear"/>
        <w:vertAlign w:val="baseline"/>
      </w:rPr>
    </w:pPr>
    <w:r w:rsidDel="00000000" w:rsidR="00000000" w:rsidRPr="00000000">
      <w:rPr>
        <w:rFonts w:ascii="PMingLiu" w:cs="PMingLiu" w:eastAsia="PMingLiu" w:hAnsi="PMingLiu"/>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22"/>
        <w:szCs w:val="22"/>
        <w:u w:val="none"/>
        <w:shd w:fill="auto" w:val="clear"/>
        <w:vertAlign w:val="baseline"/>
        <w:rtl w:val="0"/>
      </w:rPr>
      <w:t xml:space="preserve">安盛環球基金 - 環球策略債券</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
              <a:graphic>
                <a:graphicData uri="http://schemas.microsoft.com/office/word/2010/wordprocessingShape">
                  <wps:wsp>
                    <wps:cNvSpPr/>
                    <wps:cNvPr id="23" name="Shape 23"/>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6032" w:hanging="360"/>
      </w:pPr>
      <w:rPr>
        <w:rFonts w:ascii="Noto Sans Symbols" w:cs="Noto Sans Symbols" w:eastAsia="Noto Sans Symbols" w:hAnsi="Noto Sans Symbols"/>
      </w:rPr>
    </w:lvl>
    <w:lvl w:ilvl="1">
      <w:start w:val="1"/>
      <w:numFmt w:val="bullet"/>
      <w:lvlText w:val="o"/>
      <w:lvlJc w:val="left"/>
      <w:pPr>
        <w:ind w:left="6752" w:hanging="360"/>
      </w:pPr>
      <w:rPr>
        <w:rFonts w:ascii="Courier New" w:cs="Courier New" w:eastAsia="Courier New" w:hAnsi="Courier New"/>
      </w:rPr>
    </w:lvl>
    <w:lvl w:ilvl="2">
      <w:start w:val="1"/>
      <w:numFmt w:val="bullet"/>
      <w:lvlText w:val="▪"/>
      <w:lvlJc w:val="left"/>
      <w:pPr>
        <w:ind w:left="7472" w:hanging="360"/>
      </w:pPr>
      <w:rPr>
        <w:rFonts w:ascii="Noto Sans Symbols" w:cs="Noto Sans Symbols" w:eastAsia="Noto Sans Symbols" w:hAnsi="Noto Sans Symbols"/>
      </w:rPr>
    </w:lvl>
    <w:lvl w:ilvl="3">
      <w:start w:val="1"/>
      <w:numFmt w:val="bullet"/>
      <w:lvlText w:val="●"/>
      <w:lvlJc w:val="left"/>
      <w:pPr>
        <w:ind w:left="8192" w:hanging="360"/>
      </w:pPr>
      <w:rPr>
        <w:rFonts w:ascii="Noto Sans Symbols" w:cs="Noto Sans Symbols" w:eastAsia="Noto Sans Symbols" w:hAnsi="Noto Sans Symbols"/>
      </w:rPr>
    </w:lvl>
    <w:lvl w:ilvl="4">
      <w:start w:val="1"/>
      <w:numFmt w:val="bullet"/>
      <w:lvlText w:val="o"/>
      <w:lvlJc w:val="left"/>
      <w:pPr>
        <w:ind w:left="8912" w:hanging="360"/>
      </w:pPr>
      <w:rPr>
        <w:rFonts w:ascii="Courier New" w:cs="Courier New" w:eastAsia="Courier New" w:hAnsi="Courier New"/>
      </w:rPr>
    </w:lvl>
    <w:lvl w:ilvl="5">
      <w:start w:val="1"/>
      <w:numFmt w:val="bullet"/>
      <w:lvlText w:val="▪"/>
      <w:lvlJc w:val="left"/>
      <w:pPr>
        <w:ind w:left="9632" w:hanging="360"/>
      </w:pPr>
      <w:rPr>
        <w:rFonts w:ascii="Noto Sans Symbols" w:cs="Noto Sans Symbols" w:eastAsia="Noto Sans Symbols" w:hAnsi="Noto Sans Symbols"/>
      </w:rPr>
    </w:lvl>
    <w:lvl w:ilvl="6">
      <w:start w:val="1"/>
      <w:numFmt w:val="bullet"/>
      <w:lvlText w:val="●"/>
      <w:lvlJc w:val="left"/>
      <w:pPr>
        <w:ind w:left="10352" w:hanging="360"/>
      </w:pPr>
      <w:rPr>
        <w:rFonts w:ascii="Noto Sans Symbols" w:cs="Noto Sans Symbols" w:eastAsia="Noto Sans Symbols" w:hAnsi="Noto Sans Symbols"/>
      </w:rPr>
    </w:lvl>
    <w:lvl w:ilvl="7">
      <w:start w:val="1"/>
      <w:numFmt w:val="bullet"/>
      <w:lvlText w:val="o"/>
      <w:lvlJc w:val="left"/>
      <w:pPr>
        <w:ind w:left="11072" w:hanging="360"/>
      </w:pPr>
      <w:rPr>
        <w:rFonts w:ascii="Courier New" w:cs="Courier New" w:eastAsia="Courier New" w:hAnsi="Courier New"/>
      </w:rPr>
    </w:lvl>
    <w:lvl w:ilvl="8">
      <w:start w:val="1"/>
      <w:numFmt w:val="bullet"/>
      <w:lvlText w:val="▪"/>
      <w:lvlJc w:val="left"/>
      <w:pPr>
        <w:ind w:left="1179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xa-im.com.hk" TargetMode="Externa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hyperlink" Target="http://www.axa-im.com.hk" TargetMode="External"/><Relationship Id="rId13" Type="http://schemas.openxmlformats.org/officeDocument/2006/relationships/header" Target="header4.xml"/><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yperlink" Target="http://www.axa-im.com.hk" TargetMode="External"/><Relationship Id="rId6" Type="http://schemas.openxmlformats.org/officeDocument/2006/relationships/header" Target="header2.xml"/><Relationship Id="rId18" Type="http://schemas.openxmlformats.org/officeDocument/2006/relationships/image" Target="media/image9.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3.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0.jpg"/></Relationships>
</file>

<file path=word/_rels/footer4.xml.rels><?xml version="1.0" encoding="UTF-8" standalone="yes"?><Relationships xmlns="http://schemas.openxmlformats.org/package/2006/relationships"><Relationship Id="rId1" Type="http://schemas.openxmlformats.org/officeDocument/2006/relationships/image" Target="media/image25.png"/></Relationships>
</file>

<file path=word/_rels/footer5.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6.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_rels/header4.xml.rels><?xml version="1.0" encoding="UTF-8" standalone="yes"?><Relationships xmlns="http://schemas.openxmlformats.org/package/2006/relationships"><Relationship Id="rId1" Type="http://schemas.openxmlformats.org/officeDocument/2006/relationships/image" Target="media/image25.png"/></Relationships>
</file>

<file path=word/_rels/header5.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