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omfortaa" w:cs="Comfortaa" w:eastAsia="Comfortaa" w:hAnsi="Comfortaa"/>
          <w:b w:val="1"/>
          <w:color w:val="741b47"/>
          <w:sz w:val="76"/>
          <w:szCs w:val="7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41b47"/>
          <w:sz w:val="76"/>
          <w:szCs w:val="76"/>
        </w:rPr>
        <w:drawing>
          <wp:inline distB="114300" distT="114300" distL="114300" distR="114300">
            <wp:extent cx="1524000" cy="13768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7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741b47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48"/>
          <w:szCs w:val="48"/>
          <w:rtl w:val="0"/>
        </w:rPr>
        <w:t xml:space="preserve">United International University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741b4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36"/>
          <w:szCs w:val="36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741b47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60"/>
          <w:szCs w:val="60"/>
          <w:rtl w:val="0"/>
        </w:rPr>
        <w:t xml:space="preserve">Work Breakdown Structure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741b47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60"/>
          <w:szCs w:val="60"/>
          <w:rtl w:val="0"/>
        </w:rPr>
        <w:t xml:space="preserve">(WBS)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741b47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741b47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7376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6"/>
          <w:szCs w:val="36"/>
          <w:rtl w:val="0"/>
        </w:rPr>
        <w:t xml:space="preserve">Group Members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5b0f00"/>
          <w:sz w:val="38"/>
          <w:szCs w:val="3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color w:val="222222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rtl w:val="0"/>
        </w:rPr>
        <w:t xml:space="preserve">Sumaiya Binte Sadiq</w:t>
        <w:tab/>
        <w:tab/>
        <w:t xml:space="preserve">-011182117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color w:val="222222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rtl w:val="0"/>
        </w:rPr>
        <w:t xml:space="preserve">Sanjida Yesmin Ritu</w:t>
        <w:tab/>
        <w:tab/>
        <w:t xml:space="preserve">-011191016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color w:val="222222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rtl w:val="0"/>
        </w:rPr>
        <w:t xml:space="preserve">Sadia Hassan</w:t>
        <w:tab/>
        <w:tab/>
        <w:tab/>
        <w:t xml:space="preserve">-011191215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color w:val="455a64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rtl w:val="0"/>
        </w:rPr>
        <w:t xml:space="preserve">Md.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rtl w:val="0"/>
        </w:rPr>
        <w:t xml:space="preserve">Mushfikur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rtl w:val="0"/>
        </w:rPr>
        <w:t xml:space="preserve"> Talukdar</w:t>
        <w:tab/>
        <w:t xml:space="preserve">-011201056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741b47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741b47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Project Management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PMG 4101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Section C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